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08" w:rsidRDefault="00587A08" w:rsidP="004E0387">
      <w:pPr>
        <w:rPr>
          <w:rFonts w:cs="Arial"/>
          <w:spacing w:val="-2"/>
          <w:sz w:val="22"/>
          <w:szCs w:val="22"/>
        </w:rPr>
      </w:pPr>
    </w:p>
    <w:p w:rsidR="00587A08" w:rsidRDefault="00587A08" w:rsidP="004E0387">
      <w:pPr>
        <w:rPr>
          <w:rFonts w:cs="Arial"/>
          <w:spacing w:val="-2"/>
          <w:sz w:val="22"/>
          <w:szCs w:val="22"/>
        </w:rPr>
      </w:pPr>
    </w:p>
    <w:p w:rsidR="00BA72ED" w:rsidRPr="008A5B2A" w:rsidRDefault="00BA72ED" w:rsidP="004E0387">
      <w:pPr>
        <w:rPr>
          <w:rFonts w:cs="Arial"/>
          <w:spacing w:val="-2"/>
          <w:sz w:val="22"/>
          <w:szCs w:val="22"/>
        </w:rPr>
      </w:pPr>
      <w:bookmarkStart w:id="0" w:name="sagitec1"/>
      <w:r w:rsidRPr="008A5B2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5B2A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8A5B2A">
        <w:rPr>
          <w:rFonts w:cs="Arial"/>
          <w:spacing w:val="-2"/>
          <w:sz w:val="22"/>
          <w:szCs w:val="22"/>
        </w:rPr>
        <w:t>}</w:t>
      </w:r>
      <w:bookmarkEnd w:id="0"/>
      <w:r w:rsidR="000E758F" w:rsidRPr="008A5B2A">
        <w:rPr>
          <w:rFonts w:cs="Arial"/>
          <w:spacing w:val="-2"/>
          <w:sz w:val="22"/>
          <w:szCs w:val="22"/>
        </w:rPr>
        <w:tab/>
      </w:r>
      <w:r w:rsidR="000E758F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873AD4" w:rsidRPr="008A5B2A">
        <w:rPr>
          <w:rFonts w:cs="Arial"/>
          <w:spacing w:val="-2"/>
          <w:sz w:val="22"/>
          <w:szCs w:val="22"/>
        </w:rPr>
        <w:tab/>
      </w:r>
      <w:r w:rsidR="00EE39CC" w:rsidRPr="008A5B2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8A5B2A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8A5B2A">
        <w:rPr>
          <w:rFonts w:cs="Arial"/>
          <w:spacing w:val="-2"/>
          <w:sz w:val="22"/>
          <w:szCs w:val="22"/>
        </w:rPr>
        <w:t>std</w:t>
      </w:r>
      <w:r w:rsidR="0044731A" w:rsidRPr="008A5B2A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8A5B2A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4E0387">
      <w:pPr>
        <w:rPr>
          <w:rFonts w:cs="Arial"/>
          <w:spacing w:val="-2"/>
          <w:sz w:val="22"/>
          <w:szCs w:val="22"/>
        </w:rPr>
      </w:pPr>
    </w:p>
    <w:p w:rsidR="00587A08" w:rsidRPr="008A5B2A" w:rsidRDefault="00587A08" w:rsidP="004E0387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8A5B2A" w:rsidRDefault="00BA72ED" w:rsidP="004E0387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8A5B2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5B2A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8A5B2A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8A5B2A" w:rsidRDefault="00BA72ED" w:rsidP="004E0387">
      <w:pPr>
        <w:rPr>
          <w:rFonts w:cs="Arial"/>
          <w:spacing w:val="-2"/>
          <w:sz w:val="22"/>
          <w:szCs w:val="22"/>
        </w:rPr>
      </w:pPr>
      <w:bookmarkStart w:id="4" w:name="sagitec4"/>
      <w:r w:rsidRPr="008A5B2A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8A5B2A" w:rsidRDefault="00BA72ED" w:rsidP="004E0387">
      <w:pPr>
        <w:rPr>
          <w:rFonts w:cs="Arial"/>
          <w:spacing w:val="-2"/>
          <w:sz w:val="22"/>
          <w:szCs w:val="22"/>
        </w:rPr>
      </w:pPr>
      <w:bookmarkStart w:id="5" w:name="sagitec5"/>
      <w:r w:rsidRPr="008A5B2A">
        <w:rPr>
          <w:rFonts w:cs="Arial"/>
          <w:spacing w:val="-2"/>
          <w:sz w:val="22"/>
          <w:szCs w:val="22"/>
        </w:rPr>
        <w:t>{</w:t>
      </w:r>
      <w:proofErr w:type="gramStart"/>
      <w:r w:rsidRPr="008A5B2A">
        <w:rPr>
          <w:rFonts w:cs="Arial"/>
          <w:spacing w:val="-2"/>
          <w:sz w:val="22"/>
          <w:szCs w:val="22"/>
        </w:rPr>
        <w:t>x</w:t>
      </w:r>
      <w:proofErr w:type="gramEnd"/>
      <w:r w:rsidRPr="008A5B2A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8A5B2A" w:rsidRDefault="00BA72ED" w:rsidP="004E0387">
      <w:pPr>
        <w:rPr>
          <w:rFonts w:cs="Arial"/>
          <w:spacing w:val="-2"/>
          <w:sz w:val="22"/>
          <w:szCs w:val="22"/>
        </w:rPr>
      </w:pPr>
      <w:bookmarkStart w:id="6" w:name="sagitec6"/>
      <w:r w:rsidRPr="008A5B2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5B2A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8A5B2A">
        <w:rPr>
          <w:rFonts w:cs="Arial"/>
          <w:spacing w:val="-2"/>
          <w:sz w:val="22"/>
          <w:szCs w:val="22"/>
        </w:rPr>
        <w:t>}</w:t>
      </w:r>
      <w:bookmarkEnd w:id="6"/>
      <w:r w:rsidR="0027656C" w:rsidRPr="008A5B2A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8A5B2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5B2A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8A5B2A">
        <w:rPr>
          <w:rFonts w:cs="Arial"/>
          <w:spacing w:val="-2"/>
          <w:sz w:val="22"/>
          <w:szCs w:val="22"/>
        </w:rPr>
        <w:t>}</w:t>
      </w:r>
      <w:bookmarkEnd w:id="7"/>
      <w:r w:rsidR="00AA719A" w:rsidRPr="008A5B2A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8A5B2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A5B2A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8A5B2A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587A08" w:rsidRPr="008A5B2A" w:rsidRDefault="00587A08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A5B2A" w:rsidRDefault="00171F98" w:rsidP="004E0387">
      <w:pPr>
        <w:suppressAutoHyphens/>
        <w:rPr>
          <w:rFonts w:cs="Arial"/>
          <w:b/>
          <w:spacing w:val="-3"/>
          <w:sz w:val="22"/>
          <w:szCs w:val="22"/>
        </w:rPr>
      </w:pPr>
      <w:r w:rsidRPr="008A5B2A">
        <w:rPr>
          <w:rFonts w:cs="Arial"/>
          <w:b/>
          <w:spacing w:val="-3"/>
          <w:sz w:val="22"/>
          <w:szCs w:val="22"/>
        </w:rPr>
        <w:t xml:space="preserve">RE:  </w:t>
      </w:r>
      <w:r w:rsidR="00292ADA" w:rsidRPr="008A5B2A">
        <w:rPr>
          <w:rFonts w:cs="Arial"/>
          <w:b/>
          <w:spacing w:val="-3"/>
          <w:sz w:val="22"/>
          <w:szCs w:val="22"/>
        </w:rPr>
        <w:t>LEVEL SOCIAL SECURITY BENEFIT OPTION</w:t>
      </w:r>
    </w:p>
    <w:p w:rsidR="000E758F" w:rsidRPr="008A5B2A" w:rsidRDefault="000E758F" w:rsidP="004E0387">
      <w:pPr>
        <w:rPr>
          <w:rFonts w:cs="Arial"/>
          <w:spacing w:val="-2"/>
          <w:sz w:val="22"/>
          <w:szCs w:val="22"/>
        </w:rPr>
      </w:pPr>
    </w:p>
    <w:p w:rsidR="00AE319E" w:rsidRPr="008A5B2A" w:rsidRDefault="00AE319E" w:rsidP="004E0387">
      <w:pPr>
        <w:rPr>
          <w:rFonts w:cs="Arial"/>
          <w:caps/>
          <w:spacing w:val="-2"/>
          <w:sz w:val="22"/>
          <w:szCs w:val="22"/>
        </w:rPr>
      </w:pPr>
      <w:r w:rsidRPr="008A5B2A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6F48AF" w:rsidRPr="008A5B2A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8A5B2A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8A5B2A">
        <w:rPr>
          <w:rFonts w:cs="Arial"/>
          <w:spacing w:val="-2"/>
          <w:sz w:val="22"/>
          <w:szCs w:val="22"/>
        </w:rPr>
        <w:t>}</w:t>
      </w:r>
      <w:bookmarkEnd w:id="9"/>
      <w:r w:rsidR="000E758F" w:rsidRPr="008A5B2A">
        <w:rPr>
          <w:rFonts w:cs="Arial"/>
          <w:caps/>
          <w:spacing w:val="-2"/>
          <w:sz w:val="22"/>
          <w:szCs w:val="22"/>
        </w:rPr>
        <w:t>:</w:t>
      </w:r>
    </w:p>
    <w:p w:rsidR="00BA72ED" w:rsidRPr="008A5B2A" w:rsidRDefault="00AE319E" w:rsidP="004E0387">
      <w:pPr>
        <w:suppressAutoHyphens/>
        <w:rPr>
          <w:rFonts w:cs="Arial"/>
          <w:b/>
          <w:spacing w:val="-3"/>
          <w:sz w:val="22"/>
          <w:szCs w:val="22"/>
        </w:rPr>
      </w:pPr>
      <w:r w:rsidRPr="008A5B2A">
        <w:rPr>
          <w:rFonts w:cs="Arial"/>
          <w:spacing w:val="-2"/>
          <w:sz w:val="22"/>
          <w:szCs w:val="22"/>
        </w:rPr>
        <w:t xml:space="preserve"> </w:t>
      </w:r>
      <w:r w:rsidR="00BA72ED" w:rsidRPr="008A5B2A">
        <w:rPr>
          <w:rFonts w:cs="Arial"/>
          <w:b/>
          <w:spacing w:val="-3"/>
          <w:sz w:val="22"/>
          <w:szCs w:val="22"/>
        </w:rPr>
        <w:tab/>
      </w:r>
    </w:p>
    <w:p w:rsidR="00216946" w:rsidRPr="008A5B2A" w:rsidRDefault="00292ADA" w:rsidP="00292ADA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8A5B2A">
        <w:rPr>
          <w:rFonts w:cs="Arial"/>
          <w:spacing w:val="-3"/>
          <w:sz w:val="22"/>
          <w:szCs w:val="22"/>
        </w:rPr>
        <w:t xml:space="preserve">This letter is to advise you that your monthly pension payment under the Level Social Security </w:t>
      </w:r>
      <w:r w:rsidR="00F03B0D" w:rsidRPr="008A5B2A">
        <w:rPr>
          <w:rFonts w:cs="Arial"/>
          <w:spacing w:val="-3"/>
          <w:sz w:val="22"/>
          <w:szCs w:val="22"/>
        </w:rPr>
        <w:t xml:space="preserve">Income </w:t>
      </w:r>
      <w:r w:rsidRPr="008A5B2A">
        <w:rPr>
          <w:rFonts w:cs="Arial"/>
          <w:spacing w:val="-3"/>
          <w:sz w:val="22"/>
          <w:szCs w:val="22"/>
        </w:rPr>
        <w:t xml:space="preserve">option </w:t>
      </w:r>
      <w:r w:rsidR="00FA3EB0" w:rsidRPr="008A5B2A">
        <w:rPr>
          <w:rFonts w:cs="Arial"/>
          <w:spacing w:val="-3"/>
          <w:sz w:val="22"/>
          <w:szCs w:val="22"/>
        </w:rPr>
        <w:t xml:space="preserve">that </w:t>
      </w:r>
      <w:r w:rsidRPr="008A5B2A">
        <w:rPr>
          <w:rFonts w:cs="Arial"/>
          <w:spacing w:val="-3"/>
          <w:sz w:val="22"/>
          <w:szCs w:val="22"/>
        </w:rPr>
        <w:t xml:space="preserve">you chose at the time of your retirement will be reduced effective </w:t>
      </w:r>
    </w:p>
    <w:p w:rsidR="00292ADA" w:rsidRPr="008A5B2A" w:rsidRDefault="00F03B0D" w:rsidP="00292ADA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10" w:name="sagitec10"/>
      <w:r w:rsidRPr="008A5B2A">
        <w:rPr>
          <w:b/>
          <w:spacing w:val="-3"/>
          <w:sz w:val="22"/>
          <w:u w:val="single"/>
        </w:rPr>
        <w:t>{</w:t>
      </w:r>
      <w:proofErr w:type="spellStart"/>
      <w:proofErr w:type="gramStart"/>
      <w:r w:rsidR="00DD673A" w:rsidRPr="008A5B2A">
        <w:rPr>
          <w:b/>
          <w:spacing w:val="-3"/>
          <w:sz w:val="22"/>
          <w:u w:val="single"/>
        </w:rPr>
        <w:t>dateof</w:t>
      </w:r>
      <w:r w:rsidR="00216946" w:rsidRPr="008A5B2A">
        <w:rPr>
          <w:b/>
          <w:spacing w:val="-3"/>
          <w:sz w:val="22"/>
          <w:u w:val="single"/>
        </w:rPr>
        <w:t>m</w:t>
      </w:r>
      <w:r w:rsidR="00DD673A" w:rsidRPr="008A5B2A">
        <w:rPr>
          <w:b/>
          <w:spacing w:val="-3"/>
          <w:sz w:val="22"/>
          <w:u w:val="single"/>
        </w:rPr>
        <w:t>onthly</w:t>
      </w:r>
      <w:r w:rsidR="00216946" w:rsidRPr="008A5B2A">
        <w:rPr>
          <w:b/>
          <w:spacing w:val="-3"/>
          <w:sz w:val="22"/>
          <w:u w:val="single"/>
        </w:rPr>
        <w:t>benefit</w:t>
      </w:r>
      <w:r w:rsidR="00DD673A" w:rsidRPr="008A5B2A">
        <w:rPr>
          <w:b/>
          <w:spacing w:val="-3"/>
          <w:sz w:val="22"/>
          <w:u w:val="single"/>
        </w:rPr>
        <w:t>change</w:t>
      </w:r>
      <w:proofErr w:type="spellEnd"/>
      <w:proofErr w:type="gramEnd"/>
      <w:r w:rsidR="00DD673A" w:rsidRPr="008A5B2A">
        <w:rPr>
          <w:b/>
          <w:spacing w:val="-3"/>
          <w:sz w:val="22"/>
          <w:u w:val="single"/>
        </w:rPr>
        <w:t>}</w:t>
      </w:r>
      <w:bookmarkEnd w:id="10"/>
      <w:r w:rsidR="00FA3EB0" w:rsidRPr="008A5B2A">
        <w:rPr>
          <w:rFonts w:cs="Arial"/>
          <w:spacing w:val="-3"/>
          <w:sz w:val="22"/>
          <w:szCs w:val="22"/>
        </w:rPr>
        <w:t xml:space="preserve">. </w:t>
      </w:r>
    </w:p>
    <w:p w:rsidR="00292ADA" w:rsidRPr="008A5B2A" w:rsidRDefault="00292ADA" w:rsidP="00292ADA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292ADA" w:rsidRPr="008A5B2A" w:rsidRDefault="00292ADA" w:rsidP="00292ADA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8A5B2A">
        <w:rPr>
          <w:rFonts w:cs="Arial"/>
          <w:spacing w:val="-3"/>
          <w:sz w:val="22"/>
          <w:szCs w:val="22"/>
        </w:rPr>
        <w:t xml:space="preserve">With your current deductions, your </w:t>
      </w:r>
      <w:r w:rsidRPr="008A5B2A">
        <w:rPr>
          <w:rFonts w:cs="Arial"/>
          <w:b/>
          <w:i/>
          <w:spacing w:val="-3"/>
          <w:sz w:val="22"/>
          <w:szCs w:val="22"/>
          <w:u w:val="single"/>
        </w:rPr>
        <w:t>estimated</w:t>
      </w:r>
      <w:r w:rsidRPr="008A5B2A">
        <w:rPr>
          <w:rFonts w:cs="Arial"/>
          <w:spacing w:val="-3"/>
          <w:sz w:val="22"/>
          <w:szCs w:val="22"/>
        </w:rPr>
        <w:t xml:space="preserve"> payment would be as follows:</w:t>
      </w:r>
    </w:p>
    <w:p w:rsidR="002F0EB1" w:rsidRPr="008A5B2A" w:rsidRDefault="002F0EB1" w:rsidP="004E0387">
      <w:pPr>
        <w:suppressAutoHyphens/>
        <w:rPr>
          <w:rFonts w:cs="Arial"/>
          <w:spacing w:val="-3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78"/>
        <w:gridCol w:w="4921"/>
      </w:tblGrid>
      <w:tr w:rsidR="00DD673A" w:rsidRPr="00EA65DB" w:rsidTr="00EA65DB">
        <w:trPr>
          <w:trHeight w:val="80"/>
        </w:trPr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Gross Benefit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1" w:name="sagitec11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GrossBenefitestimate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1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Federal Income Tax::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2" w:name="sagitec12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FederalIncome</w:t>
            </w:r>
            <w:r w:rsidR="00216946" w:rsidRPr="00EA65DB">
              <w:rPr>
                <w:rFonts w:cs="Arial"/>
                <w:spacing w:val="-3"/>
                <w:sz w:val="22"/>
                <w:szCs w:val="22"/>
              </w:rPr>
              <w:t>Tax</w:t>
            </w:r>
            <w:r w:rsidRPr="00EA65DB">
              <w:rPr>
                <w:rFonts w:cs="Arial"/>
                <w:spacing w:val="-3"/>
                <w:sz w:val="22"/>
                <w:szCs w:val="22"/>
              </w:rPr>
              <w:t>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ND State Income Tax: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3" w:name="sagitec13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NDStateIncomeTaxAmountestimate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3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NDPEA Dues: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4" w:name="sagitec14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NDPEADuesestimate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"/>
          </w:p>
        </w:tc>
      </w:tr>
      <w:tr w:rsidR="009307A5" w:rsidRPr="00EA65DB" w:rsidTr="00EA65DB">
        <w:tc>
          <w:tcPr>
            <w:tcW w:w="2878" w:type="dxa"/>
          </w:tcPr>
          <w:p w:rsidR="009307A5" w:rsidRPr="00EA65DB" w:rsidRDefault="009307A5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AFPE Dues:</w:t>
            </w:r>
          </w:p>
        </w:tc>
        <w:tc>
          <w:tcPr>
            <w:tcW w:w="4921" w:type="dxa"/>
          </w:tcPr>
          <w:p w:rsidR="009307A5" w:rsidRPr="00EA65DB" w:rsidRDefault="009307A5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5" w:name="sagitec15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AFPEDuesestimate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Health Insurance: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6" w:name="sagitec16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HealthInsuranceAmountestimate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Life Insurance: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7" w:name="sagitec17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LifeInsurance</w:t>
            </w:r>
            <w:r w:rsidRPr="00EA65DB">
              <w:rPr>
                <w:rFonts w:cs="Arial"/>
                <w:spacing w:val="-3"/>
                <w:sz w:val="22"/>
                <w:szCs w:val="22"/>
                <w:u w:val="single"/>
              </w:rPr>
              <w:t>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  <w:u w:val="single"/>
              </w:rPr>
              <w:t>}</w:t>
            </w:r>
            <w:bookmarkEnd w:id="17"/>
          </w:p>
        </w:tc>
      </w:tr>
      <w:tr w:rsidR="009307A5" w:rsidRPr="00EA65DB" w:rsidTr="00EA65DB">
        <w:tc>
          <w:tcPr>
            <w:tcW w:w="2878" w:type="dxa"/>
          </w:tcPr>
          <w:p w:rsidR="009307A5" w:rsidRPr="00EA65DB" w:rsidRDefault="009307A5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Dental Insurance:</w:t>
            </w:r>
          </w:p>
        </w:tc>
        <w:tc>
          <w:tcPr>
            <w:tcW w:w="4921" w:type="dxa"/>
          </w:tcPr>
          <w:p w:rsidR="009307A5" w:rsidRPr="00EA65DB" w:rsidRDefault="009307A5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8" w:name="sagitec18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DentalInsurance</w:t>
            </w:r>
            <w:r w:rsidR="00216946" w:rsidRPr="00EA65DB">
              <w:rPr>
                <w:rFonts w:cs="Arial"/>
                <w:spacing w:val="-3"/>
                <w:sz w:val="22"/>
                <w:szCs w:val="22"/>
                <w:u w:val="single"/>
              </w:rPr>
              <w:t>Amount</w:t>
            </w:r>
            <w:r w:rsidRPr="00EA65DB">
              <w:rPr>
                <w:rFonts w:cs="Arial"/>
                <w:spacing w:val="-3"/>
                <w:sz w:val="22"/>
                <w:szCs w:val="22"/>
                <w:u w:val="single"/>
              </w:rPr>
              <w:t>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  <w:u w:val="single"/>
              </w:rPr>
              <w:t>}</w:t>
            </w:r>
            <w:bookmarkEnd w:id="18"/>
          </w:p>
        </w:tc>
      </w:tr>
      <w:tr w:rsidR="009307A5" w:rsidRPr="00EA65DB" w:rsidTr="00EA65DB">
        <w:tc>
          <w:tcPr>
            <w:tcW w:w="2878" w:type="dxa"/>
          </w:tcPr>
          <w:p w:rsidR="009307A5" w:rsidRPr="00EA65DB" w:rsidRDefault="009307A5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Vision Insurance:</w:t>
            </w:r>
          </w:p>
        </w:tc>
        <w:tc>
          <w:tcPr>
            <w:tcW w:w="4921" w:type="dxa"/>
          </w:tcPr>
          <w:p w:rsidR="009307A5" w:rsidRPr="00EA65DB" w:rsidRDefault="009307A5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9" w:name="sagitec19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VisionInsuranceAmountestimate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9"/>
          </w:p>
        </w:tc>
      </w:tr>
      <w:tr w:rsidR="009307A5" w:rsidRPr="00EA65DB" w:rsidTr="00EA65DB">
        <w:tc>
          <w:tcPr>
            <w:tcW w:w="2878" w:type="dxa"/>
          </w:tcPr>
          <w:p w:rsidR="009307A5" w:rsidRPr="00EA65DB" w:rsidRDefault="009307A5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Long Term Care:</w:t>
            </w:r>
          </w:p>
        </w:tc>
        <w:tc>
          <w:tcPr>
            <w:tcW w:w="4921" w:type="dxa"/>
          </w:tcPr>
          <w:p w:rsidR="009307A5" w:rsidRPr="00EA65DB" w:rsidRDefault="009307A5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0" w:name="sagitec20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LTCInsuranceAmountestimate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0"/>
          </w:p>
        </w:tc>
      </w:tr>
      <w:tr w:rsidR="009307A5" w:rsidRPr="00EA65DB" w:rsidTr="00EA65DB">
        <w:tc>
          <w:tcPr>
            <w:tcW w:w="2878" w:type="dxa"/>
          </w:tcPr>
          <w:p w:rsidR="009307A5" w:rsidRPr="00EA65DB" w:rsidRDefault="009307A5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Miscellaneous</w:t>
            </w:r>
            <w:r w:rsidR="00EF58AF" w:rsidRPr="00EA65DB"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r w:rsidRPr="00EA65DB">
              <w:rPr>
                <w:rFonts w:cs="Arial"/>
                <w:spacing w:val="-3"/>
                <w:sz w:val="22"/>
                <w:szCs w:val="22"/>
              </w:rPr>
              <w:t>Deductions:</w:t>
            </w:r>
          </w:p>
        </w:tc>
        <w:tc>
          <w:tcPr>
            <w:tcW w:w="4921" w:type="dxa"/>
          </w:tcPr>
          <w:p w:rsidR="009307A5" w:rsidRPr="00EA65DB" w:rsidRDefault="009307A5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1" w:name="sagitec21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MiscellaneousDeductionsAmountestimate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1"/>
          </w:p>
        </w:tc>
      </w:tr>
      <w:tr w:rsidR="00DD673A" w:rsidRPr="00EA65DB" w:rsidTr="00EA65DB">
        <w:tc>
          <w:tcPr>
            <w:tcW w:w="2878" w:type="dxa"/>
          </w:tcPr>
          <w:p w:rsidR="00DD673A" w:rsidRPr="00EA65DB" w:rsidRDefault="00DD673A" w:rsidP="00EA65DB">
            <w:pPr>
              <w:suppressAutoHyphens/>
              <w:jc w:val="right"/>
              <w:rPr>
                <w:rFonts w:cs="Arial"/>
                <w:spacing w:val="-3"/>
                <w:sz w:val="22"/>
                <w:szCs w:val="22"/>
              </w:rPr>
            </w:pPr>
            <w:r w:rsidRPr="00EA65DB">
              <w:rPr>
                <w:rFonts w:cs="Arial"/>
                <w:spacing w:val="-3"/>
                <w:sz w:val="22"/>
                <w:szCs w:val="22"/>
              </w:rPr>
              <w:t>Net Monthly Benefit</w:t>
            </w:r>
          </w:p>
        </w:tc>
        <w:tc>
          <w:tcPr>
            <w:tcW w:w="4921" w:type="dxa"/>
          </w:tcPr>
          <w:p w:rsidR="00DD673A" w:rsidRPr="00EA65DB" w:rsidRDefault="00DD673A" w:rsidP="00EA65DB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22" w:name="sagitec22"/>
            <w:r w:rsidRPr="00EA65DB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A65DB">
              <w:rPr>
                <w:rFonts w:cs="Arial"/>
                <w:spacing w:val="-3"/>
                <w:sz w:val="22"/>
                <w:szCs w:val="22"/>
              </w:rPr>
              <w:t>NetPaymentAmountestimate</w:t>
            </w:r>
            <w:proofErr w:type="spellEnd"/>
            <w:r w:rsidRPr="00EA65DB"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2"/>
          </w:p>
        </w:tc>
      </w:tr>
    </w:tbl>
    <w:p w:rsidR="00292ADA" w:rsidRPr="008A5B2A" w:rsidRDefault="00292ADA" w:rsidP="004E0387">
      <w:pPr>
        <w:suppressAutoHyphens/>
        <w:rPr>
          <w:rFonts w:cs="Arial"/>
          <w:spacing w:val="-3"/>
          <w:sz w:val="22"/>
          <w:szCs w:val="22"/>
        </w:rPr>
      </w:pPr>
    </w:p>
    <w:p w:rsidR="00292ADA" w:rsidRPr="008A5B2A" w:rsidRDefault="00292ADA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  <w:r w:rsidRPr="008A5B2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3"/>
      <w:r w:rsidRPr="008A5B2A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8A5B2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A5B2A">
        <w:rPr>
          <w:rFonts w:cs="Arial"/>
          <w:spacing w:val="-3"/>
          <w:sz w:val="22"/>
          <w:szCs w:val="22"/>
        </w:rPr>
        <w:t>}</w:t>
      </w:r>
      <w:bookmarkEnd w:id="23"/>
      <w:r w:rsidRPr="008A5B2A">
        <w:rPr>
          <w:rFonts w:cs="Arial"/>
          <w:spacing w:val="-3"/>
          <w:sz w:val="22"/>
          <w:szCs w:val="22"/>
        </w:rPr>
        <w:t xml:space="preserve"> or </w:t>
      </w:r>
      <w:bookmarkStart w:id="24" w:name="sagitec24"/>
      <w:r w:rsidRPr="008A5B2A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8A5B2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A5B2A">
        <w:rPr>
          <w:rFonts w:cs="Arial"/>
          <w:spacing w:val="-3"/>
          <w:sz w:val="22"/>
          <w:szCs w:val="22"/>
        </w:rPr>
        <w:t>}</w:t>
      </w:r>
      <w:bookmarkEnd w:id="24"/>
      <w:r w:rsidRPr="008A5B2A">
        <w:rPr>
          <w:rFonts w:cs="Arial"/>
          <w:spacing w:val="-3"/>
          <w:sz w:val="22"/>
          <w:szCs w:val="22"/>
        </w:rPr>
        <w:t>.</w:t>
      </w: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  <w:r w:rsidRPr="008A5B2A">
        <w:rPr>
          <w:rFonts w:cs="Arial"/>
          <w:spacing w:val="-3"/>
          <w:sz w:val="22"/>
          <w:szCs w:val="22"/>
        </w:rPr>
        <w:t>Sincerely,</w:t>
      </w: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A5B2A" w:rsidRDefault="00BA72ED" w:rsidP="004E0387">
      <w:pPr>
        <w:suppressAutoHyphens/>
        <w:rPr>
          <w:rFonts w:cs="Arial"/>
          <w:spacing w:val="-3"/>
          <w:sz w:val="22"/>
          <w:szCs w:val="22"/>
        </w:rPr>
      </w:pPr>
    </w:p>
    <w:p w:rsidR="004E0387" w:rsidRPr="008A5B2A" w:rsidRDefault="0027656C" w:rsidP="004E0387">
      <w:pPr>
        <w:suppressAutoHyphens/>
        <w:rPr>
          <w:rFonts w:cs="Arial"/>
          <w:spacing w:val="-3"/>
          <w:sz w:val="22"/>
          <w:szCs w:val="22"/>
        </w:rPr>
      </w:pPr>
      <w:r w:rsidRPr="008A5B2A">
        <w:rPr>
          <w:rFonts w:cs="Arial"/>
          <w:spacing w:val="-3"/>
          <w:sz w:val="22"/>
          <w:szCs w:val="22"/>
        </w:rPr>
        <w:t>NDPERS Benefits</w:t>
      </w:r>
      <w:r w:rsidR="00BA72ED" w:rsidRPr="008A5B2A">
        <w:rPr>
          <w:rFonts w:cs="Arial"/>
          <w:spacing w:val="-3"/>
          <w:sz w:val="22"/>
          <w:szCs w:val="22"/>
        </w:rPr>
        <w:t xml:space="preserve"> Division</w:t>
      </w:r>
    </w:p>
    <w:sectPr w:rsidR="004E0387" w:rsidRPr="008A5B2A" w:rsidSect="00E05FB8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46D" w:rsidRDefault="002F046D">
      <w:r>
        <w:separator/>
      </w:r>
    </w:p>
  </w:endnote>
  <w:endnote w:type="continuationSeparator" w:id="0">
    <w:p w:rsidR="002F046D" w:rsidRDefault="002F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46D" w:rsidRDefault="002F046D">
      <w:r>
        <w:separator/>
      </w:r>
    </w:p>
  </w:footnote>
  <w:footnote w:type="continuationSeparator" w:id="0">
    <w:p w:rsidR="002F046D" w:rsidRDefault="002F0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DD6" w:rsidRDefault="00E05FB8" w:rsidP="00E05FB8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A2914"/>
    <w:rsid w:val="000D1A37"/>
    <w:rsid w:val="000E758F"/>
    <w:rsid w:val="0014759C"/>
    <w:rsid w:val="00171F98"/>
    <w:rsid w:val="001775FF"/>
    <w:rsid w:val="001974AA"/>
    <w:rsid w:val="001A6202"/>
    <w:rsid w:val="00216946"/>
    <w:rsid w:val="00254DA0"/>
    <w:rsid w:val="00264AF4"/>
    <w:rsid w:val="0027656C"/>
    <w:rsid w:val="00292ADA"/>
    <w:rsid w:val="002B6E3A"/>
    <w:rsid w:val="002C48AD"/>
    <w:rsid w:val="002D7BE1"/>
    <w:rsid w:val="002E19BD"/>
    <w:rsid w:val="002E3EE6"/>
    <w:rsid w:val="002F046D"/>
    <w:rsid w:val="002F0EB1"/>
    <w:rsid w:val="00301E14"/>
    <w:rsid w:val="003351DE"/>
    <w:rsid w:val="00355F0F"/>
    <w:rsid w:val="0036559C"/>
    <w:rsid w:val="00436627"/>
    <w:rsid w:val="0044731A"/>
    <w:rsid w:val="0047157A"/>
    <w:rsid w:val="004C4C2C"/>
    <w:rsid w:val="004E0387"/>
    <w:rsid w:val="00504734"/>
    <w:rsid w:val="00515F48"/>
    <w:rsid w:val="005275EF"/>
    <w:rsid w:val="00552410"/>
    <w:rsid w:val="00557DD6"/>
    <w:rsid w:val="00587A08"/>
    <w:rsid w:val="0059276F"/>
    <w:rsid w:val="005A7625"/>
    <w:rsid w:val="005D4A97"/>
    <w:rsid w:val="00622FBB"/>
    <w:rsid w:val="00673A50"/>
    <w:rsid w:val="00687544"/>
    <w:rsid w:val="006C4214"/>
    <w:rsid w:val="006F48AF"/>
    <w:rsid w:val="007451CF"/>
    <w:rsid w:val="0077299E"/>
    <w:rsid w:val="00775509"/>
    <w:rsid w:val="0079651E"/>
    <w:rsid w:val="00797619"/>
    <w:rsid w:val="007A1DFE"/>
    <w:rsid w:val="00804C45"/>
    <w:rsid w:val="00843F4D"/>
    <w:rsid w:val="008632E8"/>
    <w:rsid w:val="00873AD4"/>
    <w:rsid w:val="008A5B2A"/>
    <w:rsid w:val="008E3B13"/>
    <w:rsid w:val="009307A5"/>
    <w:rsid w:val="00954679"/>
    <w:rsid w:val="009E36D4"/>
    <w:rsid w:val="00A15790"/>
    <w:rsid w:val="00A31822"/>
    <w:rsid w:val="00A402FB"/>
    <w:rsid w:val="00AA719A"/>
    <w:rsid w:val="00AB11DF"/>
    <w:rsid w:val="00AB5103"/>
    <w:rsid w:val="00AC6A55"/>
    <w:rsid w:val="00AE319E"/>
    <w:rsid w:val="00AE3417"/>
    <w:rsid w:val="00B00417"/>
    <w:rsid w:val="00B1200E"/>
    <w:rsid w:val="00B415B0"/>
    <w:rsid w:val="00B60E0E"/>
    <w:rsid w:val="00B94DE1"/>
    <w:rsid w:val="00BA72ED"/>
    <w:rsid w:val="00BB7D6F"/>
    <w:rsid w:val="00C110BE"/>
    <w:rsid w:val="00C206B1"/>
    <w:rsid w:val="00C721EA"/>
    <w:rsid w:val="00CC735D"/>
    <w:rsid w:val="00CD062B"/>
    <w:rsid w:val="00CF5663"/>
    <w:rsid w:val="00D42E5F"/>
    <w:rsid w:val="00D7069E"/>
    <w:rsid w:val="00D904C7"/>
    <w:rsid w:val="00DD5F5B"/>
    <w:rsid w:val="00DD673A"/>
    <w:rsid w:val="00E05FB8"/>
    <w:rsid w:val="00E34487"/>
    <w:rsid w:val="00E801E2"/>
    <w:rsid w:val="00EA3308"/>
    <w:rsid w:val="00EA3906"/>
    <w:rsid w:val="00EA65DB"/>
    <w:rsid w:val="00EE39CC"/>
    <w:rsid w:val="00EF2E3C"/>
    <w:rsid w:val="00EF58AF"/>
    <w:rsid w:val="00F03B0D"/>
    <w:rsid w:val="00F12564"/>
    <w:rsid w:val="00F7528A"/>
    <w:rsid w:val="00F846AD"/>
    <w:rsid w:val="00FA3EB0"/>
    <w:rsid w:val="00FC326B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A44EFC7-86FB-4E89-BFD1-C2A49F83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292ADA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