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65C" w:rsidRDefault="0080665C" w:rsidP="00984AD7">
      <w:pPr>
        <w:rPr>
          <w:rFonts w:cs="Arial"/>
          <w:spacing w:val="-2"/>
          <w:sz w:val="22"/>
          <w:szCs w:val="22"/>
        </w:rPr>
      </w:pPr>
    </w:p>
    <w:p w:rsidR="0080665C" w:rsidRDefault="0080665C" w:rsidP="00984AD7">
      <w:pPr>
        <w:rPr>
          <w:rFonts w:cs="Arial"/>
          <w:spacing w:val="-2"/>
          <w:sz w:val="22"/>
          <w:szCs w:val="22"/>
        </w:rPr>
      </w:pPr>
    </w:p>
    <w:p w:rsidR="00CC00C9" w:rsidRPr="008A1DCC" w:rsidRDefault="00CC00C9" w:rsidP="00CC00C9">
      <w:pPr>
        <w:rPr>
          <w:rFonts w:cs="Arial"/>
          <w:spacing w:val="-2"/>
          <w:sz w:val="22"/>
          <w:szCs w:val="22"/>
        </w:rPr>
      </w:pPr>
      <w:bookmarkStart w:id="0" w:name="sagitec1"/>
      <w:r w:rsidRPr="008A1DCC">
        <w:rPr>
          <w:rFonts w:cs="Arial"/>
          <w:spacing w:val="-2"/>
          <w:sz w:val="22"/>
          <w:szCs w:val="22"/>
        </w:rPr>
        <w:t>{stdlongdate}</w:t>
      </w:r>
      <w:bookmarkEnd w:id="0"/>
      <w:r w:rsidRPr="008A1DCC">
        <w:rPr>
          <w:rFonts w:cs="Arial"/>
          <w:spacing w:val="-2"/>
          <w:sz w:val="22"/>
          <w:szCs w:val="22"/>
        </w:rPr>
        <w:tab/>
      </w:r>
      <w:r w:rsidRPr="008A1DCC">
        <w:rPr>
          <w:rFonts w:cs="Arial"/>
          <w:spacing w:val="-2"/>
          <w:sz w:val="22"/>
          <w:szCs w:val="22"/>
        </w:rPr>
        <w:tab/>
      </w:r>
      <w:r w:rsidRPr="008A1DCC">
        <w:rPr>
          <w:rFonts w:cs="Arial"/>
          <w:spacing w:val="-2"/>
          <w:sz w:val="22"/>
          <w:szCs w:val="22"/>
        </w:rPr>
        <w:tab/>
      </w:r>
      <w:r w:rsidRPr="008A1DCC">
        <w:rPr>
          <w:rFonts w:cs="Arial"/>
          <w:spacing w:val="-2"/>
          <w:sz w:val="22"/>
          <w:szCs w:val="22"/>
        </w:rPr>
        <w:tab/>
      </w:r>
      <w:r w:rsidRPr="008A1DCC">
        <w:rPr>
          <w:rFonts w:cs="Arial"/>
          <w:spacing w:val="-2"/>
          <w:sz w:val="22"/>
          <w:szCs w:val="22"/>
        </w:rPr>
        <w:tab/>
      </w:r>
      <w:r w:rsidRPr="008A1DCC">
        <w:rPr>
          <w:rFonts w:cs="Arial"/>
          <w:spacing w:val="-2"/>
          <w:sz w:val="22"/>
          <w:szCs w:val="22"/>
        </w:rPr>
        <w:tab/>
      </w:r>
      <w:r w:rsidRPr="008A1DCC">
        <w:rPr>
          <w:rFonts w:cs="Arial"/>
          <w:spacing w:val="-2"/>
          <w:sz w:val="22"/>
          <w:szCs w:val="22"/>
        </w:rPr>
        <w:tab/>
        <w:t xml:space="preserve">Organization ID: </w:t>
      </w:r>
      <w:bookmarkStart w:id="1" w:name="sagitec2"/>
      <w:r w:rsidRPr="008A1DCC">
        <w:rPr>
          <w:rFonts w:cs="Arial"/>
          <w:spacing w:val="-2"/>
          <w:sz w:val="22"/>
          <w:szCs w:val="22"/>
        </w:rPr>
        <w:t>{stdOrgCodeId}</w:t>
      </w:r>
      <w:bookmarkEnd w:id="1"/>
    </w:p>
    <w:p w:rsidR="00CC00C9" w:rsidRDefault="00CC00C9" w:rsidP="00CC00C9">
      <w:pPr>
        <w:rPr>
          <w:rFonts w:cs="Arial"/>
          <w:spacing w:val="-2"/>
          <w:sz w:val="22"/>
          <w:szCs w:val="22"/>
        </w:rPr>
      </w:pPr>
    </w:p>
    <w:p w:rsidR="00CC00C9" w:rsidRPr="008A1DCC" w:rsidRDefault="00CC00C9" w:rsidP="00CC00C9">
      <w:pPr>
        <w:rPr>
          <w:rFonts w:cs="Arial"/>
          <w:spacing w:val="-2"/>
          <w:sz w:val="22"/>
          <w:szCs w:val="22"/>
        </w:rPr>
      </w:pPr>
    </w:p>
    <w:p w:rsidR="00CC00C9" w:rsidRPr="008A1DCC" w:rsidRDefault="00CC00C9" w:rsidP="00CC00C9">
      <w:pPr>
        <w:rPr>
          <w:rFonts w:cs="Arial"/>
          <w:caps/>
          <w:spacing w:val="-2"/>
          <w:sz w:val="22"/>
          <w:szCs w:val="22"/>
        </w:rPr>
      </w:pPr>
      <w:bookmarkStart w:id="2" w:name="sagitec3"/>
      <w:r w:rsidRPr="008A1DCC">
        <w:rPr>
          <w:rFonts w:cs="Arial"/>
          <w:spacing w:val="-2"/>
          <w:sz w:val="22"/>
          <w:szCs w:val="22"/>
        </w:rPr>
        <w:t>{</w:t>
      </w:r>
      <w:proofErr w:type="spellStart"/>
      <w:r w:rsidRPr="008A1DCC">
        <w:rPr>
          <w:rFonts w:cs="Arial"/>
          <w:spacing w:val="-2"/>
          <w:sz w:val="22"/>
          <w:szCs w:val="22"/>
        </w:rPr>
        <w:t>stdOCName</w:t>
      </w:r>
      <w:proofErr w:type="spellEnd"/>
      <w:r w:rsidRPr="008A1DCC">
        <w:rPr>
          <w:rFonts w:cs="Arial"/>
          <w:spacing w:val="-2"/>
          <w:sz w:val="22"/>
          <w:szCs w:val="22"/>
        </w:rPr>
        <w:t>}</w:t>
      </w:r>
      <w:bookmarkEnd w:id="2"/>
      <w:r w:rsidR="00970573" w:rsidRPr="008A1DCC">
        <w:rPr>
          <w:rFonts w:cs="Arial"/>
          <w:spacing w:val="-2"/>
          <w:sz w:val="22"/>
          <w:szCs w:val="22"/>
        </w:rPr>
        <w:tab/>
      </w:r>
      <w:r w:rsidR="00970573" w:rsidRPr="008A1DCC">
        <w:rPr>
          <w:rFonts w:cs="Arial"/>
          <w:spacing w:val="-2"/>
          <w:sz w:val="22"/>
          <w:szCs w:val="22"/>
        </w:rPr>
        <w:tab/>
      </w:r>
      <w:r w:rsidR="00970573" w:rsidRPr="008A1DCC">
        <w:rPr>
          <w:rFonts w:cs="Arial"/>
          <w:spacing w:val="-2"/>
          <w:sz w:val="22"/>
          <w:szCs w:val="22"/>
        </w:rPr>
        <w:tab/>
      </w:r>
      <w:r w:rsidR="00970573" w:rsidRPr="008A1DCC">
        <w:rPr>
          <w:rFonts w:cs="Arial"/>
          <w:spacing w:val="-2"/>
          <w:sz w:val="22"/>
          <w:szCs w:val="22"/>
        </w:rPr>
        <w:tab/>
      </w:r>
      <w:r w:rsidR="00970573" w:rsidRPr="008A1DCC">
        <w:rPr>
          <w:rFonts w:cs="Arial"/>
          <w:spacing w:val="-2"/>
          <w:sz w:val="22"/>
          <w:szCs w:val="22"/>
        </w:rPr>
        <w:tab/>
      </w:r>
      <w:r w:rsidR="00970573" w:rsidRPr="008A1DCC">
        <w:rPr>
          <w:rFonts w:cs="Arial"/>
          <w:spacing w:val="-2"/>
          <w:sz w:val="22"/>
          <w:szCs w:val="22"/>
        </w:rPr>
        <w:tab/>
      </w:r>
      <w:r w:rsidR="00970573" w:rsidRPr="008A1DCC">
        <w:rPr>
          <w:rFonts w:cs="Arial"/>
          <w:spacing w:val="-2"/>
          <w:sz w:val="22"/>
          <w:szCs w:val="22"/>
        </w:rPr>
        <w:tab/>
      </w:r>
      <w:bookmarkStart w:id="3" w:name="_GoBack"/>
      <w:bookmarkEnd w:id="3"/>
      <w:r w:rsidR="006A589B">
        <w:rPr>
          <w:rFonts w:cs="Arial"/>
          <w:spacing w:val="-2"/>
          <w:sz w:val="22"/>
          <w:szCs w:val="22"/>
        </w:rPr>
        <w:t xml:space="preserve">Purchase ID: </w:t>
      </w:r>
      <w:bookmarkStart w:id="4" w:name="sagitec18"/>
      <w:r w:rsidR="006A589B">
        <w:rPr>
          <w:rFonts w:cs="Arial"/>
          <w:spacing w:val="-2"/>
          <w:sz w:val="22"/>
          <w:szCs w:val="22"/>
        </w:rPr>
        <w:t>{</w:t>
      </w:r>
      <w:proofErr w:type="spellStart"/>
      <w:r w:rsidR="006A589B">
        <w:rPr>
          <w:rFonts w:cs="Arial"/>
          <w:spacing w:val="-2"/>
          <w:sz w:val="22"/>
          <w:szCs w:val="22"/>
        </w:rPr>
        <w:t>PurchaseID</w:t>
      </w:r>
      <w:proofErr w:type="spellEnd"/>
      <w:r w:rsidR="006A589B">
        <w:rPr>
          <w:rFonts w:cs="Arial"/>
          <w:spacing w:val="-2"/>
          <w:sz w:val="22"/>
          <w:szCs w:val="22"/>
        </w:rPr>
        <w:t>}</w:t>
      </w:r>
      <w:bookmarkEnd w:id="4"/>
    </w:p>
    <w:p w:rsidR="00CC00C9" w:rsidRPr="008A1DCC" w:rsidRDefault="00CC00C9" w:rsidP="00CC00C9">
      <w:pPr>
        <w:rPr>
          <w:rFonts w:cs="Arial"/>
          <w:spacing w:val="-2"/>
          <w:sz w:val="22"/>
          <w:szCs w:val="22"/>
        </w:rPr>
      </w:pPr>
      <w:bookmarkStart w:id="5" w:name="sagitec4"/>
      <w:r w:rsidRPr="008A1DCC">
        <w:rPr>
          <w:rFonts w:cs="Arial"/>
          <w:spacing w:val="-2"/>
          <w:sz w:val="22"/>
          <w:szCs w:val="22"/>
        </w:rPr>
        <w:t>{stdOrgName}</w:t>
      </w:r>
      <w:bookmarkEnd w:id="5"/>
    </w:p>
    <w:p w:rsidR="00CC00C9" w:rsidRPr="008A1DCC" w:rsidRDefault="00CC00C9" w:rsidP="00CC00C9">
      <w:pPr>
        <w:rPr>
          <w:rFonts w:cs="Arial"/>
          <w:spacing w:val="-2"/>
          <w:sz w:val="22"/>
          <w:szCs w:val="22"/>
        </w:rPr>
      </w:pPr>
      <w:bookmarkStart w:id="6" w:name="sagitec5"/>
      <w:r w:rsidRPr="008A1DCC">
        <w:rPr>
          <w:rFonts w:cs="Arial"/>
          <w:spacing w:val="-2"/>
          <w:sz w:val="22"/>
          <w:szCs w:val="22"/>
        </w:rPr>
        <w:t>{stdOCAdrCorStreet1}</w:t>
      </w:r>
      <w:bookmarkEnd w:id="6"/>
    </w:p>
    <w:p w:rsidR="00CC00C9" w:rsidRPr="008A1DCC" w:rsidRDefault="00CC00C9" w:rsidP="00CC00C9">
      <w:pPr>
        <w:rPr>
          <w:rFonts w:cs="Arial"/>
          <w:spacing w:val="-2"/>
          <w:sz w:val="22"/>
          <w:szCs w:val="22"/>
        </w:rPr>
      </w:pPr>
      <w:bookmarkStart w:id="7" w:name="sagitec6"/>
      <w:r w:rsidRPr="008A1DCC">
        <w:rPr>
          <w:rFonts w:cs="Arial"/>
          <w:spacing w:val="-2"/>
          <w:sz w:val="22"/>
          <w:szCs w:val="22"/>
        </w:rPr>
        <w:t>{x stdOCAdrCorStreet2}</w:t>
      </w:r>
      <w:bookmarkEnd w:id="7"/>
    </w:p>
    <w:p w:rsidR="00CC00C9" w:rsidRPr="008A1DCC" w:rsidRDefault="00CC00C9" w:rsidP="00CC00C9">
      <w:pPr>
        <w:rPr>
          <w:rFonts w:cs="Arial"/>
          <w:spacing w:val="-2"/>
          <w:sz w:val="22"/>
          <w:szCs w:val="22"/>
        </w:rPr>
      </w:pPr>
      <w:bookmarkStart w:id="8" w:name="sagitec7"/>
      <w:r w:rsidRPr="008A1DCC">
        <w:rPr>
          <w:rFonts w:cs="Arial"/>
          <w:spacing w:val="-2"/>
          <w:sz w:val="22"/>
          <w:szCs w:val="22"/>
        </w:rPr>
        <w:t>{stdOCAdrCorCity}</w:t>
      </w:r>
      <w:bookmarkEnd w:id="8"/>
      <w:r w:rsidRPr="008A1DCC">
        <w:rPr>
          <w:rFonts w:cs="Arial"/>
          <w:spacing w:val="-2"/>
          <w:sz w:val="22"/>
          <w:szCs w:val="22"/>
        </w:rPr>
        <w:t xml:space="preserve"> </w:t>
      </w:r>
      <w:bookmarkStart w:id="9" w:name="sagitec8"/>
      <w:r w:rsidRPr="008A1DCC">
        <w:rPr>
          <w:rFonts w:cs="Arial"/>
          <w:spacing w:val="-2"/>
          <w:sz w:val="22"/>
          <w:szCs w:val="22"/>
        </w:rPr>
        <w:t>{stdOCAdrCorState}</w:t>
      </w:r>
      <w:bookmarkEnd w:id="9"/>
      <w:r w:rsidRPr="008A1DCC">
        <w:rPr>
          <w:rFonts w:cs="Arial"/>
          <w:spacing w:val="-2"/>
          <w:sz w:val="22"/>
          <w:szCs w:val="22"/>
        </w:rPr>
        <w:t xml:space="preserve">  </w:t>
      </w:r>
      <w:bookmarkStart w:id="10" w:name="sagitec9"/>
      <w:r w:rsidRPr="008A1DCC">
        <w:rPr>
          <w:rFonts w:cs="Arial"/>
          <w:spacing w:val="-2"/>
          <w:sz w:val="22"/>
          <w:szCs w:val="22"/>
        </w:rPr>
        <w:t>{stdOCAdrCorZip}</w:t>
      </w:r>
      <w:bookmarkEnd w:id="10"/>
    </w:p>
    <w:p w:rsidR="00CC00C9" w:rsidRDefault="00CC00C9" w:rsidP="00CC00C9">
      <w:pPr>
        <w:rPr>
          <w:rFonts w:cs="Arial"/>
          <w:spacing w:val="-2"/>
          <w:sz w:val="22"/>
          <w:szCs w:val="22"/>
        </w:rPr>
      </w:pPr>
    </w:p>
    <w:p w:rsidR="00CC00C9" w:rsidRPr="008A1DCC" w:rsidRDefault="00CC00C9" w:rsidP="00CC00C9">
      <w:pPr>
        <w:rPr>
          <w:rFonts w:cs="Arial"/>
          <w:spacing w:val="-2"/>
          <w:sz w:val="22"/>
          <w:szCs w:val="22"/>
        </w:rPr>
      </w:pPr>
    </w:p>
    <w:p w:rsidR="002D477C" w:rsidRDefault="00CC00C9" w:rsidP="0007200D">
      <w:pPr>
        <w:autoSpaceDE w:val="0"/>
        <w:autoSpaceDN w:val="0"/>
        <w:adjustRightInd w:val="0"/>
        <w:ind w:left="2160" w:hanging="2160"/>
        <w:rPr>
          <w:rFonts w:cs="Arial"/>
          <w:sz w:val="22"/>
          <w:szCs w:val="22"/>
        </w:rPr>
      </w:pPr>
      <w:r w:rsidRPr="0007200D">
        <w:rPr>
          <w:rFonts w:cs="Arial"/>
          <w:b/>
          <w:caps/>
          <w:spacing w:val="-3"/>
          <w:sz w:val="20"/>
        </w:rPr>
        <w:t xml:space="preserve">RE:  </w:t>
      </w:r>
      <w:bookmarkStart w:id="11" w:name="sagitec10"/>
      <w:r w:rsidR="002D477C" w:rsidRPr="002D477C">
        <w:rPr>
          <w:rFonts w:cs="Arial"/>
          <w:b/>
          <w:sz w:val="20"/>
        </w:rPr>
        <w:t>{stdMbrFullNameLFM}</w:t>
      </w:r>
      <w:bookmarkEnd w:id="11"/>
      <w:r w:rsidR="002D477C" w:rsidRPr="002D477C">
        <w:rPr>
          <w:rFonts w:cs="Arial"/>
          <w:b/>
          <w:sz w:val="22"/>
          <w:szCs w:val="22"/>
        </w:rPr>
        <w:t xml:space="preserve"> </w:t>
      </w:r>
      <w:bookmarkStart w:id="12" w:name="sagitec11"/>
      <w:r w:rsidR="002D477C" w:rsidRPr="002D477C">
        <w:rPr>
          <w:rFonts w:cs="Arial"/>
          <w:b/>
          <w:sz w:val="22"/>
          <w:szCs w:val="22"/>
        </w:rPr>
        <w:t>{stdMbrPERSLinkID}</w:t>
      </w:r>
      <w:bookmarkEnd w:id="12"/>
    </w:p>
    <w:p w:rsidR="00CC00C9" w:rsidRDefault="00CC00C9" w:rsidP="00CC00C9">
      <w:pPr>
        <w:suppressAutoHyphens/>
        <w:rPr>
          <w:rFonts w:cs="Arial"/>
          <w:b/>
          <w:spacing w:val="-3"/>
          <w:sz w:val="22"/>
          <w:szCs w:val="22"/>
        </w:rPr>
      </w:pPr>
    </w:p>
    <w:p w:rsidR="00CC00C9" w:rsidRDefault="00CC00C9" w:rsidP="00CC00C9">
      <w:pPr>
        <w:suppressAutoHyphens/>
        <w:rPr>
          <w:rFonts w:cs="Arial"/>
          <w:spacing w:val="-2"/>
          <w:sz w:val="22"/>
          <w:szCs w:val="22"/>
        </w:rPr>
      </w:pPr>
      <w:r w:rsidRPr="008A1DCC">
        <w:rPr>
          <w:rFonts w:cs="Arial"/>
          <w:spacing w:val="-2"/>
          <w:sz w:val="22"/>
          <w:szCs w:val="22"/>
        </w:rPr>
        <w:t xml:space="preserve">Dear </w:t>
      </w:r>
      <w:bookmarkStart w:id="13" w:name="sagitec12"/>
      <w:r w:rsidRPr="008A1DCC">
        <w:rPr>
          <w:rFonts w:cs="Arial"/>
          <w:spacing w:val="-2"/>
          <w:sz w:val="22"/>
          <w:szCs w:val="22"/>
        </w:rPr>
        <w:t>{stdOCSalutation}</w:t>
      </w:r>
      <w:bookmarkEnd w:id="13"/>
      <w:r w:rsidRPr="008A1DCC">
        <w:rPr>
          <w:rFonts w:cs="Arial"/>
          <w:spacing w:val="-2"/>
          <w:sz w:val="22"/>
          <w:szCs w:val="22"/>
        </w:rPr>
        <w:t>:</w:t>
      </w:r>
    </w:p>
    <w:p w:rsidR="00CC00C9" w:rsidRDefault="00CC00C9" w:rsidP="00984AD7">
      <w:pPr>
        <w:suppressAutoHyphens/>
        <w:rPr>
          <w:rFonts w:cs="Arial"/>
          <w:spacing w:val="-3"/>
          <w:sz w:val="22"/>
          <w:szCs w:val="22"/>
        </w:rPr>
      </w:pPr>
    </w:p>
    <w:p w:rsidR="0007200D" w:rsidRPr="0007200D" w:rsidRDefault="0007200D" w:rsidP="0007200D">
      <w:pPr>
        <w:autoSpaceDE w:val="0"/>
        <w:autoSpaceDN w:val="0"/>
        <w:adjustRightInd w:val="0"/>
        <w:rPr>
          <w:rFonts w:cs="Arial"/>
          <w:sz w:val="22"/>
          <w:szCs w:val="22"/>
        </w:rPr>
      </w:pPr>
      <w:r w:rsidRPr="0007200D">
        <w:rPr>
          <w:rFonts w:cs="Arial"/>
          <w:sz w:val="22"/>
          <w:szCs w:val="22"/>
        </w:rPr>
        <w:t xml:space="preserve">The enclosed </w:t>
      </w:r>
      <w:r w:rsidRPr="002D477C">
        <w:rPr>
          <w:rFonts w:cs="Arial"/>
          <w:sz w:val="22"/>
          <w:szCs w:val="22"/>
          <w:u w:val="single"/>
        </w:rPr>
        <w:t>Irrevocable Salary Reduction Agreement for Purchase of Service Credit SFN-54004</w:t>
      </w:r>
      <w:r w:rsidRPr="0007200D">
        <w:rPr>
          <w:rFonts w:cs="Arial"/>
          <w:sz w:val="22"/>
          <w:szCs w:val="22"/>
        </w:rPr>
        <w:t xml:space="preserve"> has been completed by the above referenced employee to begin </w:t>
      </w:r>
      <w:r w:rsidRPr="0007200D">
        <w:rPr>
          <w:rFonts w:cs="Arial"/>
          <w:b/>
          <w:sz w:val="22"/>
          <w:szCs w:val="22"/>
          <w:u w:val="single"/>
        </w:rPr>
        <w:t>pre-tax</w:t>
      </w:r>
      <w:r>
        <w:rPr>
          <w:rFonts w:cs="Arial"/>
          <w:sz w:val="22"/>
          <w:szCs w:val="22"/>
        </w:rPr>
        <w:t xml:space="preserve"> payroll deductions.</w:t>
      </w:r>
    </w:p>
    <w:p w:rsidR="0007200D" w:rsidRPr="0007200D" w:rsidRDefault="0007200D" w:rsidP="0007200D">
      <w:pPr>
        <w:autoSpaceDE w:val="0"/>
        <w:autoSpaceDN w:val="0"/>
        <w:adjustRightInd w:val="0"/>
        <w:rPr>
          <w:rFonts w:cs="Arial"/>
          <w:sz w:val="22"/>
          <w:szCs w:val="22"/>
        </w:rPr>
      </w:pPr>
    </w:p>
    <w:p w:rsidR="0007200D" w:rsidRPr="0007200D" w:rsidRDefault="0007200D" w:rsidP="0007200D">
      <w:pPr>
        <w:autoSpaceDE w:val="0"/>
        <w:autoSpaceDN w:val="0"/>
        <w:adjustRightInd w:val="0"/>
        <w:rPr>
          <w:rFonts w:cs="Arial"/>
          <w:sz w:val="22"/>
          <w:szCs w:val="22"/>
        </w:rPr>
      </w:pPr>
      <w:r w:rsidRPr="0007200D">
        <w:rPr>
          <w:rFonts w:cs="Arial"/>
          <w:sz w:val="22"/>
          <w:szCs w:val="22"/>
        </w:rPr>
        <w:t xml:space="preserve">Please begin the pretax deduction as indicated on the agreement </w:t>
      </w:r>
      <w:bookmarkStart w:id="14" w:name="sagitec15"/>
      <w:r w:rsidR="00AC2361">
        <w:rPr>
          <w:rFonts w:cs="Arial"/>
          <w:sz w:val="22"/>
          <w:szCs w:val="22"/>
        </w:rPr>
        <w:t>{qu DeductionBeginDate}</w:t>
      </w:r>
      <w:bookmarkEnd w:id="14"/>
      <w:r w:rsidR="00AC2361">
        <w:rPr>
          <w:rFonts w:cs="Arial"/>
          <w:sz w:val="22"/>
          <w:szCs w:val="22"/>
        </w:rPr>
        <w:t xml:space="preserve"> for the amount specified </w:t>
      </w:r>
      <w:bookmarkStart w:id="15" w:name="sagitec16"/>
      <w:r w:rsidR="00AC2361">
        <w:rPr>
          <w:rFonts w:cs="Arial"/>
          <w:sz w:val="22"/>
          <w:szCs w:val="22"/>
        </w:rPr>
        <w:t>{qu MonthlyDeductionAmount}</w:t>
      </w:r>
      <w:bookmarkEnd w:id="15"/>
      <w:r w:rsidRPr="0007200D">
        <w:rPr>
          <w:rFonts w:cs="Arial"/>
          <w:sz w:val="22"/>
          <w:szCs w:val="22"/>
        </w:rPr>
        <w:t xml:space="preserve">.  Due to IRS restrictions, this monthly payroll deduction can not be changed at anytime during the contract period.  It can only be stopped when the contract is paid in full, or due to termination, retirement, disability or death of the member.  The deduction must continue until the date indicated on the form </w:t>
      </w:r>
      <w:bookmarkStart w:id="16" w:name="sagitec17"/>
      <w:r w:rsidR="00AC2361">
        <w:rPr>
          <w:rFonts w:cs="Arial"/>
          <w:sz w:val="22"/>
          <w:szCs w:val="22"/>
        </w:rPr>
        <w:t>{qu DeductionEndDate}</w:t>
      </w:r>
      <w:bookmarkEnd w:id="16"/>
      <w:r w:rsidRPr="0007200D">
        <w:rPr>
          <w:rFonts w:cs="Arial"/>
          <w:sz w:val="22"/>
          <w:szCs w:val="22"/>
        </w:rPr>
        <w:t>.  In addition, supplemental after-tax payments CANNOT be applied to the contract.  Payroll deductions must be remitted to NDPERS prior to the 15th of each month.</w:t>
      </w:r>
    </w:p>
    <w:p w:rsidR="0007200D" w:rsidRPr="0007200D" w:rsidRDefault="0007200D" w:rsidP="0007200D">
      <w:pPr>
        <w:autoSpaceDE w:val="0"/>
        <w:autoSpaceDN w:val="0"/>
        <w:adjustRightInd w:val="0"/>
        <w:rPr>
          <w:rFonts w:cs="Arial"/>
          <w:sz w:val="22"/>
          <w:szCs w:val="22"/>
        </w:rPr>
      </w:pPr>
    </w:p>
    <w:p w:rsidR="0007200D" w:rsidRPr="0007200D" w:rsidRDefault="0007200D" w:rsidP="0007200D">
      <w:pPr>
        <w:autoSpaceDE w:val="0"/>
        <w:autoSpaceDN w:val="0"/>
        <w:adjustRightInd w:val="0"/>
        <w:rPr>
          <w:rFonts w:cs="Arial"/>
          <w:sz w:val="22"/>
          <w:szCs w:val="22"/>
        </w:rPr>
      </w:pPr>
      <w:r w:rsidRPr="0007200D">
        <w:rPr>
          <w:rFonts w:cs="Arial"/>
          <w:sz w:val="22"/>
          <w:szCs w:val="22"/>
        </w:rPr>
        <w:t>For state agencies using the PeopleSoft payroll system, use the new general deduction (S00733 when setting this up) for pretax purchase payments.</w:t>
      </w:r>
    </w:p>
    <w:p w:rsidR="0007200D" w:rsidRDefault="0007200D" w:rsidP="0007200D">
      <w:pPr>
        <w:autoSpaceDE w:val="0"/>
        <w:autoSpaceDN w:val="0"/>
        <w:adjustRightInd w:val="0"/>
        <w:rPr>
          <w:rFonts w:cs="Arial"/>
          <w:szCs w:val="24"/>
        </w:rPr>
      </w:pPr>
    </w:p>
    <w:p w:rsidR="00BA72ED" w:rsidRPr="009C0DB9" w:rsidRDefault="00BA72ED" w:rsidP="00984AD7">
      <w:pPr>
        <w:suppressAutoHyphens/>
        <w:rPr>
          <w:rFonts w:cs="Arial"/>
          <w:spacing w:val="-3"/>
          <w:sz w:val="22"/>
          <w:szCs w:val="22"/>
        </w:rPr>
      </w:pPr>
      <w:r w:rsidRPr="009C0DB9">
        <w:rPr>
          <w:rFonts w:cs="Arial"/>
          <w:spacing w:val="-3"/>
          <w:sz w:val="22"/>
          <w:szCs w:val="22"/>
        </w:rPr>
        <w:t xml:space="preserve">If you have any questions, please call NDPERS at </w:t>
      </w:r>
      <w:bookmarkStart w:id="17" w:name="sagitec13"/>
      <w:r w:rsidRPr="009C0DB9">
        <w:rPr>
          <w:rFonts w:cs="Arial"/>
          <w:spacing w:val="-3"/>
          <w:sz w:val="22"/>
          <w:szCs w:val="22"/>
        </w:rPr>
        <w:t>{stdNDPERSPhoneNumber}</w:t>
      </w:r>
      <w:bookmarkEnd w:id="17"/>
      <w:r w:rsidRPr="009C0DB9">
        <w:rPr>
          <w:rFonts w:cs="Arial"/>
          <w:spacing w:val="-3"/>
          <w:sz w:val="22"/>
          <w:szCs w:val="22"/>
        </w:rPr>
        <w:t xml:space="preserve"> or </w:t>
      </w:r>
      <w:bookmarkStart w:id="18" w:name="sagitec14"/>
      <w:r w:rsidRPr="009C0DB9">
        <w:rPr>
          <w:rFonts w:cs="Arial"/>
          <w:spacing w:val="-3"/>
          <w:sz w:val="22"/>
          <w:szCs w:val="22"/>
        </w:rPr>
        <w:t>{stdNDPERSTollFreePhoneNumber}</w:t>
      </w:r>
      <w:bookmarkEnd w:id="18"/>
    </w:p>
    <w:p w:rsidR="00BA72ED" w:rsidRPr="009C0DB9" w:rsidRDefault="00BA72ED"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r w:rsidRPr="009C0DB9">
        <w:rPr>
          <w:rFonts w:cs="Arial"/>
          <w:spacing w:val="-3"/>
          <w:sz w:val="22"/>
          <w:szCs w:val="22"/>
        </w:rPr>
        <w:t>Sincerely,</w:t>
      </w:r>
    </w:p>
    <w:p w:rsidR="00BA72ED" w:rsidRPr="009C0DB9" w:rsidRDefault="00BA72ED"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p>
    <w:p w:rsidR="001F5D4B" w:rsidRPr="001F74BA" w:rsidRDefault="0027656C" w:rsidP="00984AD7">
      <w:pPr>
        <w:suppressAutoHyphens/>
        <w:rPr>
          <w:rFonts w:cs="Arial"/>
          <w:spacing w:val="-3"/>
          <w:sz w:val="22"/>
          <w:szCs w:val="22"/>
        </w:rPr>
      </w:pPr>
      <w:r w:rsidRPr="009C0DB9">
        <w:rPr>
          <w:rFonts w:cs="Arial"/>
          <w:spacing w:val="-3"/>
          <w:sz w:val="22"/>
          <w:szCs w:val="22"/>
        </w:rPr>
        <w:t>NDPERS Accounting Division</w:t>
      </w:r>
    </w:p>
    <w:sectPr w:rsidR="001F5D4B" w:rsidRPr="001F74BA" w:rsidSect="00FE062F">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83E" w:rsidRDefault="00ED583E">
      <w:r>
        <w:separator/>
      </w:r>
    </w:p>
  </w:endnote>
  <w:endnote w:type="continuationSeparator" w:id="0">
    <w:p w:rsidR="00ED583E" w:rsidRDefault="00ED5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DA6" w:rsidRPr="00A56DA6" w:rsidRDefault="002D477C">
    <w:pPr>
      <w:pStyle w:val="Footer"/>
      <w:rPr>
        <w:sz w:val="18"/>
        <w:szCs w:val="18"/>
      </w:rPr>
    </w:pPr>
    <w:r w:rsidRPr="0020216B">
      <w:rPr>
        <w:sz w:val="18"/>
        <w:szCs w:val="18"/>
      </w:rPr>
      <w:t>PUR-8311 (03-2017)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83E" w:rsidRDefault="00ED583E">
      <w:r>
        <w:separator/>
      </w:r>
    </w:p>
  </w:footnote>
  <w:footnote w:type="continuationSeparator" w:id="0">
    <w:p w:rsidR="00ED583E" w:rsidRDefault="00ED5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19E" w:rsidRDefault="00FE062F" w:rsidP="00FE062F">
    <w:pPr>
      <w:pStyle w:val="Header"/>
      <w:ind w:left="-1440" w:right="-1440"/>
    </w:pPr>
    <w:bookmarkStart w:id="19" w:name="HeaderImage"/>
    <w:r>
      <w:t>{ImgImage}</w:t>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299E"/>
    <w:rsid w:val="000340F8"/>
    <w:rsid w:val="000561E3"/>
    <w:rsid w:val="0007200D"/>
    <w:rsid w:val="00080032"/>
    <w:rsid w:val="00091C96"/>
    <w:rsid w:val="000D1A37"/>
    <w:rsid w:val="000E758F"/>
    <w:rsid w:val="0014759C"/>
    <w:rsid w:val="00171F98"/>
    <w:rsid w:val="001775FF"/>
    <w:rsid w:val="00177C15"/>
    <w:rsid w:val="001974AA"/>
    <w:rsid w:val="001A6202"/>
    <w:rsid w:val="001E7949"/>
    <w:rsid w:val="001F5D4B"/>
    <w:rsid w:val="001F74BA"/>
    <w:rsid w:val="0020216B"/>
    <w:rsid w:val="00254DA0"/>
    <w:rsid w:val="00264AF4"/>
    <w:rsid w:val="0027656C"/>
    <w:rsid w:val="00291E9A"/>
    <w:rsid w:val="002B1D24"/>
    <w:rsid w:val="002B6E3A"/>
    <w:rsid w:val="002C48AD"/>
    <w:rsid w:val="002D477C"/>
    <w:rsid w:val="002D7BE1"/>
    <w:rsid w:val="002E19BD"/>
    <w:rsid w:val="002E3EE6"/>
    <w:rsid w:val="00301E14"/>
    <w:rsid w:val="003059AE"/>
    <w:rsid w:val="003351DE"/>
    <w:rsid w:val="00361D70"/>
    <w:rsid w:val="0036559C"/>
    <w:rsid w:val="003D0C87"/>
    <w:rsid w:val="00424C7A"/>
    <w:rsid w:val="00436627"/>
    <w:rsid w:val="0044731A"/>
    <w:rsid w:val="0047157A"/>
    <w:rsid w:val="004A4E15"/>
    <w:rsid w:val="004C46EF"/>
    <w:rsid w:val="004C4C2C"/>
    <w:rsid w:val="004D7EF1"/>
    <w:rsid w:val="0050118E"/>
    <w:rsid w:val="00504734"/>
    <w:rsid w:val="00515F48"/>
    <w:rsid w:val="00526600"/>
    <w:rsid w:val="005275EF"/>
    <w:rsid w:val="00552410"/>
    <w:rsid w:val="0059276F"/>
    <w:rsid w:val="005A7625"/>
    <w:rsid w:val="005D4A97"/>
    <w:rsid w:val="005F5C51"/>
    <w:rsid w:val="00622FBB"/>
    <w:rsid w:val="00687544"/>
    <w:rsid w:val="00694EB7"/>
    <w:rsid w:val="006A589B"/>
    <w:rsid w:val="006C5B3B"/>
    <w:rsid w:val="006F48AF"/>
    <w:rsid w:val="00722B45"/>
    <w:rsid w:val="007451CF"/>
    <w:rsid w:val="0077299E"/>
    <w:rsid w:val="00775509"/>
    <w:rsid w:val="00797CCB"/>
    <w:rsid w:val="007A1DFE"/>
    <w:rsid w:val="00804C45"/>
    <w:rsid w:val="0080665C"/>
    <w:rsid w:val="00835AE0"/>
    <w:rsid w:val="008574DC"/>
    <w:rsid w:val="008632E8"/>
    <w:rsid w:val="00870E77"/>
    <w:rsid w:val="00873AD4"/>
    <w:rsid w:val="008B5668"/>
    <w:rsid w:val="008E3B13"/>
    <w:rsid w:val="008F296B"/>
    <w:rsid w:val="00954679"/>
    <w:rsid w:val="00970573"/>
    <w:rsid w:val="00984AD7"/>
    <w:rsid w:val="009C0DB9"/>
    <w:rsid w:val="009E36D4"/>
    <w:rsid w:val="00A15790"/>
    <w:rsid w:val="00A31822"/>
    <w:rsid w:val="00A402FB"/>
    <w:rsid w:val="00A40939"/>
    <w:rsid w:val="00A4746E"/>
    <w:rsid w:val="00A51EF0"/>
    <w:rsid w:val="00A52442"/>
    <w:rsid w:val="00A56DA6"/>
    <w:rsid w:val="00AB11DF"/>
    <w:rsid w:val="00AC2361"/>
    <w:rsid w:val="00AC4013"/>
    <w:rsid w:val="00AE319E"/>
    <w:rsid w:val="00AE3417"/>
    <w:rsid w:val="00B05457"/>
    <w:rsid w:val="00B114F2"/>
    <w:rsid w:val="00B1200E"/>
    <w:rsid w:val="00B37161"/>
    <w:rsid w:val="00BA5268"/>
    <w:rsid w:val="00BA72ED"/>
    <w:rsid w:val="00BB7D6F"/>
    <w:rsid w:val="00BC7FAC"/>
    <w:rsid w:val="00BE55A0"/>
    <w:rsid w:val="00C079E4"/>
    <w:rsid w:val="00C110BE"/>
    <w:rsid w:val="00C206B1"/>
    <w:rsid w:val="00C6100E"/>
    <w:rsid w:val="00CC00C9"/>
    <w:rsid w:val="00CC501F"/>
    <w:rsid w:val="00CC735D"/>
    <w:rsid w:val="00CD062B"/>
    <w:rsid w:val="00D13434"/>
    <w:rsid w:val="00D4354F"/>
    <w:rsid w:val="00D729DE"/>
    <w:rsid w:val="00D8452A"/>
    <w:rsid w:val="00D865F6"/>
    <w:rsid w:val="00D904C7"/>
    <w:rsid w:val="00D93987"/>
    <w:rsid w:val="00E27247"/>
    <w:rsid w:val="00E73447"/>
    <w:rsid w:val="00EA3906"/>
    <w:rsid w:val="00EC6EE3"/>
    <w:rsid w:val="00ED583E"/>
    <w:rsid w:val="00EE39CC"/>
    <w:rsid w:val="00EF2E3C"/>
    <w:rsid w:val="00F30D79"/>
    <w:rsid w:val="00F36A2D"/>
    <w:rsid w:val="00F7528A"/>
    <w:rsid w:val="00FB5B98"/>
    <w:rsid w:val="00FE062F"/>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EC981FD-B4A1-4C62-9221-205C8828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NDPERS Letterhead</Template>
  <TotalTime>2</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Fulsoundar, Vidya</cp:lastModifiedBy>
  <cp:revision>5</cp:revision>
  <cp:lastPrinted>2012-01-26T13:08:00Z</cp:lastPrinted>
  <dcterms:created xsi:type="dcterms:W3CDTF">2017-03-29T21:20:00Z</dcterms:created>
  <dcterms:modified xsi:type="dcterms:W3CDTF">2019-10-03T10:45:00Z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