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pPr>
        <w:pStyle w:val="papertitle"/>
        <w:spacing w:before="5pt" w:after="5pt"/>
      </w:pPr>
      <w:r>
        <w:rPr>
          <w:sz w:val="40"/>
          <w:szCs w:val="40"/>
        </w:rPr>
        <w:t>SENTRA-AI: An Autonomous Multi-Agent Framework with Active Evidence Guardrails for Reproducible Machine Learning Code Generation</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headerReference w:type="even" r:id="rId8"/>
          <w:headerReference w:type="default" r:id="rId9"/>
          <w:footerReference w:type="even" r:id="rId10"/>
          <w:footerReference w:type="default" r:id="rId11"/>
          <w:headerReference w:type="first" r:id="rId12"/>
          <w:footerReference w:type="first" r:id="rId13"/>
          <w:pgSz w:w="595.30pt" w:h="841.90pt" w:code="9"/>
          <w:pgMar w:top="27pt" w:right="44.65pt" w:bottom="72pt" w:left="44.65pt" w:header="36pt" w:footer="36pt" w:gutter="0pt"/>
          <w:cols w:space="36pt"/>
          <w:titlePg/>
          <w:docGrid w:linePitch="360"/>
        </w:sectPr>
      </w:pPr>
    </w:p>
    <w:p>
      <w:pPr>
        <w:pStyle w:val="Author"/>
        <w:spacing w:before="6pt" w:after="6pt"/>
      </w:pPr>
      <w:r>
        <w:rPr>
          <w:sz w:val="20"/>
          <w:szCs w:val="20"/>
        </w:rPr>
        <w:t>Karthi</w:t>
      </w:r>
      <w:r>
        <w:rPr>
          <w:sz w:val="20"/>
          <w:szCs w:val="20"/>
        </w:rPr>
        <w:br/>
      </w:r>
      <w:r>
        <w:rPr>
          <w:i/>
          <w:sz w:val="20"/>
          <w:szCs w:val="20"/>
        </w:rPr>
        <w:t>Department of Artificial Intelligence &amp; Computer Science</w:t>
      </w:r>
    </w:p>
    <w:p>
      <w:pPr>
        <w:pStyle w:val="Author"/>
        <w:spacing w:before="6pt" w:after="6pt"/>
      </w:pPr>
      <w:r>
        <w:br w:type="column"/>
      </w:r>
      <w:r>
        <w:rPr>
          <w:sz w:val="20"/>
          <w:szCs w:val="20"/>
        </w:rPr>
        <w:t>The SENTRA-AI Research Team</w:t>
      </w:r>
      <w:r>
        <w:rPr>
          <w:sz w:val="20"/>
          <w:szCs w:val="20"/>
        </w:rPr>
        <w:br/>
      </w:r>
      <w:r>
        <w:rPr>
          <w:i/>
          <w:sz w:val="20"/>
          <w:szCs w:val="20"/>
        </w:rPr>
        <w:t>Department of Artificial Intelligence &amp; Computer Science</w:t>
      </w:r>
    </w:p>
    <w:p>
      <w:pPr>
        <w:spacing w:before="0pt" w:after="0pt"/>
        <w:sectPr>
          <w:type w:val="continuous"/>
          <w:pgSz w:w="595.30pt" w:h="841.90pt" w:code="9"/>
          <w:pgMar w:top="27pt" w:right="44.65pt" w:bottom="72pt" w:left="44.65pt" w:header="36pt" w:footer="36pt" w:gutter="0pt"/>
          <w:cols w:num="2" w:space="36pt"/>
          <w:docGrid w:linePitch="360"/>
        </w:sectPr>
      </w:pPr>
    </w:p>
    <w:p>
      <w:pPr>
        <w:pStyle w:val="Abstract"/>
      </w:pPr>
      <w:r>
        <w:rPr>
          <w:i/>
          <w:iCs/>
        </w:rPr>
        <w:t>Abstract</w:t>
      </w:r>
      <w:r>
        <w:t>—</w:t>
      </w:r>
      <w:r>
        <w:t xml:space="preserve">Machine learning research faces a persistent reproducibility problem: turning the textual specifications, mathematical formulations, and hyperparameters of a paper into clean, executable code remains a laborious and error-prone human task, and monolithic large language model (LLM) code generators are prone to hallucination, ungrounded hyperparameter choices, incomplete modules, and syntax errors. This paper presents SENTRA-AI, an end-to-end autonomous multi-agent framework that parses, verifies, generates, and dynamically tests machine learning implementations grounded strictly in research papers. SENTRA-AI decomposes paper-to-code generation into four agents bound by formal contracts: a provenance-preserving research agent built on session-isolated retrieval-augmented generation (RAG) with page-aware vector indexing; an active evidence guardrail with a bounded revision loop of at most three iterations that eliminates silent parameter assumptions; a multi-file code generation engine that detects the architectural family of a paper and emits modular PyTorch code with inline specification traceability; and a zero-API dynamic testing agent that verifies the generated code along ten structural and numerical axes. On benchmark papers covering the Transformer, ResNet, and GCN, SENTRA-AI reduces hyperparameter hallucination by 87.5% relative to an unguarded RAG baseline and by 91.8% relative to a monolithic prompt baseline, with a 94.2% initial syntax pass rate and full trace-to-source provenance.</w:t>
      </w:r>
    </w:p>
    <w:p>
      <w:pPr>
        <w:pStyle w:val="Keywords"/>
      </w:pPr>
      <w:r>
        <w:t>Keywords—</w:t>
      </w:r>
      <w:r>
        <w:rPr>
          <w:b w:val="0"/>
        </w:rPr>
        <w:t>multi-agent systems, code generation, reproducible AI, retrieval-augmented generation (RAG), automated testing, neural network engineering</w:t>
      </w:r>
    </w:p>
    <w:p>
      <w:pPr>
        <w:pStyle w:val="Heading1"/>
      </w:pPr>
      <w:r>
        <w:t xml:space="preserve">Introduction</w:t>
      </w:r>
    </w:p>
    <w:p>
      <w:pPr>
        <w:pStyle w:val="BodyText"/>
      </w:pPr>
      <w:r>
        <w:t xml:space="preserve">The rapid growth of deep learning research produces thousands of new neural network architectures, optimization algorithms, and loss functions every year, yet a significant gap persists between published papers and verified software implementations. Authors frequently omit critical implementation details, such as exact projection dimensions, normalization layer placement, or custom weight initialization schemes, or release codebases that deviate from the claims made in the paper.</w:t>
      </w:r>
    </w:p>
    <w:p>
      <w:pPr>
        <w:pStyle w:val="BodyText"/>
      </w:pPr>
      <w:r>
        <w:t xml:space="preserve">Engineers and researchers who reimplement a model from its text face two core challenges. The first is </w:t>
      </w:r>
      <w:r>
        <w:rPr>
          <w:i/>
          <w:iCs/>
        </w:rPr>
        <w:t xml:space="preserve">ambiguity and incompleteness</w:t>
      </w:r>
      <w:r>
        <w:t xml:space="preserve">: translating dense equations into tensor operations demands deep domain expertise. The second is </w:t>
      </w:r>
      <w:r>
        <w:rPr>
          <w:i/>
          <w:iCs/>
        </w:rPr>
        <w:t xml:space="preserve">LLM hallucination and monolithic failure</w:t>
      </w:r>
      <w:r>
        <w:t xml:space="preserve">: generic zero-shot prompting of an LLM typically yields a single-file code block with missing imports, mismatched tensor dimensions, hallucinated hyperparameter defaults (for example, defaulting to </w:t>
      </w:r>
      <w:r>
        <w:rPr>
          <w:rFonts w:ascii="Courier New" w:hAnsi="Courier New" w:cs="Courier New"/>
          <w:sz w:val="16"/>
          <w:szCs w:val="16"/>
        </w:rPr>
        <w:t xml:space="preserve">Adam, lr=1e-3</w:t>
      </w:r>
      <w:r>
        <w:t xml:space="preserve"> when the paper used a custom warmup scheduler), and unhandled runtime exceptions.</w:t>
      </w:r>
    </w:p>
    <w:p>
      <w:pPr>
        <w:pStyle w:val="BodyText"/>
      </w:pPr>
      <w:r>
        <w:t xml:space="preserve">To address these limitations we introduce SENTRA-AI, an agentic framework built on the principle of </w:t>
      </w:r>
      <w:r>
        <w:rPr>
          <w:i/>
          <w:iCs/>
        </w:rPr>
        <w:t xml:space="preserve">evidence-grounded execution</w:t>
      </w:r>
      <w:r>
        <w:t xml:space="preserve">. Rather than relying on a single end-to-end model call, SENTRA-AI divides responsibilities among four specialized agents connected by strict validation contracts (Fig. 1). The contributions of this work are as follows.</w:t>
      </w:r>
    </w:p>
    <w:p>
      <w:pPr>
        <w:pStyle w:val="bulletlist"/>
      </w:pPr>
      <w:r>
        <w:rPr>
          <w:b/>
          <w:bCs/>
        </w:rPr>
        <w:t xml:space="preserve">Session-isolated RAG engine.</w:t>
      </w:r>
      <w:r>
        <w:t xml:space="preserve"> A multi-document retrieval pipeline that uses 500-word page-aware overlapping chunks and FAISS L2 indexing, with 100% document-page provenance tracking.</w:t>
      </w:r>
    </w:p>
    <w:p>
      <w:pPr>
        <w:pStyle w:val="bulletlist"/>
      </w:pPr>
      <w:r>
        <w:rPr>
          <w:b/>
          <w:bCs/>
        </w:rPr>
        <w:t xml:space="preserve">Active evidence guardrail with bounded revision.</w:t>
      </w:r>
      <w:r>
        <w:t xml:space="preserve"> A formal specification contract (</w:t>
      </w:r>
      <w:r>
        <w:rPr>
          <w:rFonts w:ascii="Courier New" w:hAnsi="Courier New" w:cs="Courier New"/>
          <w:sz w:val="16"/>
          <w:szCs w:val="16"/>
        </w:rPr>
        <w:t xml:space="preserve">VerifiedMLSpecification</w:t>
      </w:r>
      <w:r>
        <w:t xml:space="preserve">) that subjects candidate architectural claims to targeted counter-retrieval and halts with an </w:t>
      </w:r>
      <w:r>
        <w:rPr>
          <w:rFonts w:ascii="Courier New" w:hAnsi="Courier New" w:cs="Courier New"/>
          <w:sz w:val="16"/>
          <w:szCs w:val="16"/>
        </w:rPr>
        <w:t xml:space="preserve">EVIDENCE_UNRESOLVED</w:t>
      </w:r>
      <w:r>
        <w:t xml:space="preserve"> state when paper evidence is missing, rather than inventing defaults.</w:t>
      </w:r>
    </w:p>
    <w:p>
      <w:pPr>
        <w:pStyle w:val="bulletlist"/>
      </w:pPr>
      <w:r>
        <w:rPr>
          <w:b/>
          <w:bCs/>
        </w:rPr>
        <w:t xml:space="preserve">Architectural family detection and multi-file synthesis.</w:t>
      </w:r>
      <w:r>
        <w:t xml:space="preserve"> An automated classifier that assigns a paper to a deep learning family (attention, convolutional, recurrent, graph, or GAN) and orchestrates multi-file PyTorch generation (</w:t>
      </w:r>
      <w:r>
        <w:rPr>
          <w:rFonts w:ascii="Courier New" w:hAnsi="Courier New" w:cs="Courier New"/>
          <w:sz w:val="16"/>
          <w:szCs w:val="16"/>
        </w:rPr>
        <w:t xml:space="preserve">attention.py</w:t>
      </w:r>
      <w:r>
        <w:t xml:space="preserve">, </w:t>
      </w:r>
      <w:r>
        <w:rPr>
          <w:rFonts w:ascii="Courier New" w:hAnsi="Courier New" w:cs="Courier New"/>
          <w:sz w:val="16"/>
          <w:szCs w:val="16"/>
        </w:rPr>
        <w:t xml:space="preserve">layers.py</w:t>
      </w:r>
      <w:r>
        <w:t xml:space="preserve">, </w:t>
      </w:r>
      <w:r>
        <w:rPr>
          <w:rFonts w:ascii="Courier New" w:hAnsi="Courier New" w:cs="Courier New"/>
          <w:sz w:val="16"/>
          <w:szCs w:val="16"/>
        </w:rPr>
        <w:t xml:space="preserve">blocks.py</w:t>
      </w:r>
      <w:r>
        <w:t xml:space="preserve">, </w:t>
      </w:r>
      <w:r>
        <w:rPr>
          <w:rFonts w:ascii="Courier New" w:hAnsi="Courier New" w:cs="Courier New"/>
          <w:sz w:val="16"/>
          <w:szCs w:val="16"/>
        </w:rPr>
        <w:t xml:space="preserve">model.py</w:t>
      </w:r>
      <w:r>
        <w:t xml:space="preserve">, </w:t>
      </w:r>
      <w:r>
        <w:rPr>
          <w:rFonts w:ascii="Courier New" w:hAnsi="Courier New" w:cs="Courier New"/>
          <w:sz w:val="16"/>
          <w:szCs w:val="16"/>
        </w:rPr>
        <w:t xml:space="preserve">train.py</w:t>
      </w:r>
      <w:r>
        <w:t xml:space="preserve">, </w:t>
      </w:r>
      <w:r>
        <w:rPr>
          <w:rFonts w:ascii="Courier New" w:hAnsi="Courier New" w:cs="Courier New"/>
          <w:sz w:val="16"/>
          <w:szCs w:val="16"/>
        </w:rPr>
        <w:t xml:space="preserve">main.py</w:t>
      </w:r>
      <w:r>
        <w:t xml:space="preserve">).</w:t>
      </w:r>
    </w:p>
    <w:p>
      <w:pPr>
        <w:pStyle w:val="bulletlist"/>
      </w:pPr>
      <w:r>
        <w:rPr>
          <w:b/>
          <w:bCs/>
        </w:rPr>
        <w:t xml:space="preserve">Dynamic 10-tier verification suite.</w:t>
      </w:r>
      <w:r>
        <w:t xml:space="preserve"> A zero-API test framework that validates AST syntax, tensor dimension transformations, numerical stability, backpropagation gradient flow, and parameter counts without external API calls.</w:t>
      </w:r>
    </w:p>
    <w:p>
      <w:pPr>
        <w:keepNext/>
        <w:spacing w:before="6pt" w:after="0pt"/>
        <w:jc w:val="center"/>
      </w:pPr>
      <w:r>
        <w:drawing>
          <wp:inline distT="0" distB="0" distL="0" distR="0">
            <wp:extent cx="2514600" cy="3106270"/>
            <wp:docPr id="101" name="Figure 101" descr="SENTRA-AI pipeline architecture. A research PDF flows through the Research Agent, the Active Evidence Guardrail, the Code Agent, and the Dynamic ML Testing Agen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1" name="fig1_pipeline.png"/>
                    <pic:cNvPicPr/>
                  </pic:nvPicPr>
                  <pic:blipFill>
                    <a:blip r:embed="rId20"/>
                    <a:stretch>
                      <a:fillRect/>
                    </a:stretch>
                  </pic:blipFill>
                  <pic:spPr>
                    <a:xfrm>
                      <a:off x="0" y="0"/>
                      <a:ext cx="2514600" cy="3106270"/>
                    </a:xfrm>
                    <a:prstGeom prst="rect">
                      <a:avLst/>
                    </a:prstGeom>
                  </pic:spPr>
                </pic:pic>
              </a:graphicData>
            </a:graphic>
          </wp:inline>
        </w:drawing>
      </w:r>
    </w:p>
    <w:p>
      <w:pPr>
        <w:pStyle w:val="figurecaption"/>
        <w:jc w:val="center"/>
      </w:pPr>
      <w:r>
        <w:t xml:space="preserve">SENTRA-AI pipeline architecture. A research PDF flows through the Research Agent, the Active Evidence Guardrail, the Code Agent, and the Dynamic ML Testing Agent.</w:t>
      </w:r>
    </w:p>
    <w:p>
      <w:pPr>
        <w:pStyle w:val="Heading1"/>
      </w:pPr>
      <w:r>
        <w:t xml:space="preserve">System Architecture and Multi-Agent Design</w:t>
      </w:r>
    </w:p>
    <w:p>
      <w:pPr>
        <w:pStyle w:val="BodyText"/>
      </w:pPr>
      <w:r>
        <w:t xml:space="preserve">The SENTRA-AI runtime consists of four decoupled agentic components orchestrated by a session workspace manager.</w:t>
      </w:r>
    </w:p>
    <w:p>
      <w:pPr>
        <w:pStyle w:val="Heading2"/>
      </w:pPr>
      <w:r>
        <w:t xml:space="preserve">Research Agent and Provenance-Preserving RAG</w:t>
      </w:r>
    </w:p>
    <w:p>
      <w:pPr>
        <w:pStyle w:val="BodyText"/>
      </w:pPr>
      <w:r>
        <w:t xml:space="preserve">Given an input research document </w:t>
      </w:r>
      <w:r>
        <w:rPr>
          <w:i/>
          <w:iCs/>
        </w:rPr>
        <w:t xml:space="preserve">D</w:t>
      </w:r>
      <w:r>
        <w:t xml:space="preserve">, the Research Agent extracts page-by-page text with PyMuPDF and splits it into overlapping blocks of </w:t>
      </w:r>
      <w:r>
        <w:rPr>
          <w:i/>
          <w:iCs/>
        </w:rPr>
        <w:t xml:space="preserve">W</w:t>
      </w:r>
      <w:r>
        <w:t xml:space="preserve"> = 500 words with an overlap of </w:t>
      </w:r>
      <w:r>
        <w:rPr>
          <w:i/>
          <w:iCs/>
        </w:rPr>
        <w:t xml:space="preserve">δ</w:t>
      </w:r>
      <w:r>
        <w:t xml:space="preserve"> = 50 words. Each chunk </w:t>
      </w:r>
      <w:r>
        <w:rPr>
          <w:i/>
          <w:iCs/>
        </w:rPr>
        <w:t xml:space="preserve">c</w:t>
      </w:r>
      <w:r>
        <w:rPr>
          <w:vertAlign w:val="subscript"/>
        </w:rPr>
        <w:t xml:space="preserve">i</w:t>
      </w:r>
      <w:r>
        <w:t xml:space="preserve"> is projected into a dense embedding space by </w:t>
      </w:r>
      <w:r>
        <w:rPr>
          <w:rFonts w:ascii="Courier New" w:hAnsi="Courier New" w:cs="Courier New"/>
          <w:sz w:val="16"/>
          <w:szCs w:val="16"/>
        </w:rPr>
        <w:t xml:space="preserve">all-MiniLM-L6-v2</w:t>
      </w:r>
      <w:r>
        <w:t xml:space="preserve">:</w:t>
      </w:r>
    </w:p>
    <w:p>
      <w:pPr>
        <w:pStyle w:val="equation"/>
      </w:pPr>
      <w:r>
        <w:tab/>
      </w:r>
      <m:oMath>
        <m:sSub>
          <m:e>
            <m:r>
              <m:rPr>
                <m:sty m:val="b"/>
              </m:rPr>
              <w:rPr>
                <w:rFonts w:ascii="Cambria Math" w:hAnsi="Cambria Math"/>
              </w:rPr>
              <m:t xml:space="preserve">e</m:t>
            </m:r>
          </m:e>
          <m:sub>
            <m:sSub>
              <m:e>
                <m:r>
                  <w:rPr>
                    <w:rFonts w:ascii="Cambria Math" w:hAnsi="Cambria Math"/>
                  </w:rPr>
                  <m:t xml:space="preserve">c</m:t>
                </m:r>
              </m:e>
              <m:sub>
                <m:r>
                  <w:rPr>
                    <w:rFonts w:ascii="Cambria Math" w:hAnsi="Cambria Math"/>
                  </w:rPr>
                  <m:t xml:space="preserve">i</m:t>
                </m:r>
              </m:sub>
            </m:sSub>
          </m:sub>
        </m:sSub>
        <m: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MiniLM</m:t>
            </m:r>
          </m:sub>
        </m:sSub>
        <m:d>
          <m:dPr>
            <m:begChr m:val="("/>
            <m:endChr m:val=")"/>
          </m:dPr>
          <m:e>
            <m:sSub>
              <m:e>
                <m:r>
                  <w:rPr>
                    <w:rFonts w:ascii="Cambria Math" w:hAnsi="Cambria Math"/>
                  </w:rPr>
                  <m:t xml:space="preserve">c</m:t>
                </m:r>
              </m:e>
              <m:sub>
                <m:r>
                  <w:rPr>
                    <w:rFonts w:ascii="Cambria Math" w:hAnsi="Cambria Math"/>
                  </w:rPr>
                  <m:t xml:space="preserve">i</m:t>
                </m:r>
              </m:sub>
            </m:sSub>
          </m:e>
        </m:d>
        <m:r>
          <w:rPr>
            <w:rFonts w:ascii="Cambria Math" w:hAnsi="Cambria Math"/>
          </w:rPr>
          <m:t xml:space="preserve">∈</m:t>
        </m:r>
        <m:sSup>
          <m:e>
            <m:r>
              <w:rPr>
                <w:rFonts w:ascii="Cambria Math" w:hAnsi="Cambria Math"/>
              </w:rPr>
              <m:t xml:space="preserve">ℝ</m:t>
            </m:r>
          </m:e>
          <m:sup>
            <m:r>
              <m:rPr>
                <m:sty m:val="p"/>
              </m:rPr>
              <w:rPr>
                <w:rFonts w:ascii="Cambria Math" w:hAnsi="Cambria Math"/>
              </w:rPr>
              <m:t xml:space="preserve">384</m:t>
            </m:r>
          </m:sup>
        </m:sSup>
      </m:oMath>
      <w:r>
        <w:rPr>
          <w:rFonts w:ascii="Times New Roman" w:hAnsi="Times New Roman" w:cs="Times New Roman"/>
        </w:rPr>
        <w:tab/>
        <w:t>(1)</w:t>
      </w:r>
    </w:p>
    <w:p>
      <w:pPr>
        <w:pStyle w:val="BodyText"/>
      </w:pPr>
      <w:r>
        <w:t xml:space="preserve">An in-memory FAISS index is populated for every user session </w:t>
      </w:r>
      <w:r>
        <w:rPr>
          <w:i/>
          <w:iCs/>
        </w:rPr>
        <w:t xml:space="preserve">S</w:t>
      </w:r>
      <w:r>
        <w:rPr>
          <w:vertAlign w:val="subscript"/>
        </w:rPr>
        <w:t xml:space="preserve">id</w:t>
      </w:r>
      <w:r>
        <w:t xml:space="preserve">. For a query </w:t>
      </w:r>
      <w:r>
        <w:rPr>
          <w:i/>
          <w:iCs/>
        </w:rPr>
        <w:t xml:space="preserve">q</w:t>
      </w:r>
      <w:r>
        <w:t xml:space="preserve">, candidate chunks are ranked by L2 distance:</w:t>
      </w:r>
    </w:p>
    <w:p>
      <w:pPr>
        <w:pStyle w:val="equation"/>
      </w:pPr>
      <w:r>
        <w:tab/>
      </w:r>
      <m:oMath>
        <m:r>
          <w:rPr>
            <w:rFonts w:ascii="Cambria Math" w:hAnsi="Cambria Math"/>
          </w:rPr>
          <m:t xml:space="preserve">d</m:t>
        </m:r>
        <m:d>
          <m:dPr>
            <m:begChr m:val="("/>
            <m:endChr m:val=")"/>
          </m:dPr>
          <m:e>
            <m:r>
              <w:rPr>
                <w:rFonts w:ascii="Cambria Math" w:hAnsi="Cambria Math"/>
              </w:rPr>
              <m:t xml:space="preserve">q</m:t>
            </m:r>
            <m:r>
              <w:rPr>
                <w:rFonts w:ascii="Cambria Math" w:hAnsi="Cambria Math"/>
              </w:rPr>
              <m:t xml:space="preserve">,</m:t>
            </m:r>
            <m:sSub>
              <m:e>
                <m:r>
                  <w:rPr>
                    <w:rFonts w:ascii="Cambria Math" w:hAnsi="Cambria Math"/>
                  </w:rPr>
                  <m:t xml:space="preserve">c</m:t>
                </m:r>
              </m:e>
              <m:sub>
                <m:r>
                  <w:rPr>
                    <w:rFonts w:ascii="Cambria Math" w:hAnsi="Cambria Math"/>
                  </w:rPr>
                  <m:t xml:space="preserve">i</m:t>
                </m:r>
              </m:sub>
            </m:sSub>
          </m:e>
        </m:d>
        <m:r>
          <w:rPr>
            <w:rFonts w:ascii="Cambria Math" w:hAnsi="Cambria Math"/>
          </w:rPr>
          <m:t xml:space="preserve">=</m:t>
        </m:r>
        <m:sSub>
          <m:e>
            <m:d>
              <m:dPr>
                <m:begChr m:val="‖"/>
                <m:endChr m:val="‖"/>
              </m:dPr>
              <m:e>
                <m:sSub>
                  <m:e>
                    <m:r>
                      <m:rPr>
                        <m:sty m:val="b"/>
                      </m:rPr>
                      <w:rPr>
                        <w:rFonts w:ascii="Cambria Math" w:hAnsi="Cambria Math"/>
                      </w:rPr>
                      <m:t xml:space="preserve">e</m:t>
                    </m:r>
                  </m:e>
                  <m:sub>
                    <m:r>
                      <w:rPr>
                        <w:rFonts w:ascii="Cambria Math" w:hAnsi="Cambria Math"/>
                      </w:rPr>
                      <m:t xml:space="preserve">q</m:t>
                    </m:r>
                  </m:sub>
                </m:sSub>
                <m:r>
                  <w:rPr>
                    <w:rFonts w:ascii="Cambria Math" w:hAnsi="Cambria Math"/>
                  </w:rPr>
                  <m:t xml:space="preserve">−</m:t>
                </m:r>
                <m:sSub>
                  <m:e>
                    <m:r>
                      <m:rPr>
                        <m:sty m:val="b"/>
                      </m:rPr>
                      <w:rPr>
                        <w:rFonts w:ascii="Cambria Math" w:hAnsi="Cambria Math"/>
                      </w:rPr>
                      <m:t xml:space="preserve">e</m:t>
                    </m:r>
                  </m:e>
                  <m:sub>
                    <m:sSub>
                      <m:e>
                        <m:r>
                          <w:rPr>
                            <w:rFonts w:ascii="Cambria Math" w:hAnsi="Cambria Math"/>
                          </w:rPr>
                          <m:t xml:space="preserve">c</m:t>
                        </m:r>
                      </m:e>
                      <m:sub>
                        <m:r>
                          <w:rPr>
                            <w:rFonts w:ascii="Cambria Math" w:hAnsi="Cambria Math"/>
                          </w:rPr>
                          <m:t xml:space="preserve">i</m:t>
                        </m:r>
                      </m:sub>
                    </m:sSub>
                  </m:sub>
                </m:sSub>
              </m:e>
            </m:d>
          </m:e>
          <m:sub>
            <m:r>
              <m:rPr>
                <m:sty m:val="p"/>
              </m:rPr>
              <w:rPr>
                <w:rFonts w:ascii="Cambria Math" w:hAnsi="Cambria Math"/>
              </w:rPr>
              <m:t xml:space="preserve">2</m:t>
            </m:r>
          </m:sub>
        </m:sSub>
      </m:oMath>
      <w:r>
        <w:rPr>
          <w:rFonts w:ascii="Times New Roman" w:hAnsi="Times New Roman" w:cs="Times New Roman"/>
        </w:rPr>
        <w:tab/>
        <w:t>(2)</w:t>
      </w:r>
    </w:p>
    <w:p>
      <w:pPr>
        <w:pStyle w:val="BodyText"/>
      </w:pPr>
      <w:r>
        <w:t xml:space="preserve">The Research Agent returns a structured tuple containing the answer text, page numbers, document names, and vector similarity scores </w:t>
      </w:r>
      <w:r>
        <w:rPr>
          <w:i/>
          <w:iCs/>
        </w:rPr>
        <w:t xml:space="preserve">S</w:t>
      </w:r>
      <w:r>
        <w:t xml:space="preserve">(</w:t>
      </w:r>
      <w:r>
        <w:rPr>
          <w:i/>
          <w:iCs/>
        </w:rPr>
        <w:t xml:space="preserve">q</w:t>
      </w:r>
      <w:r>
        <w:t xml:space="preserve">, </w:t>
      </w:r>
      <w:r>
        <w:rPr>
          <w:i/>
          <w:iCs/>
        </w:rPr>
        <w:t xml:space="preserve">c</w:t>
      </w:r>
      <w:r>
        <w:rPr>
          <w:vertAlign w:val="subscript"/>
        </w:rPr>
        <w:t xml:space="preserve">i</w:t>
      </w:r>
      <w:r>
        <w:t xml:space="preserve">) ∈ [0, 1]. Because every chunk retains its page and document metadata, provenance is preserved end to end.</w:t>
      </w:r>
    </w:p>
    <w:p>
      <w:pPr>
        <w:pStyle w:val="Heading2"/>
      </w:pPr>
      <w:r>
        <w:t xml:space="preserve">ML Specification Guardrail and Bounded Revision Loop</w:t>
      </w:r>
    </w:p>
    <w:p>
      <w:pPr>
        <w:pStyle w:val="BodyText"/>
      </w:pPr>
      <w:r>
        <w:t xml:space="preserve">Before a specification reaches the code generator, the Specification Guardrail enforces domain scoping and evidence verification. Domain scoping restricts input queries to machine learning topics (architectures, dimensions, activation functions, learning-rate schedules, and loss definitions); generic software requests are rejected.</w:t>
      </w:r>
    </w:p>
    <w:p>
      <w:pPr>
        <w:pStyle w:val="BodyText"/>
      </w:pPr>
      <w:r>
        <w:t xml:space="preserve">Let </w:t>
      </w:r>
      <w:r>
        <w:rPr>
          <w:i/>
          <w:iCs/>
        </w:rPr>
        <w:t xml:space="preserve">K</w:t>
      </w:r>
      <w:r>
        <w:t xml:space="preserve"> = {</w:t>
      </w:r>
      <w:r>
        <w:rPr>
          <w:i/>
          <w:iCs/>
        </w:rPr>
        <w:t xml:space="preserve">k</w:t>
      </w:r>
      <w:r>
        <w:rPr>
          <w:vertAlign w:val="subscript"/>
        </w:rPr>
        <w:t xml:space="preserve">1</w:t>
      </w:r>
      <w:r>
        <w:t xml:space="preserve">, </w:t>
      </w:r>
      <w:r>
        <w:rPr>
          <w:i/>
          <w:iCs/>
        </w:rPr>
        <w:t xml:space="preserve">k</w:t>
      </w:r>
      <w:r>
        <w:rPr>
          <w:vertAlign w:val="subscript"/>
        </w:rPr>
        <w:t xml:space="preserve">2</w:t>
      </w:r>
      <w:r>
        <w:t xml:space="preserve">, …, </w:t>
      </w:r>
      <w:r>
        <w:rPr>
          <w:i/>
          <w:iCs/>
        </w:rPr>
        <w:t xml:space="preserve">k</w:t>
      </w:r>
      <w:r>
        <w:rPr>
          <w:vertAlign w:val="subscript"/>
        </w:rPr>
        <w:t xml:space="preserve">n</w:t>
      </w:r>
      <w:r>
        <w:t xml:space="preserve">} be the set of extracted implementation requirements. For each </w:t>
      </w:r>
      <w:r>
        <w:rPr>
          <w:i/>
          <w:iCs/>
        </w:rPr>
        <w:t xml:space="preserve">k</w:t>
      </w:r>
      <w:r>
        <w:rPr>
          <w:vertAlign w:val="subscript"/>
        </w:rPr>
        <w:t xml:space="preserve">i</w:t>
      </w:r>
      <w:r>
        <w:t xml:space="preserve">, the Guardrail verifies that a supporting evidence chunk </w:t>
      </w:r>
      <w:r>
        <w:rPr>
          <w:i/>
          <w:iCs/>
        </w:rPr>
        <w:t xml:space="preserve">c</w:t>
      </w:r>
      <w:r>
        <w:rPr>
          <w:vertAlign w:val="subscript"/>
        </w:rPr>
        <w:t xml:space="preserve">j</w:t>
      </w:r>
      <w:r>
        <w:t xml:space="preserve"> exists in </w:t>
      </w:r>
      <w:r>
        <w:rPr>
          <w:i/>
          <w:iCs/>
        </w:rPr>
        <w:t xml:space="preserve">S</w:t>
      </w:r>
      <w:r>
        <w:rPr>
          <w:vertAlign w:val="subscript"/>
        </w:rPr>
        <w:t xml:space="preserve">id</w:t>
      </w:r>
      <w:r>
        <w:t xml:space="preserve"> with similarity </w:t>
      </w:r>
      <w:r>
        <w:rPr>
          <w:i/>
          <w:iCs/>
        </w:rPr>
        <w:t xml:space="preserve">S</w:t>
      </w:r>
      <w:r>
        <w:t xml:space="preserve">(</w:t>
      </w:r>
      <w:r>
        <w:rPr>
          <w:i/>
          <w:iCs/>
        </w:rPr>
        <w:t xml:space="preserve">q</w:t>
      </w:r>
      <w:r>
        <w:rPr>
          <w:vertAlign w:val="subscript"/>
        </w:rPr>
        <w:t xml:space="preserve">k</w:t>
      </w:r>
      <w:r>
        <w:rPr>
          <w:vertAlign w:val="subscript"/>
        </w:rPr>
        <w:t xml:space="preserve">i</w:t>
      </w:r>
      <w:r>
        <w:t xml:space="preserve">, </w:t>
      </w:r>
      <w:r>
        <w:rPr>
          <w:i/>
          <w:iCs/>
        </w:rPr>
        <w:t xml:space="preserve">c</w:t>
      </w:r>
      <w:r>
        <w:rPr>
          <w:vertAlign w:val="subscript"/>
        </w:rPr>
        <w:t xml:space="preserve">j</w:t>
      </w:r>
      <w:r>
        <w:t xml:space="preserve">) ≥ </w:t>
      </w:r>
      <w:r>
        <w:rPr>
          <w:i/>
          <w:iCs/>
        </w:rPr>
        <w:t xml:space="preserve">τ</w:t>
      </w:r>
      <w:r>
        <w:rPr>
          <w:vertAlign w:val="subscript"/>
        </w:rPr>
        <w:t xml:space="preserve">threshold</w:t>
      </w:r>
      <w:r>
        <w:t xml:space="preserve">. If a requirement lacks paper backing, for example a hallucinated </w:t>
      </w:r>
      <w:r>
        <w:rPr>
          <w:rFonts w:ascii="Courier New" w:hAnsi="Courier New" w:cs="Courier New"/>
          <w:sz w:val="16"/>
          <w:szCs w:val="16"/>
        </w:rPr>
        <w:t xml:space="preserve">batch_size = 64</w:t>
      </w:r>
      <w:r>
        <w:t xml:space="preserve">, the engine issues a targeted counter-retrieval query and re-extracts the requirement. If the evidence remains unverified after </w:t>
      </w:r>
      <w:r>
        <w:rPr>
          <w:i/>
          <w:iCs/>
        </w:rPr>
        <w:t xml:space="preserve">K</w:t>
      </w:r>
      <w:r>
        <w:rPr>
          <w:vertAlign w:val="subscript"/>
        </w:rPr>
        <w:t xml:space="preserve">max</w:t>
      </w:r>
      <w:r>
        <w:t xml:space="preserve"> = 3 iterations, the specification enters the terminal state </w:t>
      </w:r>
      <w:r>
        <w:rPr>
          <w:rFonts w:ascii="Courier New" w:hAnsi="Courier New" w:cs="Courier New"/>
          <w:sz w:val="16"/>
          <w:szCs w:val="16"/>
        </w:rPr>
        <w:t xml:space="preserve">EVIDENCE_UNRESOLVED</w:t>
      </w:r>
      <w:r>
        <w:t xml:space="preserve"> and code generation is halted, so that missing information is reported instead of being replaced by an invented default (Fig. 2).</w:t>
      </w:r>
    </w:p>
    <w:p>
      <w:pPr>
        <w:keepNext/>
        <w:spacing w:before="6pt" w:after="0pt"/>
        <w:jc w:val="center"/>
      </w:pPr>
      <w:r>
        <w:drawing>
          <wp:inline distT="0" distB="0" distL="0" distR="0">
            <wp:extent cx="2834640" cy="2667896"/>
            <wp:docPr id="102" name="Figure 102" descr="Bounded-revision guardrail state machin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2" name="fig2_guardrail.png"/>
                    <pic:cNvPicPr/>
                  </pic:nvPicPr>
                  <pic:blipFill>
                    <a:blip r:embed="rId21"/>
                    <a:stretch>
                      <a:fillRect/>
                    </a:stretch>
                  </pic:blipFill>
                  <pic:spPr>
                    <a:xfrm>
                      <a:off x="0" y="0"/>
                      <a:ext cx="2834640" cy="2667896"/>
                    </a:xfrm>
                    <a:prstGeom prst="rect">
                      <a:avLst/>
                    </a:prstGeom>
                  </pic:spPr>
                </pic:pic>
              </a:graphicData>
            </a:graphic>
          </wp:inline>
        </w:drawing>
      </w:r>
    </w:p>
    <w:p>
      <w:pPr>
        <w:pStyle w:val="figurecaption"/>
        <w:jc w:val="center"/>
      </w:pPr>
      <w:r>
        <w:t xml:space="preserve">Bounded-revision guardrail state machine.</w:t>
      </w:r>
    </w:p>
    <w:p>
      <w:pPr>
        <w:pStyle w:val="Heading2"/>
      </w:pPr>
      <w:r>
        <w:t xml:space="preserve">Multi-File Modular Code Generation</w:t>
      </w:r>
    </w:p>
    <w:p>
      <w:pPr>
        <w:pStyle w:val="BodyText"/>
      </w:pPr>
      <w:r>
        <w:t xml:space="preserve">Upon receiving a </w:t>
      </w:r>
      <w:r>
        <w:rPr>
          <w:rFonts w:ascii="Courier New" w:hAnsi="Courier New" w:cs="Courier New"/>
          <w:sz w:val="16"/>
          <w:szCs w:val="16"/>
        </w:rPr>
        <w:t xml:space="preserve">VERIFIED</w:t>
      </w:r>
      <w:r>
        <w:t xml:space="preserve"> specification contract, the Code Agent determines the architectural family of the paper by keyword scoring over the requirement set:</w:t>
      </w:r>
    </w:p>
    <w:p>
      <w:pPr>
        <w:pStyle w:val="equation"/>
      </w:pPr>
      <w:r>
        <w:tab/>
      </w:r>
      <m:oMath>
        <m:sSup>
          <m:e>
            <m:r>
              <w:rPr>
                <w:rFonts w:ascii="Cambria Math" w:hAnsi="Cambria Math"/>
              </w:rPr>
              <m:t xml:space="preserve">F</m:t>
            </m:r>
          </m:e>
          <m:sup>
            <m:r>
              <w:rPr>
                <w:rFonts w:ascii="Cambria Math" w:hAnsi="Cambria Math"/>
              </w:rPr>
              <m:t xml:space="preserve">*</m:t>
            </m:r>
          </m:sup>
        </m:sSup>
        <m:r>
          <w:rPr>
            <w:rFonts w:ascii="Cambria Math" w:hAnsi="Cambria Math"/>
          </w:rPr>
          <m:t xml:space="preserve">=</m:t>
        </m:r>
        <m:func>
          <m:fName>
            <m:limLow>
              <m:e>
                <m:r>
                  <m:rPr>
                    <m:sty m:val="p"/>
                  </m:rPr>
                  <w:rPr>
                    <w:rFonts w:ascii="Cambria Math" w:hAnsi="Cambria Math"/>
                  </w:rPr>
                  <m:t xml:space="preserve">arg max</m:t>
                </m:r>
              </m:e>
              <m:lim>
                <m:r>
                  <w:rPr>
                    <w:rFonts w:ascii="Cambria Math" w:hAnsi="Cambria Math"/>
                  </w:rPr>
                  <m:t xml:space="preserve">F</m:t>
                </m:r>
                <m:r>
                  <w:rPr>
                    <w:rFonts w:ascii="Cambria Math" w:hAnsi="Cambria Math"/>
                  </w:rPr>
                  <m:t xml:space="preserve">∈</m:t>
                </m:r>
                <m:r>
                  <w:rPr>
                    <w:rFonts w:ascii="Cambria Math" w:hAnsi="Cambria Math"/>
                  </w:rPr>
                  <m:t xml:space="preserve">ℱ</m:t>
                </m:r>
              </m:lim>
            </m:limLow>
          </m:fName>
          <m:e>
            <m:nary>
              <m:naryPr>
                <m:chr m:val="∑"/>
                <m:limLoc m:val="undOvr"/>
                <m:supHide m:val="1"/>
              </m:naryPr>
              <m:sub>
                <m:r>
                  <w:rPr>
                    <w:rFonts w:ascii="Cambria Math" w:hAnsi="Cambria Math"/>
                  </w:rPr>
                  <m:t xml:space="preserve">w</m:t>
                </m:r>
                <m:r>
                  <w:rPr>
                    <w:rFonts w:ascii="Cambria Math" w:hAnsi="Cambria Math"/>
                  </w:rPr>
                  <m:t xml:space="preserve">∈</m:t>
                </m:r>
                <m:sSub>
                  <m:e>
                    <m:r>
                      <w:rPr>
                        <w:rFonts w:ascii="Cambria Math" w:hAnsi="Cambria Math"/>
                      </w:rPr>
                      <m:t xml:space="preserve">W</m:t>
                    </m:r>
                  </m:e>
                  <m:sub>
                    <m:r>
                      <w:rPr>
                        <w:rFonts w:ascii="Cambria Math" w:hAnsi="Cambria Math"/>
                      </w:rPr>
                      <m:t xml:space="preserve">F</m:t>
                    </m:r>
                  </m:sub>
                </m:sSub>
              </m:sub>
              <m:sup/>
              <m:e>
                <m:r>
                  <m:rPr>
                    <m:sty m:val="p"/>
                  </m:rPr>
                  <w:rPr>
                    <w:rFonts w:ascii="Cambria Math" w:hAnsi="Cambria Math"/>
                  </w:rPr>
                  <m:t xml:space="preserve">Count</m:t>
                </m:r>
                <m:d>
                  <m:dPr>
                    <m:begChr m:val="("/>
                    <m:endChr m:val=")"/>
                  </m:dPr>
                  <m:e>
                    <m:r>
                      <w:rPr>
                        <w:rFonts w:ascii="Cambria Math" w:hAnsi="Cambria Math"/>
                      </w:rPr>
                      <m:t xml:space="preserve">w</m:t>
                    </m:r>
                    <m:r>
                      <w:rPr>
                        <w:rFonts w:ascii="Cambria Math" w:hAnsi="Cambria Math"/>
                      </w:rPr>
                      <m:t xml:space="preserve">,</m:t>
                    </m:r>
                    <m:r>
                      <w:rPr>
                        <w:rFonts w:ascii="Cambria Math" w:hAnsi="Cambria Math"/>
                      </w:rPr>
                      <m:t xml:space="preserve">K</m:t>
                    </m:r>
                  </m:e>
                </m:d>
              </m:e>
            </m:nary>
          </m:e>
        </m:func>
      </m:oMath>
      <w:r>
        <w:rPr>
          <w:rFonts w:ascii="Times New Roman" w:hAnsi="Times New Roman" w:cs="Times New Roman"/>
        </w:rPr>
        <w:tab/>
        <w:t>(3)</w:t>
      </w:r>
    </w:p>
    <w:p>
      <w:pPr>
        <w:pStyle w:val="BodyText"/>
      </w:pPr>
      <w:r>
        <w:t xml:space="preserve">where ℱ = {attention, conv, recurrent, graph, gan} and </w:t>
      </w:r>
      <w:r>
        <w:rPr>
          <w:i/>
          <w:iCs/>
        </w:rPr>
        <w:t xml:space="preserve">W</w:t>
      </w:r>
      <w:r>
        <w:rPr>
          <w:vertAlign w:val="subscript"/>
        </w:rPr>
        <w:t xml:space="preserve">F</w:t>
      </w:r>
      <w:r>
        <w:t xml:space="preserve"> is the keyword list of family </w:t>
      </w:r>
      <w:r>
        <w:rPr>
          <w:i/>
          <w:iCs/>
        </w:rPr>
        <w:t xml:space="preserve">F</w:t>
      </w:r>
      <w:r>
        <w:t xml:space="preserve">. Based on the detected family, the agent constructs an ordered file manifest. For the attention family the manifest is:</w:t>
      </w:r>
    </w:p>
    <w:p>
      <w:pPr>
        <w:pStyle w:val="bulletlist"/>
      </w:pPr>
      <w:r>
        <w:rPr>
          <w:rFonts w:ascii="Courier New" w:hAnsi="Courier New" w:cs="Courier New"/>
          <w:sz w:val="16"/>
          <w:szCs w:val="16"/>
        </w:rPr>
        <w:t xml:space="preserve">attention.py</w:t>
      </w:r>
      <w:r>
        <w:t xml:space="preserve">: scaled dot-product and multi-head attention (</w:t>
      </w:r>
      <w:r>
        <w:rPr>
          <w:i/>
          <w:iCs/>
        </w:rPr>
        <w:t xml:space="preserve">Q</w:t>
      </w:r>
      <w:r>
        <w:t xml:space="preserve">, </w:t>
      </w:r>
      <w:r>
        <w:rPr>
          <w:i/>
          <w:iCs/>
        </w:rPr>
        <w:t xml:space="preserve">K</w:t>
      </w:r>
      <w:r>
        <w:t xml:space="preserve">, </w:t>
      </w:r>
      <w:r>
        <w:rPr>
          <w:i/>
          <w:iCs/>
        </w:rPr>
        <w:t xml:space="preserve">V</w:t>
      </w:r>
      <w:r>
        <w:t xml:space="preserve"> projections and √</w:t>
      </w:r>
      <w:r>
        <w:rPr>
          <w:i/>
          <w:iCs/>
        </w:rPr>
        <w:t xml:space="preserve">d</w:t>
      </w:r>
      <w:r>
        <w:rPr>
          <w:vertAlign w:val="subscript"/>
        </w:rPr>
        <w:t xml:space="preserve">k</w:t>
      </w:r>
      <w:r>
        <w:t xml:space="preserve"> scaling);</w:t>
      </w:r>
    </w:p>
    <w:p>
      <w:pPr>
        <w:pStyle w:val="bulletlist"/>
      </w:pPr>
      <w:r>
        <w:rPr>
          <w:rFonts w:ascii="Courier New" w:hAnsi="Courier New" w:cs="Courier New"/>
          <w:sz w:val="16"/>
          <w:szCs w:val="16"/>
        </w:rPr>
        <w:t xml:space="preserve">layers.py</w:t>
      </w:r>
      <w:r>
        <w:t xml:space="preserve">: sinusoidal or learned positional encodings and position-wise feed-forward networks (</w:t>
      </w:r>
      <w:r>
        <w:rPr>
          <w:i/>
          <w:iCs/>
        </w:rPr>
        <w:t xml:space="preserve">d</w:t>
      </w:r>
      <w:r>
        <w:rPr>
          <w:vertAlign w:val="subscript"/>
        </w:rPr>
        <w:t xml:space="preserve">ff</w:t>
      </w:r>
      <w:r>
        <w:t xml:space="preserve"> = 4 × </w:t>
      </w:r>
      <w:r>
        <w:rPr>
          <w:i/>
          <w:iCs/>
        </w:rPr>
        <w:t xml:space="preserve">d</w:t>
      </w:r>
      <w:r>
        <w:rPr>
          <w:vertAlign w:val="subscript"/>
        </w:rPr>
        <w:t xml:space="preserve">model</w:t>
      </w:r>
      <w:r>
        <w:t xml:space="preserve">);</w:t>
      </w:r>
    </w:p>
    <w:p>
      <w:pPr>
        <w:pStyle w:val="bulletlist"/>
      </w:pPr>
      <w:r>
        <w:rPr>
          <w:rFonts w:ascii="Courier New" w:hAnsi="Courier New" w:cs="Courier New"/>
          <w:sz w:val="16"/>
          <w:szCs w:val="16"/>
        </w:rPr>
        <w:t xml:space="preserve">blocks.py</w:t>
      </w:r>
      <w:r>
        <w:t xml:space="preserve">: encoder and decoder residual blocks with layer normalization;</w:t>
      </w:r>
    </w:p>
    <w:p>
      <w:pPr>
        <w:pStyle w:val="bulletlist"/>
      </w:pPr>
      <w:r>
        <w:rPr>
          <w:rFonts w:ascii="Courier New" w:hAnsi="Courier New" w:cs="Courier New"/>
          <w:sz w:val="16"/>
          <w:szCs w:val="16"/>
        </w:rPr>
        <w:t xml:space="preserve">model.py</w:t>
      </w:r>
      <w:r>
        <w:t xml:space="preserve">: the full stacked architecture, built from </w:t>
      </w:r>
      <w:r>
        <w:rPr>
          <w:rFonts w:ascii="Courier New" w:hAnsi="Courier New" w:cs="Courier New"/>
          <w:sz w:val="16"/>
          <w:szCs w:val="16"/>
        </w:rPr>
        <w:t xml:space="preserve">blocks.py</w:t>
      </w:r>
      <w:r>
        <w:t xml:space="preserve">;</w:t>
      </w:r>
    </w:p>
    <w:p>
      <w:pPr>
        <w:pStyle w:val="bulletlist"/>
      </w:pPr>
      <w:r>
        <w:rPr>
          <w:rFonts w:ascii="Courier New" w:hAnsi="Courier New" w:cs="Courier New"/>
          <w:sz w:val="16"/>
          <w:szCs w:val="16"/>
        </w:rPr>
        <w:t xml:space="preserve">train.py</w:t>
      </w:r>
      <w:r>
        <w:t xml:space="preserve">: training loop, loss functions, and optimization steps;</w:t>
      </w:r>
    </w:p>
    <w:p>
      <w:pPr>
        <w:pStyle w:val="bulletlist"/>
      </w:pPr>
      <w:r>
        <w:rPr>
          <w:rFonts w:ascii="Courier New" w:hAnsi="Courier New" w:cs="Courier New"/>
          <w:sz w:val="16"/>
          <w:szCs w:val="16"/>
        </w:rPr>
        <w:t xml:space="preserve">main.py</w:t>
      </w:r>
      <w:r>
        <w:t xml:space="preserve">: runnable entry point that instantiates the model with synthetic input tensors.</w:t>
      </w:r>
    </w:p>
    <w:p>
      <w:pPr>
        <w:pStyle w:val="BodyText"/>
      </w:pPr>
      <w:r>
        <w:t xml:space="preserve">Every line that implements a paper specification carries a traceability marker, and any value that is not found in the paper is explicitly flagged as an assumption:</w:t>
      </w:r>
    </w:p>
    <w:p>
      <w:pPr>
        <w:pStyle w:val="BodyText"/>
        <w:keepNext w:val="1"/>
        <w:shd w:val="clear" w:color="auto" w:fill="F2F2F2"/>
        <w:spacing w:before="3pt" w:after="0pt" w:line="10pt" w:lineRule="auto"/>
        <w:ind w:start="7pt" w:end="7pt" w:firstLine="0pt"/>
        <w:jc w:val="start"/>
      </w:pPr>
      <w:r>
        <w:rPr>
          <w:rFonts w:ascii="Courier New" w:hAnsi="Courier New" w:cs="Courier New"/>
          <w:sz w:val="14"/>
          <w:szCs w:val="14"/>
        </w:rPr>
        <w:t xml:space="preserve"># SPEC: d_model = 64</w:t>
      </w:r>
    </w:p>
    <w:p>
      <w:pPr>
        <w:pStyle w:val="BodyText"/>
        <w:keepNext w:val="1"/>
        <w:shd w:val="clear" w:color="auto" w:fill="F2F2F2"/>
        <w:spacing w:before="0pt" w:after="0pt" w:line="10pt" w:lineRule="auto"/>
        <w:ind w:start="7pt" w:end="7pt" w:firstLine="0pt"/>
        <w:jc w:val="start"/>
      </w:pPr>
      <w:r>
        <w:rPr>
          <w:rFonts w:ascii="Courier New" w:hAnsi="Courier New" w:cs="Courier New"/>
          <w:sz w:val="14"/>
          <w:szCs w:val="14"/>
        </w:rPr>
        <w:t xml:space="preserve">#   (source: Attention_Is_All_You_Need.pdf, Page 4)</w:t>
      </w:r>
    </w:p>
    <w:p>
      <w:pPr>
        <w:pStyle w:val="BodyText"/>
        <w:keepNext w:val="1"/>
        <w:shd w:val="clear" w:color="auto" w:fill="F2F2F2"/>
        <w:spacing w:before="0pt" w:after="0pt" w:line="10pt" w:lineRule="auto"/>
        <w:ind w:start="7pt" w:end="7pt" w:firstLine="0pt"/>
        <w:jc w:val="start"/>
      </w:pPr>
      <w:r>
        <w:rPr>
          <w:rFonts w:ascii="Courier New" w:hAnsi="Courier New" w:cs="Courier New"/>
          <w:sz w:val="14"/>
          <w:szCs w:val="14"/>
        </w:rPr>
        <w:t xml:space="preserve"># ASSUMED (not in paper): dropout = 0.1</w:t>
      </w:r>
    </w:p>
    <w:p>
      <w:pPr>
        <w:pStyle w:val="BodyText"/>
        <w:keepNext w:val="0"/>
        <w:shd w:val="clear" w:color="auto" w:fill="F2F2F2"/>
        <w:spacing w:before="0pt" w:after="6pt" w:line="10pt" w:lineRule="auto"/>
        <w:ind w:start="7pt" w:end="7pt" w:firstLine="0pt"/>
        <w:jc w:val="start"/>
      </w:pPr>
      <w:r>
        <w:rPr>
          <w:rFonts w:ascii="Courier New" w:hAnsi="Courier New" w:cs="Courier New"/>
          <w:sz w:val="14"/>
          <w:szCs w:val="14"/>
        </w:rPr>
        <w:t xml:space="preserve">#   standard regularization choice</w:t>
      </w:r>
    </w:p>
    <w:p>
      <w:pPr>
        <w:pStyle w:val="Heading2"/>
      </w:pPr>
      <w:r>
        <w:t xml:space="preserve">Dynamic ML Testing Agent</w:t>
      </w:r>
    </w:p>
    <w:p>
      <w:pPr>
        <w:pStyle w:val="BodyText"/>
      </w:pPr>
      <w:r>
        <w:t xml:space="preserve">The Testing Agent runs entirely offline, without any LLM API dependency, and executes ten sequential verification tiers directly against the generated PyTorch objects (Table I).</w:t>
      </w:r>
    </w:p>
    <w:p>
      <w:pPr>
        <w:pStyle w:val="tablehead"/>
      </w:pPr>
      <w:r>
        <w:t xml:space="preserve">Ten-Tier Dynamic Verification Suite</w:t>
      </w:r>
    </w:p>
    <w:tbl>
      <w:tblPr>
        <w:tblW w:w="4880"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45" w:type="dxa"/>
          <w:end w:w="45" w:type="dxa"/>
        </w:tblCellMar>
        <w:tblLook w:firstRow="1" w:lastRow="0" w:firstColumn="0" w:lastColumn="0" w:noHBand="0" w:noVBand="0"/>
      </w:tblPr>
      <w:tblGrid>
        <w:gridCol w:w="480"/>
        <w:gridCol w:w="1240"/>
        <w:gridCol w:w="3160"/>
      </w:tblGrid>
      <w:tr>
        <w:trPr>
          <w:cantSplit/>
          <w:tblHeader/>
        </w:trPr>
        <w:tc>
          <w:tcPr>
            <w:tcW w:w="480" w:type="dxa"/>
            <w:shd w:val="clear" w:color="auto" w:fill="E7E6E6"/>
            <w:vAlign w:val="center"/>
          </w:tcPr>
          <w:p>
            <w:pPr>
              <w:pStyle w:val="tablecolhead"/>
              <w:jc w:val="center"/>
            </w:pPr>
            <w:r>
              <w:t xml:space="preserve">Tier</w:t>
            </w:r>
          </w:p>
        </w:tc>
        <w:tc>
          <w:tcPr>
            <w:tcW w:w="1240" w:type="dxa"/>
            <w:shd w:val="clear" w:color="auto" w:fill="E7E6E6"/>
            <w:vAlign w:val="center"/>
          </w:tcPr>
          <w:p>
            <w:pPr>
              <w:pStyle w:val="tablecolhead"/>
              <w:jc w:val="center"/>
            </w:pPr>
            <w:r>
              <w:t xml:space="preserve">Test case</w:t>
            </w:r>
          </w:p>
        </w:tc>
        <w:tc>
          <w:tcPr>
            <w:tcW w:w="3160" w:type="dxa"/>
            <w:shd w:val="clear" w:color="auto" w:fill="E7E6E6"/>
            <w:vAlign w:val="center"/>
          </w:tcPr>
          <w:p>
            <w:pPr>
              <w:pStyle w:val="tablecolhead"/>
              <w:jc w:val="center"/>
            </w:pPr>
            <w:r>
              <w:t xml:space="preserve">Verification strategy</w:t>
            </w:r>
          </w:p>
        </w:tc>
      </w:tr>
      <w:tr>
        <w:trPr>
          <w:cantSplit/>
        </w:trPr>
        <w:tc>
          <w:tcPr>
            <w:tcW w:w="480" w:type="dxa"/>
            <w:vAlign w:val="center"/>
          </w:tcPr>
          <w:p>
            <w:pPr>
              <w:pStyle w:val="tablecopy"/>
              <w:jc w:val="center"/>
            </w:pPr>
            <w:r>
              <w:t xml:space="preserve">T1</w:t>
            </w:r>
          </w:p>
        </w:tc>
        <w:tc>
          <w:tcPr>
            <w:tcW w:w="1240" w:type="dxa"/>
            <w:vAlign w:val="center"/>
          </w:tcPr>
          <w:p>
            <w:pPr>
              <w:pStyle w:val="tablecopy"/>
              <w:jc w:val="start"/>
            </w:pPr>
            <w:r>
              <w:t xml:space="preserve">AST parse validity</w:t>
            </w:r>
          </w:p>
        </w:tc>
        <w:tc>
          <w:tcPr>
            <w:tcW w:w="3160" w:type="dxa"/>
            <w:vAlign w:val="center"/>
          </w:tcPr>
          <w:p>
            <w:pPr>
              <w:pStyle w:val="tablecopy"/>
              <w:jc w:val="start"/>
            </w:pPr>
            <w:r>
              <w:t xml:space="preserve">Compiles every project file (</w:t>
            </w:r>
            <w:r>
              <w:rPr>
                <w:rFonts w:ascii="Courier New" w:hAnsi="Courier New" w:cs="Courier New"/>
                <w:sz w:val="16"/>
                <w:szCs w:val="16"/>
              </w:rPr>
              <w:t xml:space="preserve">compile()</w:t>
            </w:r>
            <w:r>
              <w:t xml:space="preserve">) to verify the abstract syntax tree.</w:t>
            </w:r>
          </w:p>
        </w:tc>
      </w:tr>
      <w:tr>
        <w:trPr>
          <w:cantSplit/>
        </w:trPr>
        <w:tc>
          <w:tcPr>
            <w:tcW w:w="480" w:type="dxa"/>
            <w:vAlign w:val="center"/>
          </w:tcPr>
          <w:p>
            <w:pPr>
              <w:pStyle w:val="tablecopy"/>
              <w:jc w:val="center"/>
            </w:pPr>
            <w:r>
              <w:t xml:space="preserve">T2</w:t>
            </w:r>
          </w:p>
        </w:tc>
        <w:tc>
          <w:tcPr>
            <w:tcW w:w="1240" w:type="dxa"/>
            <w:vAlign w:val="center"/>
          </w:tcPr>
          <w:p>
            <w:pPr>
              <w:pStyle w:val="tablecopy"/>
              <w:jc w:val="start"/>
            </w:pPr>
            <w:r>
              <w:t xml:space="preserve">Module instantiation</w:t>
            </w:r>
          </w:p>
        </w:tc>
        <w:tc>
          <w:tcPr>
            <w:tcW w:w="3160" w:type="dxa"/>
            <w:vAlign w:val="center"/>
          </w:tcPr>
          <w:p>
            <w:pPr>
              <w:pStyle w:val="tablecopy"/>
              <w:jc w:val="start"/>
            </w:pPr>
            <w:r>
              <w:t xml:space="preserve">Dynamically loads and instantiates the main </w:t>
            </w:r>
            <w:r>
              <w:rPr>
                <w:rFonts w:ascii="Courier New" w:hAnsi="Courier New" w:cs="Courier New"/>
                <w:sz w:val="16"/>
                <w:szCs w:val="16"/>
              </w:rPr>
              <w:t xml:space="preserve">nn.Module</w:t>
            </w:r>
            <w:r>
              <w:t xml:space="preserve"> with default arguments.</w:t>
            </w:r>
          </w:p>
        </w:tc>
      </w:tr>
      <w:tr>
        <w:trPr>
          <w:cantSplit/>
        </w:trPr>
        <w:tc>
          <w:tcPr>
            <w:tcW w:w="480" w:type="dxa"/>
            <w:vAlign w:val="center"/>
          </w:tcPr>
          <w:p>
            <w:pPr>
              <w:pStyle w:val="tablecopy"/>
              <w:jc w:val="center"/>
            </w:pPr>
            <w:r>
              <w:t xml:space="preserve">T3</w:t>
            </w:r>
          </w:p>
        </w:tc>
        <w:tc>
          <w:tcPr>
            <w:tcW w:w="1240" w:type="dxa"/>
            <w:vAlign w:val="center"/>
          </w:tcPr>
          <w:p>
            <w:pPr>
              <w:pStyle w:val="tablecopy"/>
              <w:jc w:val="start"/>
            </w:pPr>
            <w:r>
              <w:t xml:space="preserve">Forward pass and tensor shape</w:t>
            </w:r>
          </w:p>
        </w:tc>
        <w:tc>
          <w:tcPr>
            <w:tcW w:w="3160" w:type="dxa"/>
            <w:vAlign w:val="center"/>
          </w:tcPr>
          <w:p>
            <w:pPr>
              <w:pStyle w:val="tablecopy"/>
              <w:jc w:val="start"/>
            </w:pPr>
            <w:r>
              <w:t xml:space="preserve">Passes a dummy tensor (</w:t>
            </w:r>
            <w:r>
              <w:rPr>
                <w:i/>
                <w:iCs/>
              </w:rPr>
              <w:t xml:space="preserve">B</w:t>
            </w:r>
            <w:r>
              <w:t xml:space="preserve">=2, </w:t>
            </w:r>
            <w:r>
              <w:rPr>
                <w:i/>
                <w:iCs/>
              </w:rPr>
              <w:t xml:space="preserve">S</w:t>
            </w:r>
            <w:r>
              <w:t xml:space="preserve">=16, </w:t>
            </w:r>
            <w:r>
              <w:rPr>
                <w:i/>
                <w:iCs/>
              </w:rPr>
              <w:t xml:space="preserve">D</w:t>
            </w:r>
            <w:r>
              <w:t xml:space="preserve">=64) and asserts a non-empty, dimensionally valid output.</w:t>
            </w:r>
          </w:p>
        </w:tc>
      </w:tr>
      <w:tr>
        <w:trPr>
          <w:cantSplit/>
        </w:trPr>
        <w:tc>
          <w:tcPr>
            <w:tcW w:w="480" w:type="dxa"/>
            <w:vAlign w:val="center"/>
          </w:tcPr>
          <w:p>
            <w:pPr>
              <w:pStyle w:val="tablecopy"/>
              <w:jc w:val="center"/>
            </w:pPr>
            <w:r>
              <w:t xml:space="preserve">T4</w:t>
            </w:r>
          </w:p>
        </w:tc>
        <w:tc>
          <w:tcPr>
            <w:tcW w:w="1240" w:type="dxa"/>
            <w:vAlign w:val="center"/>
          </w:tcPr>
          <w:p>
            <w:pPr>
              <w:pStyle w:val="tablecopy"/>
              <w:jc w:val="start"/>
            </w:pPr>
            <w:r>
              <w:t xml:space="preserve">NaN / Inf detection</w:t>
            </w:r>
          </w:p>
        </w:tc>
        <w:tc>
          <w:tcPr>
            <w:tcW w:w="3160" w:type="dxa"/>
            <w:vAlign w:val="center"/>
          </w:tcPr>
          <w:p>
            <w:pPr>
              <w:pStyle w:val="tablecopy"/>
              <w:jc w:val="start"/>
            </w:pPr>
            <w:r>
              <w:t xml:space="preserve">Inspects outputs for numerical instability (</w:t>
            </w:r>
            <w:r>
              <w:rPr>
                <w:rFonts w:ascii="Courier New" w:hAnsi="Courier New" w:cs="Courier New"/>
                <w:sz w:val="16"/>
                <w:szCs w:val="16"/>
              </w:rPr>
              <w:t xml:space="preserve">torch.isnan()</w:t>
            </w:r>
            <w:r>
              <w:t xml:space="preserve">, </w:t>
            </w:r>
            <w:r>
              <w:rPr>
                <w:rFonts w:ascii="Courier New" w:hAnsi="Courier New" w:cs="Courier New"/>
                <w:sz w:val="16"/>
                <w:szCs w:val="16"/>
              </w:rPr>
              <w:t xml:space="preserve">torch.isinf()</w:t>
            </w:r>
            <w:r>
              <w:t xml:space="preserve">).</w:t>
            </w:r>
          </w:p>
        </w:tc>
      </w:tr>
      <w:tr>
        <w:trPr>
          <w:cantSplit/>
        </w:trPr>
        <w:tc>
          <w:tcPr>
            <w:tcW w:w="480" w:type="dxa"/>
            <w:vAlign w:val="center"/>
          </w:tcPr>
          <w:p>
            <w:pPr>
              <w:pStyle w:val="tablecopy"/>
              <w:jc w:val="center"/>
            </w:pPr>
            <w:r>
              <w:t xml:space="preserve">T5</w:t>
            </w:r>
          </w:p>
        </w:tc>
        <w:tc>
          <w:tcPr>
            <w:tcW w:w="1240" w:type="dxa"/>
            <w:vAlign w:val="center"/>
          </w:tcPr>
          <w:p>
            <w:pPr>
              <w:pStyle w:val="tablecopy"/>
              <w:jc w:val="start"/>
            </w:pPr>
            <w:r>
              <w:t xml:space="preserve">Dynamic batching</w:t>
            </w:r>
          </w:p>
        </w:tc>
        <w:tc>
          <w:tcPr>
            <w:tcW w:w="3160" w:type="dxa"/>
            <w:vAlign w:val="center"/>
          </w:tcPr>
          <w:p>
            <w:pPr>
              <w:pStyle w:val="tablecopy"/>
              <w:jc w:val="start"/>
            </w:pPr>
            <w:r>
              <w:t xml:space="preserve">Checks invariance to batch size (</w:t>
            </w:r>
            <w:r>
              <w:rPr>
                <w:i/>
                <w:iCs/>
              </w:rPr>
              <w:t xml:space="preserve">B</w:t>
            </w:r>
            <w:r>
              <w:t xml:space="preserve">=1, 4, 8) without shape mismatches.</w:t>
            </w:r>
          </w:p>
        </w:tc>
      </w:tr>
      <w:tr>
        <w:trPr>
          <w:cantSplit/>
        </w:trPr>
        <w:tc>
          <w:tcPr>
            <w:tcW w:w="480" w:type="dxa"/>
            <w:vAlign w:val="center"/>
          </w:tcPr>
          <w:p>
            <w:pPr>
              <w:pStyle w:val="tablecopy"/>
              <w:jc w:val="center"/>
            </w:pPr>
            <w:r>
              <w:t xml:space="preserve">T6</w:t>
            </w:r>
          </w:p>
        </w:tc>
        <w:tc>
          <w:tcPr>
            <w:tcW w:w="1240" w:type="dxa"/>
            <w:vAlign w:val="center"/>
          </w:tcPr>
          <w:p>
            <w:pPr>
              <w:pStyle w:val="tablecopy"/>
              <w:jc w:val="start"/>
            </w:pPr>
            <w:r>
              <w:t xml:space="preserve">Gradient backpropagation</w:t>
            </w:r>
          </w:p>
        </w:tc>
        <w:tc>
          <w:tcPr>
            <w:tcW w:w="3160" w:type="dxa"/>
            <w:vAlign w:val="center"/>
          </w:tcPr>
          <w:p>
            <w:pPr>
              <w:pStyle w:val="tablecopy"/>
              <w:jc w:val="start"/>
            </w:pPr>
            <w:r>
              <w:t xml:space="preserve">Backpropagates </w:t>
            </w:r>
            <w:r>
              <w:rPr>
                <w:i/>
                <w:iCs/>
              </w:rPr>
              <w:t xml:space="preserve">L</w:t>
            </w:r>
            <w:r>
              <w:t xml:space="preserve"> = output.sum() and verifies non-zero gradients on all trainable parameters.</w:t>
            </w:r>
          </w:p>
        </w:tc>
      </w:tr>
      <w:tr>
        <w:trPr>
          <w:cantSplit/>
        </w:trPr>
        <w:tc>
          <w:tcPr>
            <w:tcW w:w="480" w:type="dxa"/>
            <w:vAlign w:val="center"/>
          </w:tcPr>
          <w:p>
            <w:pPr>
              <w:pStyle w:val="tablecopy"/>
              <w:jc w:val="center"/>
            </w:pPr>
            <w:r>
              <w:t xml:space="preserve">T7</w:t>
            </w:r>
          </w:p>
        </w:tc>
        <w:tc>
          <w:tcPr>
            <w:tcW w:w="1240" w:type="dxa"/>
            <w:vAlign w:val="center"/>
          </w:tcPr>
          <w:p>
            <w:pPr>
              <w:pStyle w:val="tablecopy"/>
              <w:jc w:val="start"/>
            </w:pPr>
            <w:r>
              <w:t xml:space="preserve">Loss computation</w:t>
            </w:r>
          </w:p>
        </w:tc>
        <w:tc>
          <w:tcPr>
            <w:tcW w:w="3160" w:type="dxa"/>
            <w:vAlign w:val="center"/>
          </w:tcPr>
          <w:p>
            <w:pPr>
              <w:pStyle w:val="tablecopy"/>
              <w:jc w:val="start"/>
            </w:pPr>
            <w:r>
              <w:t xml:space="preserve">Verifies that a standard criterion (</w:t>
            </w:r>
            <w:r>
              <w:rPr>
                <w:rFonts w:ascii="Courier New" w:hAnsi="Courier New" w:cs="Courier New"/>
                <w:sz w:val="16"/>
                <w:szCs w:val="16"/>
              </w:rPr>
              <w:t xml:space="preserve">MSELoss</w:t>
            </w:r>
            <w:r>
              <w:t xml:space="preserve">, </w:t>
            </w:r>
            <w:r>
              <w:rPr>
                <w:rFonts w:ascii="Courier New" w:hAnsi="Courier New" w:cs="Courier New"/>
                <w:sz w:val="16"/>
                <w:szCs w:val="16"/>
              </w:rPr>
              <w:t xml:space="preserve">CrossEntropyLoss</w:t>
            </w:r>
            <w:r>
              <w:t xml:space="preserve">) returns a valid scalar.</w:t>
            </w:r>
          </w:p>
        </w:tc>
      </w:tr>
      <w:tr>
        <w:trPr>
          <w:cantSplit/>
        </w:trPr>
        <w:tc>
          <w:tcPr>
            <w:tcW w:w="480" w:type="dxa"/>
            <w:vAlign w:val="center"/>
          </w:tcPr>
          <w:p>
            <w:pPr>
              <w:pStyle w:val="tablecopy"/>
              <w:jc w:val="center"/>
            </w:pPr>
            <w:r>
              <w:t xml:space="preserve">T8</w:t>
            </w:r>
          </w:p>
        </w:tc>
        <w:tc>
          <w:tcPr>
            <w:tcW w:w="1240" w:type="dxa"/>
            <w:vAlign w:val="center"/>
          </w:tcPr>
          <w:p>
            <w:pPr>
              <w:pStyle w:val="tablecopy"/>
              <w:jc w:val="start"/>
            </w:pPr>
            <w:r>
              <w:t xml:space="preserve">Parameter initialization</w:t>
            </w:r>
          </w:p>
        </w:tc>
        <w:tc>
          <w:tcPr>
            <w:tcW w:w="3160" w:type="dxa"/>
            <w:vAlign w:val="center"/>
          </w:tcPr>
          <w:p>
            <w:pPr>
              <w:pStyle w:val="tablecopy"/>
              <w:jc w:val="start"/>
            </w:pPr>
            <w:r>
              <w:t xml:space="preserve">Checks that parameters are non-zero and initialized with standard variances.</w:t>
            </w:r>
          </w:p>
        </w:tc>
      </w:tr>
      <w:tr>
        <w:trPr>
          <w:cantSplit/>
        </w:trPr>
        <w:tc>
          <w:tcPr>
            <w:tcW w:w="480" w:type="dxa"/>
            <w:vAlign w:val="center"/>
          </w:tcPr>
          <w:p>
            <w:pPr>
              <w:pStyle w:val="tablecopy"/>
              <w:jc w:val="center"/>
            </w:pPr>
            <w:r>
              <w:t xml:space="preserve">T9</w:t>
            </w:r>
          </w:p>
        </w:tc>
        <w:tc>
          <w:tcPr>
            <w:tcW w:w="1240" w:type="dxa"/>
            <w:vAlign w:val="center"/>
          </w:tcPr>
          <w:p>
            <w:pPr>
              <w:pStyle w:val="tablecopy"/>
              <w:jc w:val="start"/>
            </w:pPr>
            <w:r>
              <w:t xml:space="preserve">Parameter count audit</w:t>
            </w:r>
          </w:p>
        </w:tc>
        <w:tc>
          <w:tcPr>
            <w:tcW w:w="3160" w:type="dxa"/>
            <w:vAlign w:val="center"/>
          </w:tcPr>
          <w:p>
            <w:pPr>
              <w:pStyle w:val="tablecopy"/>
              <w:jc w:val="start"/>
            </w:pPr>
            <w:r>
              <w:t xml:space="preserve">Computes the trainable parameter count and verifies it is greater than zero.</w:t>
            </w:r>
          </w:p>
        </w:tc>
      </w:tr>
      <w:tr>
        <w:trPr>
          <w:cantSplit/>
        </w:trPr>
        <w:tc>
          <w:tcPr>
            <w:tcW w:w="480" w:type="dxa"/>
            <w:vAlign w:val="center"/>
          </w:tcPr>
          <w:p>
            <w:pPr>
              <w:pStyle w:val="tablecopy"/>
              <w:jc w:val="center"/>
            </w:pPr>
            <w:r>
              <w:t xml:space="preserve">T10</w:t>
            </w:r>
          </w:p>
        </w:tc>
        <w:tc>
          <w:tcPr>
            <w:tcW w:w="1240" w:type="dxa"/>
            <w:vAlign w:val="center"/>
          </w:tcPr>
          <w:p>
            <w:pPr>
              <w:pStyle w:val="tablecopy"/>
              <w:jc w:val="start"/>
            </w:pPr>
            <w:r>
              <w:t xml:space="preserve">Import isolation safety</w:t>
            </w:r>
          </w:p>
        </w:tc>
        <w:tc>
          <w:tcPr>
            <w:tcW w:w="3160" w:type="dxa"/>
            <w:vAlign w:val="center"/>
          </w:tcPr>
          <w:p>
            <w:pPr>
              <w:pStyle w:val="tablecopy"/>
              <w:jc w:val="start"/>
            </w:pPr>
            <w:r>
              <w:t xml:space="preserve">Verifies that relative imports (</w:t>
            </w:r>
            <w:r>
              <w:rPr>
                <w:rFonts w:ascii="Courier New" w:hAnsi="Courier New" w:cs="Courier New"/>
                <w:sz w:val="16"/>
                <w:szCs w:val="16"/>
              </w:rPr>
              <w:t xml:space="preserve">from attention import ...</w:t>
            </w:r>
            <w:r>
              <w:t xml:space="preserve">) resolve without namespace collisions.</w:t>
            </w:r>
          </w:p>
        </w:tc>
      </w:tr>
    </w:tbl>
    <w:p>
      <w:pPr>
        <w:spacing w:before="0" w:after="4pt" w:line="6pt" w:lineRule="exact"/>
      </w:pPr>
    </w:p>
    <w:p>
      <w:pPr>
        <w:pStyle w:val="Heading1"/>
      </w:pPr>
      <w:r>
        <w:t xml:space="preserve">Mathematical Formulation and Guardrail Contracts</w:t>
      </w:r>
    </w:p>
    <w:p>
      <w:pPr>
        <w:pStyle w:val="Heading2"/>
      </w:pPr>
      <w:r>
        <w:t xml:space="preserve">Grounding Ratio Metric</w:t>
      </w:r>
    </w:p>
    <w:p>
      <w:pPr>
        <w:pStyle w:val="BodyText"/>
      </w:pPr>
      <w:r>
        <w:t xml:space="preserve">We define the Paper Grounding Ratio </w:t>
      </w:r>
      <w:r>
        <w:rPr>
          <w:i/>
          <w:iCs/>
        </w:rPr>
        <w:t xml:space="preserve">G</w:t>
      </w:r>
      <w:r>
        <w:t xml:space="preserve"> ∈ [0, 1] of a generated specification as</w:t>
      </w:r>
    </w:p>
    <w:p>
      <w:pPr>
        <w:pStyle w:val="equation"/>
      </w:pPr>
      <w:r>
        <w:tab/>
      </w:r>
      <m:oMath>
        <m:r>
          <w:rPr>
            <w:rFonts w:ascii="Cambria Math" w:hAnsi="Cambria Math"/>
          </w:rPr>
          <m:t xml:space="preserve">G</m:t>
        </m:r>
        <m:r>
          <w:rPr>
            <w:rFonts w:ascii="Cambria Math" w:hAnsi="Cambria Math"/>
          </w:rPr>
          <m:t xml:space="preserve">=</m:t>
        </m:r>
        <m:f>
          <m:num>
            <m:nary>
              <m:naryPr>
                <m:chr m:val="∑"/>
                <m:limLoc m:val="undOvr"/>
              </m:naryPr>
              <m:sub>
                <m:r>
                  <w:rPr>
                    <w:rFonts w:ascii="Cambria Math" w:hAnsi="Cambria Math"/>
                  </w:rPr>
                  <m:t xml:space="preserve">i</m:t>
                </m:r>
                <m:r>
                  <m:rPr>
                    <m:sty m:val="p"/>
                  </m:rPr>
                  <w:rPr>
                    <w:rFonts w:ascii="Cambria Math" w:hAnsi="Cambria Math"/>
                  </w:rPr>
                  <m:t xml:space="preserve">=1</m:t>
                </m:r>
              </m:sub>
              <m:sup>
                <m:r>
                  <w:rPr>
                    <w:rFonts w:ascii="Cambria Math" w:hAnsi="Cambria Math"/>
                  </w:rPr>
                  <m:t xml:space="preserve">N</m:t>
                </m:r>
              </m:sup>
              <m:e>
                <m:r>
                  <w:rPr>
                    <w:rFonts w:ascii="Cambria Math" w:hAnsi="Cambria Math"/>
                  </w:rPr>
                  <m:t xml:space="preserve">𝕀</m:t>
                </m:r>
                <m:d>
                  <m:dPr>
                    <m:begChr m:val="("/>
                    <m:endChr m:val=")"/>
                  </m:dPr>
                  <m:e>
                    <m:func>
                      <m:fName>
                        <m:limLow>
                          <m:e>
                            <m:r>
                              <m:rPr>
                                <m:sty m:val="p"/>
                              </m:rPr>
                              <w:rPr>
                                <w:rFonts w:ascii="Cambria Math" w:hAnsi="Cambria Math"/>
                              </w:rPr>
                              <m:t xml:space="preserve">max</m:t>
                            </m:r>
                          </m:e>
                          <m:lim>
                            <m:r>
                              <w:rPr>
                                <w:rFonts w:ascii="Cambria Math" w:hAnsi="Cambria Math"/>
                              </w:rPr>
                              <m:t xml:space="preserve">c</m:t>
                            </m:r>
                            <m:r>
                              <w:rPr>
                                <w:rFonts w:ascii="Cambria Math" w:hAnsi="Cambria Math"/>
                              </w:rPr>
                              <m:t xml:space="preserve">∈</m:t>
                            </m:r>
                            <m:sSub>
                              <m:e>
                                <m:r>
                                  <w:rPr>
                                    <w:rFonts w:ascii="Cambria Math" w:hAnsi="Cambria Math"/>
                                  </w:rPr>
                                  <m:t xml:space="preserve">S</m:t>
                                </m:r>
                              </m:e>
                              <m:sub>
                                <m:r>
                                  <m:rPr>
                                    <m:sty m:val="p"/>
                                  </m:rPr>
                                  <w:rPr>
                                    <w:rFonts w:ascii="Cambria Math" w:hAnsi="Cambria Math"/>
                                  </w:rPr>
                                  <m:t xml:space="preserve">id</m:t>
                                </m:r>
                              </m:sub>
                            </m:sSub>
                          </m:lim>
                        </m:limLow>
                      </m:fName>
                      <m:e>
                        <m:r>
                          <w:rPr>
                            <w:rFonts w:ascii="Cambria Math" w:hAnsi="Cambria Math"/>
                          </w:rPr>
                          <m:t xml:space="preserve">S</m:t>
                        </m:r>
                        <m:d>
                          <m:dPr>
                            <m:begChr m:val="("/>
                            <m:endChr m:val=")"/>
                          </m:dPr>
                          <m:e>
                            <m:sSub>
                              <m:e>
                                <m:r>
                                  <w:rPr>
                                    <w:rFonts w:ascii="Cambria Math" w:hAnsi="Cambria Math"/>
                                  </w:rPr>
                                  <m:t xml:space="preserve">k</m:t>
                                </m:r>
                              </m:e>
                              <m:sub>
                                <m:r>
                                  <w:rPr>
                                    <w:rFonts w:ascii="Cambria Math" w:hAnsi="Cambria Math"/>
                                  </w:rPr>
                                  <m:t xml:space="preserve">i</m:t>
                                </m:r>
                              </m:sub>
                            </m:sSub>
                            <m:r>
                              <w:rPr>
                                <w:rFonts w:ascii="Cambria Math" w:hAnsi="Cambria Math"/>
                              </w:rPr>
                              <m:t xml:space="preserve">,</m:t>
                            </m:r>
                            <m:r>
                              <w:rPr>
                                <w:rFonts w:ascii="Cambria Math" w:hAnsi="Cambria Math"/>
                              </w:rPr>
                              <m:t xml:space="preserve">c</m:t>
                            </m:r>
                          </m:e>
                        </m:d>
                      </m:e>
                    </m:func>
                    <m:r>
                      <w:rPr>
                        <w:rFonts w:ascii="Cambria Math" w:hAnsi="Cambria Math"/>
                      </w:rPr>
                      <m:t xml:space="preserve">≥</m:t>
                    </m:r>
                    <m:r>
                      <w:rPr>
                        <w:rFonts w:ascii="Cambria Math" w:hAnsi="Cambria Math"/>
                      </w:rPr>
                      <m:t xml:space="preserve">τ</m:t>
                    </m:r>
                  </m:e>
                </m:d>
              </m:e>
            </m:nary>
          </m:num>
          <m:den>
            <m:r>
              <w:rPr>
                <w:rFonts w:ascii="Cambria Math" w:hAnsi="Cambria Math"/>
              </w:rPr>
              <m:t xml:space="preserve">N</m:t>
            </m:r>
          </m:den>
        </m:f>
      </m:oMath>
      <w:r>
        <w:rPr>
          <w:rFonts w:ascii="Times New Roman" w:hAnsi="Times New Roman" w:cs="Times New Roman"/>
        </w:rPr>
        <w:tab/>
        <w:t>(4)</w:t>
      </w:r>
    </w:p>
    <w:p>
      <w:pPr>
        <w:pStyle w:val="BodyText"/>
      </w:pPr>
      <w:r>
        <w:t xml:space="preserve">where 𝕀(·) is the indicator function, </w:t>
      </w:r>
      <w:r>
        <w:rPr>
          <w:i/>
          <w:iCs/>
        </w:rPr>
        <w:t xml:space="preserve">N</w:t>
      </w:r>
      <w:r>
        <w:t xml:space="preserve"> is the number of specification key-value pairs, and </w:t>
      </w:r>
      <w:r>
        <w:rPr>
          <w:i/>
          <w:iCs/>
        </w:rPr>
        <w:t xml:space="preserve">τ</w:t>
      </w:r>
      <w:r>
        <w:t xml:space="preserve"> = 0.65 is the vector similarity threshold. SENTRA-AI requires </w:t>
      </w:r>
      <w:r>
        <w:rPr>
          <w:i/>
          <w:iCs/>
        </w:rPr>
        <w:t xml:space="preserve">G</w:t>
      </w:r>
      <w:r>
        <w:t xml:space="preserve"> = 1.0 before code generation is triggered; any run with </w:t>
      </w:r>
      <w:r>
        <w:rPr>
          <w:i/>
          <w:iCs/>
        </w:rPr>
        <w:t xml:space="preserve">G</w:t>
      </w:r>
      <w:r>
        <w:t xml:space="preserve"> &lt; 1.0 is halted at the Guardrail state.</w:t>
      </w:r>
    </w:p>
    <w:p>
      <w:pPr>
        <w:pStyle w:val="Heading2"/>
      </w:pPr>
      <w:r>
        <w:t xml:space="preserve">Dynamic Loss Gradient Verification</w:t>
      </w:r>
    </w:p>
    <w:p>
      <w:pPr>
        <w:pStyle w:val="BodyText"/>
      </w:pPr>
      <w:r>
        <w:t xml:space="preserve">During Tier 6, for model parameters Θ = {</w:t>
      </w:r>
      <w:r>
        <w:rPr>
          <w:i/>
          <w:iCs/>
        </w:rPr>
        <w:t xml:space="preserve">θ</w:t>
      </w:r>
      <w:r>
        <w:rPr>
          <w:vertAlign w:val="subscript"/>
        </w:rPr>
        <w:t xml:space="preserve">1</w:t>
      </w:r>
      <w:r>
        <w:t xml:space="preserve">, </w:t>
      </w:r>
      <w:r>
        <w:rPr>
          <w:i/>
          <w:iCs/>
        </w:rPr>
        <w:t xml:space="preserve">θ</w:t>
      </w:r>
      <w:r>
        <w:rPr>
          <w:vertAlign w:val="subscript"/>
        </w:rPr>
        <w:t xml:space="preserve">2</w:t>
      </w:r>
      <w:r>
        <w:t xml:space="preserve">, …, </w:t>
      </w:r>
      <w:r>
        <w:rPr>
          <w:i/>
          <w:iCs/>
        </w:rPr>
        <w:t xml:space="preserve">θ</w:t>
      </w:r>
      <w:r>
        <w:rPr>
          <w:vertAlign w:val="subscript"/>
        </w:rPr>
        <w:t xml:space="preserve">M</w:t>
      </w:r>
      <w:r>
        <w:t xml:space="preserve">}, the Testing Agent verifies that</w:t>
      </w:r>
    </w:p>
    <w:p>
      <w:pPr>
        <w:pStyle w:val="equation"/>
      </w:pPr>
      <w:r>
        <w:tab/>
      </w:r>
      <m:oMath>
        <m:r>
          <w:rPr>
            <w:rFonts w:ascii="Cambria Math" w:hAnsi="Cambria Math"/>
          </w:rPr>
          <m:t xml:space="preserve">∀</m:t>
        </m:r>
        <m:sSub>
          <m:e>
            <m:r>
              <w:rPr>
                <w:rFonts w:ascii="Cambria Math" w:hAnsi="Cambria Math"/>
              </w:rPr>
              <m:t xml:space="preserve">θ</m:t>
            </m:r>
          </m:e>
          <m:sub>
            <m:r>
              <w:rPr>
                <w:rFonts w:ascii="Cambria Math" w:hAnsi="Cambria Math"/>
              </w:rPr>
              <m:t xml:space="preserve">m</m:t>
            </m:r>
          </m:sub>
        </m:sSub>
        <m:r>
          <w:rPr>
            <w:rFonts w:ascii="Cambria Math" w:hAnsi="Cambria Math"/>
          </w:rPr>
          <m:t xml:space="preserve">∈</m:t>
        </m:r>
        <m:r>
          <w:rPr>
            <w:rFonts w:ascii="Cambria Math" w:hAnsi="Cambria Math"/>
          </w:rPr>
          <m:t xml:space="preserve">Θ</m:t>
        </m:r>
        <m:r>
          <w:rPr>
            <w:rFonts w:ascii="Cambria Math" w:hAnsi="Cambria Math"/>
          </w:rPr>
          <m:t xml:space="preserve">,</m:t>
        </m:r>
        <m:r>
          <m:rPr>
            <m:sty m:val="p"/>
          </m:rPr>
          <w:rPr>
            <w:rFonts w:ascii="Cambria Math" w:hAnsi="Cambria Math"/>
          </w:rPr>
          <m:t xml:space="preserve">  </m:t>
        </m:r>
        <m:sSub>
          <m:e>
            <m:d>
              <m:dPr>
                <m:begChr m:val="‖"/>
                <m:endChr m:val="‖"/>
              </m:dPr>
              <m:e>
                <m:f>
                  <m:num>
                    <m:r>
                      <w:rPr>
                        <w:rFonts w:ascii="Cambria Math" w:hAnsi="Cambria Math"/>
                      </w:rPr>
                      <m:t xml:space="preserve">∂</m:t>
                    </m:r>
                    <m:r>
                      <w:rPr>
                        <w:rFonts w:ascii="Cambria Math" w:hAnsi="Cambria Math"/>
                      </w:rPr>
                      <m:t xml:space="preserve">L</m:t>
                    </m:r>
                  </m:num>
                  <m:den>
                    <m:r>
                      <w:rPr>
                        <w:rFonts w:ascii="Cambria Math" w:hAnsi="Cambria Math"/>
                      </w:rPr>
                      <m:t xml:space="preserve">∂</m:t>
                    </m:r>
                    <m:sSub>
                      <m:e>
                        <m:r>
                          <w:rPr>
                            <w:rFonts w:ascii="Cambria Math" w:hAnsi="Cambria Math"/>
                          </w:rPr>
                          <m:t xml:space="preserve">θ</m:t>
                        </m:r>
                      </m:e>
                      <m:sub>
                        <m:r>
                          <w:rPr>
                            <w:rFonts w:ascii="Cambria Math" w:hAnsi="Cambria Math"/>
                          </w:rPr>
                          <m:t xml:space="preserve">m</m:t>
                        </m:r>
                      </m:sub>
                    </m:sSub>
                  </m:den>
                </m:f>
              </m:e>
            </m:d>
          </m:e>
          <m:sub>
            <m:r>
              <m:rPr>
                <m:sty m:val="p"/>
              </m:rPr>
              <w:rPr>
                <w:rFonts w:ascii="Cambria Math" w:hAnsi="Cambria Math"/>
              </w:rPr>
              <m:t xml:space="preserve">2</m:t>
            </m:r>
          </m:sub>
        </m:sSub>
        <m:r>
          <w:rPr>
            <w:rFonts w:ascii="Cambria Math" w:hAnsi="Cambria Math"/>
          </w:rPr>
          <m:t xml:space="preserve">&gt;</m:t>
        </m:r>
        <m:r>
          <m:rPr>
            <m:sty m:val="p"/>
          </m:rPr>
          <w:rPr>
            <w:rFonts w:ascii="Cambria Math" w:hAnsi="Cambria Math"/>
          </w:rPr>
          <m:t xml:space="preserve">0</m:t>
        </m:r>
      </m:oMath>
      <w:r>
        <w:rPr>
          <w:rFonts w:ascii="Times New Roman" w:hAnsi="Times New Roman" w:cs="Times New Roman"/>
        </w:rPr>
        <w:tab/>
        <w:t>(5)</w:t>
      </w:r>
    </w:p>
    <w:p>
      <w:pPr>
        <w:pStyle w:val="BodyText"/>
      </w:pPr>
      <w:r>
        <w:t xml:space="preserve">If any parameter tensor has a null gradient (zero everywhere, or </w:t>
      </w:r>
      <w:r>
        <w:rPr>
          <w:rFonts w:ascii="Courier New" w:hAnsi="Courier New" w:cs="Courier New"/>
          <w:sz w:val="16"/>
          <w:szCs w:val="16"/>
        </w:rPr>
        <w:t xml:space="preserve">None</w:t>
      </w:r>
      <w:r>
        <w:t xml:space="preserve">), the Testing Agent flags a </w:t>
      </w:r>
      <w:r>
        <w:rPr>
          <w:i/>
          <w:iCs/>
        </w:rPr>
        <w:t xml:space="preserve">disconnected computation graph</w:t>
      </w:r>
      <w:r>
        <w:t xml:space="preserve"> defect.</w:t>
      </w:r>
    </w:p>
    <w:p>
      <w:pPr>
        <w:pStyle w:val="Heading1"/>
      </w:pPr>
      <w:r>
        <w:t xml:space="preserve">Experimental Setup and Results</w:t>
      </w:r>
    </w:p>
    <w:p>
      <w:pPr>
        <w:pStyle w:val="Heading2"/>
      </w:pPr>
      <w:r>
        <w:t xml:space="preserve">Benchmark Evaluation Dataset</w:t>
      </w:r>
    </w:p>
    <w:p>
      <w:pPr>
        <w:pStyle w:val="BodyText"/>
      </w:pPr>
      <w:r>
        <w:t xml:space="preserve">We evaluate SENTRA-AI on three seminal machine learning architectures: (1) the Transformer encoder from </w:t>
      </w:r>
      <w:r>
        <w:rPr>
          <w:i/>
          <w:iCs/>
        </w:rPr>
        <w:t xml:space="preserve">Attention Is All You Need</w:t>
      </w:r>
      <w:r>
        <w:t xml:space="preserve"> [1]; (2) the deep residual network from </w:t>
      </w:r>
      <w:r>
        <w:rPr>
          <w:i/>
          <w:iCs/>
        </w:rPr>
        <w:t xml:space="preserve">Deep Residual Learning for Image Recognition</w:t>
      </w:r>
      <w:r>
        <w:t xml:space="preserve"> [2]; and (3) the graph convolutional network from </w:t>
      </w:r>
      <w:r>
        <w:rPr>
          <w:i/>
          <w:iCs/>
        </w:rPr>
        <w:t xml:space="preserve">Semi-Supervised Classification with Graph Convolutional Networks</w:t>
      </w:r>
      <w:r>
        <w:t xml:space="preserve"> [3].</w:t>
      </w:r>
    </w:p>
    <w:p>
      <w:pPr>
        <w:pStyle w:val="Heading2"/>
      </w:pPr>
      <w:r>
        <w:t xml:space="preserve">Comparative Baselines</w:t>
      </w:r>
    </w:p>
    <w:p>
      <w:pPr>
        <w:pStyle w:val="BodyText"/>
      </w:pPr>
      <w:r>
        <w:t xml:space="preserve">SENTRA-AI is compared against two direct zero-shot LLM baselines:</w:t>
      </w:r>
    </w:p>
    <w:p>
      <w:pPr>
        <w:pStyle w:val="bulletlist"/>
      </w:pPr>
      <w:r>
        <w:rPr>
          <w:b/>
          <w:bCs/>
        </w:rPr>
        <w:t xml:space="preserve">Baseline A (monolithic prompt):</w:t>
      </w:r>
      <w:r>
        <w:t xml:space="preserve"> single-file code generation directly from raw PDF text.</w:t>
      </w:r>
    </w:p>
    <w:p>
      <w:pPr>
        <w:pStyle w:val="bulletlist"/>
      </w:pPr>
      <w:r>
        <w:rPr>
          <w:b/>
          <w:bCs/>
        </w:rPr>
        <w:t xml:space="preserve">Baseline B (RAG without guardrail):</w:t>
      </w:r>
      <w:r>
        <w:t xml:space="preserve"> retrieval-augmented, un-guardrailed, single-file code generation.</w:t>
      </w:r>
    </w:p>
    <w:p>
      <w:pPr>
        <w:pStyle w:val="BodyText"/>
      </w:pPr>
      <w:r>
        <w:t xml:space="preserve">SENTRA-AI (ours) is the full multi-agent pipeline with the Active Evidence Guardrail, the multi-file manifest generator, and 10-tier dynamic testing.</w:t>
      </w:r>
    </w:p>
    <w:p>
      <w:pPr>
        <w:pStyle w:val="Heading2"/>
      </w:pPr>
      <w:r>
        <w:t xml:space="preserve">Empirical Performance Comparison</w:t>
      </w:r>
    </w:p>
    <w:p>
      <w:pPr>
        <w:pStyle w:val="BodyText"/>
      </w:pPr>
      <w:r>
        <w:t xml:space="preserve">Table II and Fig. 3 summarize the results. SENTRA-AI improves on both baselines in every metric.</w:t>
      </w:r>
    </w:p>
    <w:p>
      <w:pPr>
        <w:pStyle w:val="tablehead"/>
      </w:pPr>
      <w:r>
        <w:t xml:space="preserve">Performance Comparison of Code Generation Pipelines</w:t>
      </w:r>
    </w:p>
    <w:tbl>
      <w:tblPr>
        <w:tblW w:w="4880"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45" w:type="dxa"/>
          <w:end w:w="45" w:type="dxa"/>
        </w:tblCellMar>
        <w:tblLook w:firstRow="1" w:lastRow="0" w:firstColumn="0" w:lastColumn="0" w:noHBand="0" w:noVBand="0"/>
      </w:tblPr>
      <w:tblGrid>
        <w:gridCol w:w="1960"/>
        <w:gridCol w:w="920"/>
        <w:gridCol w:w="920"/>
        <w:gridCol w:w="1080"/>
      </w:tblGrid>
      <w:tr>
        <w:trPr>
          <w:cantSplit/>
          <w:tblHeader/>
        </w:trPr>
        <w:tc>
          <w:tcPr>
            <w:tcW w:w="1960" w:type="dxa"/>
            <w:shd w:val="clear" w:color="auto" w:fill="E7E6E6"/>
            <w:vAlign w:val="center"/>
          </w:tcPr>
          <w:p>
            <w:pPr>
              <w:pStyle w:val="tablecolhead"/>
              <w:jc w:val="center"/>
            </w:pPr>
            <w:r>
              <w:t xml:space="preserve">Metric</w:t>
            </w:r>
          </w:p>
        </w:tc>
        <w:tc>
          <w:tcPr>
            <w:tcW w:w="920" w:type="dxa"/>
            <w:shd w:val="clear" w:color="auto" w:fill="E7E6E6"/>
            <w:vAlign w:val="center"/>
          </w:tcPr>
          <w:p>
            <w:pPr>
              <w:pStyle w:val="tablecolhead"/>
              <w:jc w:val="center"/>
            </w:pPr>
            <w:r>
              <w:t xml:space="preserve">Baseline A</w:t>
            </w:r>
          </w:p>
        </w:tc>
        <w:tc>
          <w:tcPr>
            <w:tcW w:w="920" w:type="dxa"/>
            <w:shd w:val="clear" w:color="auto" w:fill="E7E6E6"/>
            <w:vAlign w:val="center"/>
          </w:tcPr>
          <w:p>
            <w:pPr>
              <w:pStyle w:val="tablecolhead"/>
              <w:jc w:val="center"/>
            </w:pPr>
            <w:r>
              <w:t xml:space="preserve">Baseline B</w:t>
            </w:r>
          </w:p>
        </w:tc>
        <w:tc>
          <w:tcPr>
            <w:tcW w:w="1080" w:type="dxa"/>
            <w:shd w:val="clear" w:color="auto" w:fill="E7E6E6"/>
            <w:vAlign w:val="center"/>
          </w:tcPr>
          <w:p>
            <w:pPr>
              <w:pStyle w:val="tablecolhead"/>
              <w:jc w:val="center"/>
            </w:pPr>
            <w:r>
              <w:t xml:space="preserve">SENTRA-AI</w:t>
            </w:r>
          </w:p>
        </w:tc>
      </w:tr>
      <w:tr>
        <w:trPr>
          <w:cantSplit/>
        </w:trPr>
        <w:tc>
          <w:tcPr>
            <w:tcW w:w="1960" w:type="dxa"/>
            <w:vAlign w:val="center"/>
          </w:tcPr>
          <w:p>
            <w:pPr>
              <w:pStyle w:val="tablecopy"/>
              <w:jc w:val="start"/>
            </w:pPr>
            <w:r>
              <w:t xml:space="preserve">Hallucinated parameters (%) ↓</w:t>
            </w:r>
          </w:p>
        </w:tc>
        <w:tc>
          <w:tcPr>
            <w:tcW w:w="920" w:type="dxa"/>
            <w:vAlign w:val="center"/>
          </w:tcPr>
          <w:p>
            <w:pPr>
              <w:pStyle w:val="tablecopy"/>
              <w:jc w:val="center"/>
            </w:pPr>
            <w:r>
              <w:t xml:space="preserve">42.5</w:t>
            </w:r>
          </w:p>
        </w:tc>
        <w:tc>
          <w:tcPr>
            <w:tcW w:w="920" w:type="dxa"/>
            <w:vAlign w:val="center"/>
          </w:tcPr>
          <w:p>
            <w:pPr>
              <w:pStyle w:val="tablecopy"/>
              <w:jc w:val="center"/>
            </w:pPr>
            <w:r>
              <w:t xml:space="preserve">28.0</w:t>
            </w:r>
          </w:p>
        </w:tc>
        <w:tc>
          <w:tcPr>
            <w:tcW w:w="1080" w:type="dxa"/>
            <w:vAlign w:val="center"/>
          </w:tcPr>
          <w:p>
            <w:pPr>
              <w:pStyle w:val="tablecopy"/>
              <w:jc w:val="center"/>
            </w:pPr>
            <w:r>
              <w:rPr>
                <w:b/>
                <w:bCs/>
              </w:rPr>
              <w:t xml:space="preserve">3.5</w:t>
            </w:r>
          </w:p>
        </w:tc>
      </w:tr>
      <w:tr>
        <w:trPr>
          <w:cantSplit/>
        </w:trPr>
        <w:tc>
          <w:tcPr>
            <w:tcW w:w="1960" w:type="dxa"/>
            <w:vAlign w:val="center"/>
          </w:tcPr>
          <w:p>
            <w:pPr>
              <w:pStyle w:val="tablecopy"/>
              <w:jc w:val="start"/>
            </w:pPr>
            <w:r>
              <w:t xml:space="preserve">Syntax pass rate (%) ↑</w:t>
            </w:r>
          </w:p>
        </w:tc>
        <w:tc>
          <w:tcPr>
            <w:tcW w:w="920" w:type="dxa"/>
            <w:vAlign w:val="center"/>
          </w:tcPr>
          <w:p>
            <w:pPr>
              <w:pStyle w:val="tablecopy"/>
              <w:jc w:val="center"/>
            </w:pPr>
            <w:r>
              <w:t xml:space="preserve">61.2</w:t>
            </w:r>
          </w:p>
        </w:tc>
        <w:tc>
          <w:tcPr>
            <w:tcW w:w="920" w:type="dxa"/>
            <w:vAlign w:val="center"/>
          </w:tcPr>
          <w:p>
            <w:pPr>
              <w:pStyle w:val="tablecopy"/>
              <w:jc w:val="center"/>
            </w:pPr>
            <w:r>
              <w:t xml:space="preserve">78.4</w:t>
            </w:r>
          </w:p>
        </w:tc>
        <w:tc>
          <w:tcPr>
            <w:tcW w:w="1080" w:type="dxa"/>
            <w:vAlign w:val="center"/>
          </w:tcPr>
          <w:p>
            <w:pPr>
              <w:pStyle w:val="tablecopy"/>
              <w:jc w:val="center"/>
            </w:pPr>
            <w:r>
              <w:rPr>
                <w:b/>
                <w:bCs/>
              </w:rPr>
              <w:t xml:space="preserve">94.2</w:t>
            </w:r>
          </w:p>
        </w:tc>
      </w:tr>
      <w:tr>
        <w:trPr>
          <w:cantSplit/>
        </w:trPr>
        <w:tc>
          <w:tcPr>
            <w:tcW w:w="1960" w:type="dxa"/>
            <w:vAlign w:val="center"/>
          </w:tcPr>
          <w:p>
            <w:pPr>
              <w:pStyle w:val="tablecopy"/>
              <w:jc w:val="start"/>
            </w:pPr>
            <w:r>
              <w:t xml:space="preserve">Multi-file modular rate (%) ↑</w:t>
            </w:r>
          </w:p>
        </w:tc>
        <w:tc>
          <w:tcPr>
            <w:tcW w:w="920" w:type="dxa"/>
            <w:vAlign w:val="center"/>
          </w:tcPr>
          <w:p>
            <w:pPr>
              <w:pStyle w:val="tablecopy"/>
              <w:jc w:val="center"/>
            </w:pPr>
            <w:r>
              <w:t xml:space="preserve">0.0</w:t>
            </w:r>
          </w:p>
        </w:tc>
        <w:tc>
          <w:tcPr>
            <w:tcW w:w="920" w:type="dxa"/>
            <w:vAlign w:val="center"/>
          </w:tcPr>
          <w:p>
            <w:pPr>
              <w:pStyle w:val="tablecopy"/>
              <w:jc w:val="center"/>
            </w:pPr>
            <w:r>
              <w:t xml:space="preserve">15.0</w:t>
            </w:r>
          </w:p>
        </w:tc>
        <w:tc>
          <w:tcPr>
            <w:tcW w:w="1080" w:type="dxa"/>
            <w:vAlign w:val="center"/>
          </w:tcPr>
          <w:p>
            <w:pPr>
              <w:pStyle w:val="tablecopy"/>
              <w:jc w:val="center"/>
            </w:pPr>
            <w:r>
              <w:rPr>
                <w:b/>
                <w:bCs/>
              </w:rPr>
              <w:t xml:space="preserve">100.0</w:t>
            </w:r>
          </w:p>
        </w:tc>
      </w:tr>
      <w:tr>
        <w:trPr>
          <w:cantSplit/>
        </w:trPr>
        <w:tc>
          <w:tcPr>
            <w:tcW w:w="1960" w:type="dxa"/>
            <w:vAlign w:val="center"/>
          </w:tcPr>
          <w:p>
            <w:pPr>
              <w:pStyle w:val="tablecopy"/>
              <w:jc w:val="start"/>
            </w:pPr>
            <w:r>
              <w:t xml:space="preserve">10-tier test pass rate (%) ↑</w:t>
            </w:r>
          </w:p>
        </w:tc>
        <w:tc>
          <w:tcPr>
            <w:tcW w:w="920" w:type="dxa"/>
            <w:vAlign w:val="center"/>
          </w:tcPr>
          <w:p>
            <w:pPr>
              <w:pStyle w:val="tablecopy"/>
              <w:jc w:val="center"/>
            </w:pPr>
            <w:r>
              <w:t xml:space="preserve">24.1</w:t>
            </w:r>
          </w:p>
        </w:tc>
        <w:tc>
          <w:tcPr>
            <w:tcW w:w="920" w:type="dxa"/>
            <w:vAlign w:val="center"/>
          </w:tcPr>
          <w:p>
            <w:pPr>
              <w:pStyle w:val="tablecopy"/>
              <w:jc w:val="center"/>
            </w:pPr>
            <w:r>
              <w:t xml:space="preserve">48.6</w:t>
            </w:r>
          </w:p>
        </w:tc>
        <w:tc>
          <w:tcPr>
            <w:tcW w:w="1080" w:type="dxa"/>
            <w:vAlign w:val="center"/>
          </w:tcPr>
          <w:p>
            <w:pPr>
              <w:pStyle w:val="tablecopy"/>
              <w:jc w:val="center"/>
            </w:pPr>
            <w:r>
              <w:rPr>
                <w:b/>
                <w:bCs/>
              </w:rPr>
              <w:t xml:space="preserve">91.8</w:t>
            </w:r>
          </w:p>
        </w:tc>
      </w:tr>
      <w:tr>
        <w:trPr>
          <w:cantSplit/>
        </w:trPr>
        <w:tc>
          <w:tcPr>
            <w:tcW w:w="1960" w:type="dxa"/>
            <w:vAlign w:val="center"/>
          </w:tcPr>
          <w:p>
            <w:pPr>
              <w:pStyle w:val="tablecopy"/>
              <w:jc w:val="start"/>
            </w:pPr>
            <w:r>
              <w:t xml:space="preserve">Grounding ratio </w:t>
            </w:r>
            <w:r>
              <w:rPr>
                <w:i/>
                <w:iCs/>
              </w:rPr>
              <w:t xml:space="preserve">G</w:t>
            </w:r>
            <w:r>
              <w:t xml:space="preserve"> ↑</w:t>
            </w:r>
          </w:p>
        </w:tc>
        <w:tc>
          <w:tcPr>
            <w:tcW w:w="920" w:type="dxa"/>
            <w:vAlign w:val="center"/>
          </w:tcPr>
          <w:p>
            <w:pPr>
              <w:pStyle w:val="tablecopy"/>
              <w:jc w:val="center"/>
            </w:pPr>
            <w:r>
              <w:t xml:space="preserve">0.31</w:t>
            </w:r>
          </w:p>
        </w:tc>
        <w:tc>
          <w:tcPr>
            <w:tcW w:w="920" w:type="dxa"/>
            <w:vAlign w:val="center"/>
          </w:tcPr>
          <w:p>
            <w:pPr>
              <w:pStyle w:val="tablecopy"/>
              <w:jc w:val="center"/>
            </w:pPr>
            <w:r>
              <w:t xml:space="preserve">0.58</w:t>
            </w:r>
          </w:p>
        </w:tc>
        <w:tc>
          <w:tcPr>
            <w:tcW w:w="1080" w:type="dxa"/>
            <w:vAlign w:val="center"/>
          </w:tcPr>
          <w:p>
            <w:pPr>
              <w:pStyle w:val="tablecopy"/>
              <w:jc w:val="center"/>
            </w:pPr>
            <w:r>
              <w:rPr>
                <w:b/>
                <w:bCs/>
              </w:rPr>
              <w:t xml:space="preserve">1.00</w:t>
            </w:r>
          </w:p>
        </w:tc>
      </w:tr>
    </w:tbl>
    <w:p>
      <w:pPr>
        <w:spacing w:before="0" w:after="4pt" w:line="6pt" w:lineRule="exact"/>
      </w:pPr>
    </w:p>
    <w:p>
      <w:pPr>
        <w:keepNext/>
        <w:spacing w:before="6pt" w:after="0pt"/>
        <w:jc w:val="center"/>
      </w:pPr>
      <w:r>
        <w:drawing>
          <wp:inline distT="0" distB="0" distL="0" distR="0">
            <wp:extent cx="2834640" cy="1834178"/>
            <wp:docPr id="103" name="Figure 103" descr="Hallucinated hyperparameter rate for each pipeline (lower is bette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3" name="fig3_hallucination.png"/>
                    <pic:cNvPicPr/>
                  </pic:nvPicPr>
                  <pic:blipFill>
                    <a:blip r:embed="rId22"/>
                    <a:stretch>
                      <a:fillRect/>
                    </a:stretch>
                  </pic:blipFill>
                  <pic:spPr>
                    <a:xfrm>
                      <a:off x="0" y="0"/>
                      <a:ext cx="2834640" cy="1834178"/>
                    </a:xfrm>
                    <a:prstGeom prst="rect">
                      <a:avLst/>
                    </a:prstGeom>
                  </pic:spPr>
                </pic:pic>
              </a:graphicData>
            </a:graphic>
          </wp:inline>
        </w:drawing>
      </w:r>
    </w:p>
    <w:p>
      <w:pPr>
        <w:pStyle w:val="figurecaption"/>
        <w:jc w:val="center"/>
      </w:pPr>
      <w:r>
        <w:t xml:space="preserve">Hallucinated hyperparameter rate for each pipeline (lower is better).</w:t>
      </w:r>
    </w:p>
    <w:p>
      <w:pPr>
        <w:pStyle w:val="Heading2"/>
      </w:pPr>
      <w:r>
        <w:t xml:space="preserve">Key Experimental Findings</w:t>
      </w:r>
    </w:p>
    <w:p>
      <w:pPr>
        <w:pStyle w:val="bulletlist"/>
      </w:pPr>
      <w:r>
        <w:rPr>
          <w:b/>
          <w:bCs/>
        </w:rPr>
        <w:t xml:space="preserve">Hallucination reduction.</w:t>
      </w:r>
      <w:r>
        <w:t xml:space="preserve"> The Active Evidence Guardrail reduced unsupported hyperparameter insertions to 3.5%, a relative reduction of 87.5% with respect to Baseline B (28.0%) and 91.8% with respect to Baseline A (42.5%).</w:t>
      </w:r>
    </w:p>
    <w:p>
      <w:pPr>
        <w:pStyle w:val="bulletlist"/>
      </w:pPr>
      <w:r>
        <w:rPr>
          <w:b/>
          <w:bCs/>
        </w:rPr>
        <w:t xml:space="preserve">Multi-file quality.</w:t>
      </w:r>
      <w:r>
        <w:t xml:space="preserve"> Structuring generation into six dedicated modules eliminated monolithic 800-line files and raised modular import resolution to 100%.</w:t>
      </w:r>
    </w:p>
    <w:p>
      <w:pPr>
        <w:pStyle w:val="bulletlist"/>
      </w:pPr>
      <w:r>
        <w:rPr>
          <w:b/>
          <w:bCs/>
        </w:rPr>
        <w:t xml:space="preserve">Execution robustness.</w:t>
      </w:r>
      <w:r>
        <w:t xml:space="preserve"> Across 50 independent runs, SENTRA-AI achieved a 91.8% overall pass rate on the 10-tier dynamic test suite.</w:t>
      </w:r>
    </w:p>
    <w:p>
      <w:pPr>
        <w:pStyle w:val="Heading1"/>
      </w:pPr>
      <w:r>
        <w:t xml:space="preserve">Related Work</w:t>
      </w:r>
    </w:p>
    <w:p>
      <w:pPr>
        <w:pStyle w:val="Heading2"/>
      </w:pPr>
      <w:r>
        <w:t xml:space="preserve">LLMs for Automated Code Generation</w:t>
      </w:r>
    </w:p>
    <w:p>
      <w:pPr>
        <w:pStyle w:val="BodyText"/>
      </w:pPr>
      <w:r>
        <w:t xml:space="preserve">Models such as Codex [4], AlphaCode [5], and StarCoder [6] have demonstrated remarkable capabilities in solving competitive programming problems. However, these systems focus primarily on algorithmic puzzles rather than on translating dense paper specifications into modular deep learning software frameworks.</w:t>
      </w:r>
    </w:p>
    <w:p>
      <w:pPr>
        <w:pStyle w:val="Heading2"/>
      </w:pPr>
      <w:r>
        <w:t xml:space="preserve">Retrieval-Augmented Generation</w:t>
      </w:r>
    </w:p>
    <w:p>
      <w:pPr>
        <w:pStyle w:val="BodyText"/>
      </w:pPr>
      <w:r>
        <w:t xml:space="preserve">RAG frameworks [7], [8] mitigate the knowledge boundaries of LLMs by conditioning generation on vector search results. Standard RAG applications focus on conversational question answering; SENTRA-AI extends RAG by embedding vector provenance metadata directly into executable software comments (</w:t>
      </w:r>
      <w:r>
        <w:rPr>
          <w:rFonts w:ascii="Courier New" w:hAnsi="Courier New" w:cs="Courier New"/>
          <w:sz w:val="16"/>
          <w:szCs w:val="16"/>
        </w:rPr>
        <w:t xml:space="preserve"># SPEC:</w:t>
      </w:r>
      <w:r>
        <w:t xml:space="preserve">).</w:t>
      </w:r>
    </w:p>
    <w:p>
      <w:pPr>
        <w:pStyle w:val="Heading2"/>
      </w:pPr>
      <w:r>
        <w:t xml:space="preserve">Multi-Agent Systems in Software Engineering</w:t>
      </w:r>
    </w:p>
    <w:p>
      <w:pPr>
        <w:pStyle w:val="BodyText"/>
      </w:pPr>
      <w:r>
        <w:t xml:space="preserve">Recent agentic platforms such as MetaGPT [9] and ChatDev [10] simulate human software roles (product manager, engineer, reviewer). While these systems target generic web and command-line applications, SENTRA-AI specifically targets machine learning architecture engineering, with formal evidence guardrails and dynamic PyTorch gradient verification.</w:t>
      </w:r>
    </w:p>
    <w:p>
      <w:pPr>
        <w:pStyle w:val="Heading1"/>
      </w:pPr>
      <w:r>
        <w:t xml:space="preserve">Implementation and User Interface</w:t>
      </w:r>
    </w:p>
    <w:p>
      <w:pPr>
        <w:pStyle w:val="BodyText"/>
      </w:pPr>
      <w:r>
        <w:t xml:space="preserve">SENTRA-AI is implemented in Python 3.12 using PyTorch, FAISS, PyMuPDF, </w:t>
      </w:r>
      <w:r>
        <w:rPr>
          <w:rFonts w:ascii="Courier New" w:hAnsi="Courier New" w:cs="Courier New"/>
          <w:sz w:val="16"/>
          <w:szCs w:val="16"/>
        </w:rPr>
        <w:t xml:space="preserve">sentence-transformers</w:t>
      </w:r>
      <w:r>
        <w:t xml:space="preserve">, and Streamlit. The interface exposes the pipeline as four tabs (research Q&amp;A, grounded specifications, generated code, and dynamic testing) together with a per-session status panel. Table III shows the testing report for a sample session on the Transformer benchmark (16 pages indexed as 42 chunks): all ten tiers pass, and the generated model has 124,544 trainable parameters.</w:t>
      </w:r>
    </w:p>
    <w:p>
      <w:pPr>
        <w:pStyle w:val="tablehead"/>
      </w:pPr>
      <w:r>
        <w:t xml:space="preserve">Dynamic Test Report for a Sample Session</w:t>
      </w:r>
    </w:p>
    <w:tbl>
      <w:tblPr>
        <w:tblW w:w="4880"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45" w:type="dxa"/>
          <w:end w:w="45" w:type="dxa"/>
        </w:tblCellMar>
        <w:tblLook w:firstRow="1" w:lastRow="0" w:firstColumn="0" w:lastColumn="0" w:noHBand="0" w:noVBand="0"/>
      </w:tblPr>
      <w:tblGrid>
        <w:gridCol w:w="520"/>
        <w:gridCol w:w="3160"/>
        <w:gridCol w:w="1200"/>
      </w:tblGrid>
      <w:tr>
        <w:trPr>
          <w:cantSplit/>
          <w:tblHeader/>
        </w:trPr>
        <w:tc>
          <w:tcPr>
            <w:tcW w:w="520" w:type="dxa"/>
            <w:shd w:val="clear" w:color="auto" w:fill="E7E6E6"/>
            <w:vAlign w:val="center"/>
          </w:tcPr>
          <w:p>
            <w:pPr>
              <w:pStyle w:val="tablecolhead"/>
              <w:jc w:val="center"/>
            </w:pPr>
            <w:r>
              <w:t xml:space="preserve">Tier</w:t>
            </w:r>
          </w:p>
        </w:tc>
        <w:tc>
          <w:tcPr>
            <w:tcW w:w="3160" w:type="dxa"/>
            <w:shd w:val="clear" w:color="auto" w:fill="E7E6E6"/>
            <w:vAlign w:val="center"/>
          </w:tcPr>
          <w:p>
            <w:pPr>
              <w:pStyle w:val="tablecolhead"/>
              <w:jc w:val="center"/>
            </w:pPr>
            <w:r>
              <w:t xml:space="preserve">Check</w:t>
            </w:r>
          </w:p>
        </w:tc>
        <w:tc>
          <w:tcPr>
            <w:tcW w:w="1200" w:type="dxa"/>
            <w:shd w:val="clear" w:color="auto" w:fill="E7E6E6"/>
            <w:vAlign w:val="center"/>
          </w:tcPr>
          <w:p>
            <w:pPr>
              <w:pStyle w:val="tablecolhead"/>
              <w:jc w:val="center"/>
            </w:pPr>
            <w:r>
              <w:t xml:space="preserve">Time (s)</w:t>
            </w:r>
          </w:p>
        </w:tc>
      </w:tr>
      <w:tr>
        <w:trPr>
          <w:cantSplit/>
        </w:trPr>
        <w:tc>
          <w:tcPr>
            <w:tcW w:w="520" w:type="dxa"/>
            <w:vAlign w:val="center"/>
          </w:tcPr>
          <w:p>
            <w:pPr>
              <w:pStyle w:val="tablecopy"/>
              <w:jc w:val="center"/>
            </w:pPr>
            <w:r>
              <w:t xml:space="preserve">T1</w:t>
            </w:r>
          </w:p>
        </w:tc>
        <w:tc>
          <w:tcPr>
            <w:tcW w:w="3160" w:type="dxa"/>
            <w:vAlign w:val="center"/>
          </w:tcPr>
          <w:p>
            <w:pPr>
              <w:pStyle w:val="tablecopy"/>
              <w:jc w:val="start"/>
            </w:pPr>
            <w:r>
              <w:t xml:space="preserve">AST compilation validity</w:t>
            </w:r>
          </w:p>
        </w:tc>
        <w:tc>
          <w:tcPr>
            <w:tcW w:w="1200" w:type="dxa"/>
            <w:vAlign w:val="center"/>
          </w:tcPr>
          <w:p>
            <w:pPr>
              <w:pStyle w:val="tablecopy"/>
              <w:jc w:val="center"/>
            </w:pPr>
            <w:r>
              <w:t xml:space="preserve">0.012</w:t>
            </w:r>
          </w:p>
        </w:tc>
      </w:tr>
      <w:tr>
        <w:trPr>
          <w:cantSplit/>
        </w:trPr>
        <w:tc>
          <w:tcPr>
            <w:tcW w:w="520" w:type="dxa"/>
            <w:vAlign w:val="center"/>
          </w:tcPr>
          <w:p>
            <w:pPr>
              <w:pStyle w:val="tablecopy"/>
              <w:jc w:val="center"/>
            </w:pPr>
            <w:r>
              <w:t xml:space="preserve">T2</w:t>
            </w:r>
          </w:p>
        </w:tc>
        <w:tc>
          <w:tcPr>
            <w:tcW w:w="3160" w:type="dxa"/>
            <w:vAlign w:val="center"/>
          </w:tcPr>
          <w:p>
            <w:pPr>
              <w:pStyle w:val="tablecopy"/>
              <w:jc w:val="start"/>
            </w:pPr>
            <w:r>
              <w:t xml:space="preserve">PyTorch module instantiation</w:t>
            </w:r>
          </w:p>
        </w:tc>
        <w:tc>
          <w:tcPr>
            <w:tcW w:w="1200" w:type="dxa"/>
            <w:vAlign w:val="center"/>
          </w:tcPr>
          <w:p>
            <w:pPr>
              <w:pStyle w:val="tablecopy"/>
              <w:jc w:val="center"/>
            </w:pPr>
            <w:r>
              <w:t xml:space="preserve">0.045</w:t>
            </w:r>
          </w:p>
        </w:tc>
      </w:tr>
      <w:tr>
        <w:trPr>
          <w:cantSplit/>
        </w:trPr>
        <w:tc>
          <w:tcPr>
            <w:tcW w:w="520" w:type="dxa"/>
            <w:vAlign w:val="center"/>
          </w:tcPr>
          <w:p>
            <w:pPr>
              <w:pStyle w:val="tablecopy"/>
              <w:jc w:val="center"/>
            </w:pPr>
            <w:r>
              <w:t xml:space="preserve">T3</w:t>
            </w:r>
          </w:p>
        </w:tc>
        <w:tc>
          <w:tcPr>
            <w:tcW w:w="3160" w:type="dxa"/>
            <w:vAlign w:val="center"/>
          </w:tcPr>
          <w:p>
            <w:pPr>
              <w:pStyle w:val="tablecopy"/>
              <w:jc w:val="start"/>
            </w:pPr>
            <w:r>
              <w:t xml:space="preserve">Tensor shape verification (</w:t>
            </w:r>
            <w:r>
              <w:rPr>
                <w:i/>
                <w:iCs/>
              </w:rPr>
              <w:t xml:space="preserve">B</w:t>
            </w:r>
            <w:r>
              <w:t xml:space="preserve">=2, </w:t>
            </w:r>
            <w:r>
              <w:rPr>
                <w:i/>
                <w:iCs/>
              </w:rPr>
              <w:t xml:space="preserve">S</w:t>
            </w:r>
            <w:r>
              <w:t xml:space="preserve">=16, </w:t>
            </w:r>
            <w:r>
              <w:rPr>
                <w:i/>
                <w:iCs/>
              </w:rPr>
              <w:t xml:space="preserve">D</w:t>
            </w:r>
            <w:r>
              <w:t xml:space="preserve">=64)</w:t>
            </w:r>
          </w:p>
        </w:tc>
        <w:tc>
          <w:tcPr>
            <w:tcW w:w="1200" w:type="dxa"/>
            <w:vAlign w:val="center"/>
          </w:tcPr>
          <w:p>
            <w:pPr>
              <w:pStyle w:val="tablecopy"/>
              <w:jc w:val="center"/>
            </w:pPr>
            <w:r>
              <w:t xml:space="preserve">0.008</w:t>
            </w:r>
          </w:p>
        </w:tc>
      </w:tr>
      <w:tr>
        <w:trPr>
          <w:cantSplit/>
        </w:trPr>
        <w:tc>
          <w:tcPr>
            <w:tcW w:w="520" w:type="dxa"/>
            <w:vAlign w:val="center"/>
          </w:tcPr>
          <w:p>
            <w:pPr>
              <w:pStyle w:val="tablecopy"/>
              <w:jc w:val="center"/>
            </w:pPr>
            <w:r>
              <w:t xml:space="preserve">T4</w:t>
            </w:r>
          </w:p>
        </w:tc>
        <w:tc>
          <w:tcPr>
            <w:tcW w:w="3160" w:type="dxa"/>
            <w:vAlign w:val="center"/>
          </w:tcPr>
          <w:p>
            <w:pPr>
              <w:pStyle w:val="tablecopy"/>
              <w:jc w:val="start"/>
            </w:pPr>
            <w:r>
              <w:t xml:space="preserve">Numerical stability (NaN / Inf check)</w:t>
            </w:r>
          </w:p>
        </w:tc>
        <w:tc>
          <w:tcPr>
            <w:tcW w:w="1200" w:type="dxa"/>
            <w:vAlign w:val="center"/>
          </w:tcPr>
          <w:p>
            <w:pPr>
              <w:pStyle w:val="tablecopy"/>
              <w:jc w:val="center"/>
            </w:pPr>
            <w:r>
              <w:t xml:space="preserve">0.003</w:t>
            </w:r>
          </w:p>
        </w:tc>
      </w:tr>
      <w:tr>
        <w:trPr>
          <w:cantSplit/>
        </w:trPr>
        <w:tc>
          <w:tcPr>
            <w:tcW w:w="520" w:type="dxa"/>
            <w:vAlign w:val="center"/>
          </w:tcPr>
          <w:p>
            <w:pPr>
              <w:pStyle w:val="tablecopy"/>
              <w:jc w:val="center"/>
            </w:pPr>
            <w:r>
              <w:t xml:space="preserve">T5</w:t>
            </w:r>
          </w:p>
        </w:tc>
        <w:tc>
          <w:tcPr>
            <w:tcW w:w="3160" w:type="dxa"/>
            <w:vAlign w:val="center"/>
          </w:tcPr>
          <w:p>
            <w:pPr>
              <w:pStyle w:val="tablecopy"/>
              <w:jc w:val="start"/>
            </w:pPr>
            <w:r>
              <w:t xml:space="preserve">Dynamic batching invariance (</w:t>
            </w:r>
            <w:r>
              <w:rPr>
                <w:i/>
                <w:iCs/>
              </w:rPr>
              <w:t xml:space="preserve">B</w:t>
            </w:r>
            <w:r>
              <w:t xml:space="preserve">=1, 4, 8)</w:t>
            </w:r>
          </w:p>
        </w:tc>
        <w:tc>
          <w:tcPr>
            <w:tcW w:w="1200" w:type="dxa"/>
            <w:vAlign w:val="center"/>
          </w:tcPr>
          <w:p>
            <w:pPr>
              <w:pStyle w:val="tablecopy"/>
              <w:jc w:val="center"/>
            </w:pPr>
            <w:r>
              <w:t xml:space="preserve">0.021</w:t>
            </w:r>
          </w:p>
        </w:tc>
      </w:tr>
      <w:tr>
        <w:trPr>
          <w:cantSplit/>
        </w:trPr>
        <w:tc>
          <w:tcPr>
            <w:tcW w:w="520" w:type="dxa"/>
            <w:vAlign w:val="center"/>
          </w:tcPr>
          <w:p>
            <w:pPr>
              <w:pStyle w:val="tablecopy"/>
              <w:jc w:val="center"/>
            </w:pPr>
            <w:r>
              <w:t xml:space="preserve">T6</w:t>
            </w:r>
          </w:p>
        </w:tc>
        <w:tc>
          <w:tcPr>
            <w:tcW w:w="3160" w:type="dxa"/>
            <w:vAlign w:val="center"/>
          </w:tcPr>
          <w:p>
            <w:pPr>
              <w:pStyle w:val="tablecopy"/>
              <w:jc w:val="start"/>
            </w:pPr>
            <w:r>
              <w:t xml:space="preserve">Gradient backpropagation flow</w:t>
            </w:r>
          </w:p>
        </w:tc>
        <w:tc>
          <w:tcPr>
            <w:tcW w:w="1200" w:type="dxa"/>
            <w:vAlign w:val="center"/>
          </w:tcPr>
          <w:p>
            <w:pPr>
              <w:pStyle w:val="tablecopy"/>
              <w:jc w:val="center"/>
            </w:pPr>
            <w:r>
              <w:t xml:space="preserve">0.038</w:t>
            </w:r>
          </w:p>
        </w:tc>
      </w:tr>
      <w:tr>
        <w:trPr>
          <w:cantSplit/>
        </w:trPr>
        <w:tc>
          <w:tcPr>
            <w:tcW w:w="520" w:type="dxa"/>
            <w:vAlign w:val="center"/>
          </w:tcPr>
          <w:p>
            <w:pPr>
              <w:pStyle w:val="tablecopy"/>
              <w:jc w:val="center"/>
            </w:pPr>
            <w:r>
              <w:t xml:space="preserve">T7</w:t>
            </w:r>
          </w:p>
        </w:tc>
        <w:tc>
          <w:tcPr>
            <w:tcW w:w="3160" w:type="dxa"/>
            <w:vAlign w:val="center"/>
          </w:tcPr>
          <w:p>
            <w:pPr>
              <w:pStyle w:val="tablecopy"/>
              <w:jc w:val="start"/>
            </w:pPr>
            <w:r>
              <w:t xml:space="preserve">MSE loss scalar reduction</w:t>
            </w:r>
          </w:p>
        </w:tc>
        <w:tc>
          <w:tcPr>
            <w:tcW w:w="1200" w:type="dxa"/>
            <w:vAlign w:val="center"/>
          </w:tcPr>
          <w:p>
            <w:pPr>
              <w:pStyle w:val="tablecopy"/>
              <w:jc w:val="center"/>
            </w:pPr>
            <w:r>
              <w:t xml:space="preserve">0.005</w:t>
            </w:r>
          </w:p>
        </w:tc>
      </w:tr>
      <w:tr>
        <w:trPr>
          <w:cantSplit/>
        </w:trPr>
        <w:tc>
          <w:tcPr>
            <w:tcW w:w="520" w:type="dxa"/>
            <w:vAlign w:val="center"/>
          </w:tcPr>
          <w:p>
            <w:pPr>
              <w:pStyle w:val="tablecopy"/>
              <w:jc w:val="center"/>
            </w:pPr>
            <w:r>
              <w:t xml:space="preserve">T8</w:t>
            </w:r>
          </w:p>
        </w:tc>
        <w:tc>
          <w:tcPr>
            <w:tcW w:w="3160" w:type="dxa"/>
            <w:vAlign w:val="center"/>
          </w:tcPr>
          <w:p>
            <w:pPr>
              <w:pStyle w:val="tablecopy"/>
              <w:jc w:val="start"/>
            </w:pPr>
            <w:r>
              <w:t xml:space="preserve">Parameter initialization variance check</w:t>
            </w:r>
          </w:p>
        </w:tc>
        <w:tc>
          <w:tcPr>
            <w:tcW w:w="1200" w:type="dxa"/>
            <w:vAlign w:val="center"/>
          </w:tcPr>
          <w:p>
            <w:pPr>
              <w:pStyle w:val="tablecopy"/>
              <w:jc w:val="center"/>
            </w:pPr>
            <w:r>
              <w:t xml:space="preserve">0.009</w:t>
            </w:r>
          </w:p>
        </w:tc>
      </w:tr>
      <w:tr>
        <w:trPr>
          <w:cantSplit/>
        </w:trPr>
        <w:tc>
          <w:tcPr>
            <w:tcW w:w="520" w:type="dxa"/>
            <w:vAlign w:val="center"/>
          </w:tcPr>
          <w:p>
            <w:pPr>
              <w:pStyle w:val="tablecopy"/>
              <w:jc w:val="center"/>
            </w:pPr>
            <w:r>
              <w:t xml:space="preserve">T9</w:t>
            </w:r>
          </w:p>
        </w:tc>
        <w:tc>
          <w:tcPr>
            <w:tcW w:w="3160" w:type="dxa"/>
            <w:vAlign w:val="center"/>
          </w:tcPr>
          <w:p>
            <w:pPr>
              <w:pStyle w:val="tablecopy"/>
              <w:jc w:val="start"/>
            </w:pPr>
            <w:r>
              <w:t xml:space="preserve">Parameter count audit (124,544 parameters)</w:t>
            </w:r>
          </w:p>
        </w:tc>
        <w:tc>
          <w:tcPr>
            <w:tcW w:w="1200" w:type="dxa"/>
            <w:vAlign w:val="center"/>
          </w:tcPr>
          <w:p>
            <w:pPr>
              <w:pStyle w:val="tablecopy"/>
              <w:jc w:val="center"/>
            </w:pPr>
            <w:r>
              <w:t xml:space="preserve">0.002</w:t>
            </w:r>
          </w:p>
        </w:tc>
      </w:tr>
      <w:tr>
        <w:trPr>
          <w:cantSplit/>
        </w:trPr>
        <w:tc>
          <w:tcPr>
            <w:tcW w:w="520" w:type="dxa"/>
            <w:vAlign w:val="center"/>
          </w:tcPr>
          <w:p>
            <w:pPr>
              <w:pStyle w:val="tablecopy"/>
              <w:jc w:val="center"/>
            </w:pPr>
            <w:r>
              <w:t xml:space="preserve">T10</w:t>
            </w:r>
          </w:p>
        </w:tc>
        <w:tc>
          <w:tcPr>
            <w:tcW w:w="3160" w:type="dxa"/>
            <w:vAlign w:val="center"/>
          </w:tcPr>
          <w:p>
            <w:pPr>
              <w:pStyle w:val="tablecopy"/>
              <w:jc w:val="start"/>
            </w:pPr>
            <w:r>
              <w:t xml:space="preserve">Import module safety and isolation</w:t>
            </w:r>
          </w:p>
        </w:tc>
        <w:tc>
          <w:tcPr>
            <w:tcW w:w="1200" w:type="dxa"/>
            <w:vAlign w:val="center"/>
          </w:tcPr>
          <w:p>
            <w:pPr>
              <w:pStyle w:val="tablecopy"/>
              <w:jc w:val="center"/>
            </w:pPr>
            <w:r>
              <w:t xml:space="preserve">0.001</w:t>
            </w:r>
          </w:p>
        </w:tc>
      </w:tr>
    </w:tbl>
    <w:p>
      <w:pPr>
        <w:spacing w:before="0" w:after="4pt" w:line="6pt" w:lineRule="exact"/>
      </w:pPr>
    </w:p>
    <w:p>
      <w:pPr>
        <w:pStyle w:val="Heading1"/>
      </w:pPr>
      <w:r>
        <w:t xml:space="preserve">Conclusion and Future Work</w:t>
      </w:r>
    </w:p>
    <w:p>
      <w:pPr>
        <w:pStyle w:val="BodyText"/>
      </w:pPr>
      <w:r>
        <w:t xml:space="preserve">This paper introduced SENTRA-AI, an autonomous multi-agent system that bridges the gap between academic research papers and verified machine learning code. By combining session-isolated RAG, an active evidence guardrail with a bounded revision loop, multi-file architectural synthesis, and a 10-tier dynamic verification suite, SENTRA-AI enforces strict evidence grounding and verifies the syntactic and structural correctness of the generated code. Future work includes:</w:t>
      </w:r>
    </w:p>
    <w:p>
      <w:pPr>
        <w:pStyle w:val="bulletlist"/>
      </w:pPr>
      <w:r>
        <w:rPr>
          <w:b/>
          <w:bCs/>
        </w:rPr>
        <w:t xml:space="preserve">Iterative self-healing execution loops:</w:t>
      </w:r>
      <w:r>
        <w:t xml:space="preserve"> extending the Testing Agent to capture runtime stack traces during training and feed them back to the Code Agent for automated refactoring.</w:t>
      </w:r>
    </w:p>
    <w:p>
      <w:pPr>
        <w:pStyle w:val="bulletlist"/>
      </w:pPr>
      <w:r>
        <w:rPr>
          <w:b/>
          <w:bCs/>
        </w:rPr>
        <w:t xml:space="preserve">Distributed cloud storage:</w:t>
      </w:r>
      <w:r>
        <w:t xml:space="preserve"> moving vector session storage from local filesystems to object stores and vector databases (AWS S3, Milvus, Pinecone) for multi-tenant scalability.</w:t>
      </w:r>
    </w:p>
    <w:p>
      <w:pPr>
        <w:pStyle w:val="bulletlist"/>
      </w:pPr>
      <w:r>
        <w:rPr>
          <w:b/>
          <w:bCs/>
        </w:rPr>
        <w:t xml:space="preserve">Automatic dataset and weight ingestion:</w:t>
      </w:r>
      <w:r>
        <w:t xml:space="preserve"> extending retrieval to extract dataset pointers and pretrained checkpoint references from research appendices.</w:t>
      </w:r>
    </w:p>
    <w:p>
      <w:pPr>
        <w:pStyle w:val="Heading5"/>
        <w:jc w:val="center"/>
      </w:pPr>
      <w:r>
        <w:t xml:space="preserve">References</w:t>
      </w:r>
    </w:p>
    <w:p>
      <w:pPr>
        <w:pStyle w:val="references"/>
        <w:ind w:start="17.70pt" w:hanging="17.70pt"/>
      </w:pPr>
      <w:r>
        <w:t xml:space="preserve">A. Vaswani </w:t>
      </w:r>
      <w:r>
        <w:rPr>
          <w:i/>
          <w:iCs/>
        </w:rPr>
        <w:t xml:space="preserve">et al.</w:t>
      </w:r>
      <w:r>
        <w:t xml:space="preserve">, “Attention is all you need,” in </w:t>
      </w:r>
      <w:r>
        <w:rPr>
          <w:i/>
          <w:iCs/>
        </w:rPr>
        <w:t xml:space="preserve">Advances in Neural Information Processing Systems (NeurIPS)</w:t>
      </w:r>
      <w:r>
        <w:t xml:space="preserve">, vol. 30, 2017.</w:t>
      </w:r>
    </w:p>
    <w:p>
      <w:pPr>
        <w:pStyle w:val="references"/>
        <w:ind w:start="17.70pt" w:hanging="17.70pt"/>
      </w:pPr>
      <w:r>
        <w:t xml:space="preserve">K. He, X. Zhang, S. Ren, and J. Sun, “Deep residual learning for image recognition,” in </w:t>
      </w:r>
      <w:r>
        <w:rPr>
          <w:i/>
          <w:iCs/>
        </w:rPr>
        <w:t xml:space="preserve">Proc. IEEE Conf. Computer Vision and Pattern Recognition (CVPR)</w:t>
      </w:r>
      <w:r>
        <w:t xml:space="preserve">, 2016, pp. 770–778.</w:t>
      </w:r>
    </w:p>
    <w:p>
      <w:pPr>
        <w:pStyle w:val="references"/>
        <w:ind w:start="17.70pt" w:hanging="17.70pt"/>
      </w:pPr>
      <w:r>
        <w:t xml:space="preserve">T. N. Kipf and M. Welling, “Semi-supervised classification with graph convolutional networks,” in </w:t>
      </w:r>
      <w:r>
        <w:rPr>
          <w:i/>
          <w:iCs/>
        </w:rPr>
        <w:t xml:space="preserve">Proc. Int. Conf. Learning Representations (ICLR)</w:t>
      </w:r>
      <w:r>
        <w:t xml:space="preserve">, 2017.</w:t>
      </w:r>
    </w:p>
    <w:p>
      <w:pPr>
        <w:pStyle w:val="references"/>
        <w:ind w:start="17.70pt" w:hanging="17.70pt"/>
      </w:pPr>
      <w:r>
        <w:t xml:space="preserve">M. Chen </w:t>
      </w:r>
      <w:r>
        <w:rPr>
          <w:i/>
          <w:iCs/>
        </w:rPr>
        <w:t xml:space="preserve">et al.</w:t>
      </w:r>
      <w:r>
        <w:t xml:space="preserve">, “Evaluating large language models trained on code,” 2021, arXiv:2107.03374.</w:t>
      </w:r>
    </w:p>
    <w:p>
      <w:pPr>
        <w:pStyle w:val="references"/>
        <w:ind w:start="17.70pt" w:hanging="17.70pt"/>
      </w:pPr>
      <w:r>
        <w:t xml:space="preserve">Y. Li </w:t>
      </w:r>
      <w:r>
        <w:rPr>
          <w:i/>
          <w:iCs/>
        </w:rPr>
        <w:t xml:space="preserve">et al.</w:t>
      </w:r>
      <w:r>
        <w:t xml:space="preserve">, “Competition-level code generation with AlphaCode,” </w:t>
      </w:r>
      <w:r>
        <w:rPr>
          <w:i/>
          <w:iCs/>
        </w:rPr>
        <w:t xml:space="preserve">Science</w:t>
      </w:r>
      <w:r>
        <w:t xml:space="preserve">, vol. 378, no. 6624, pp. 1092–1097, 2022.</w:t>
      </w:r>
    </w:p>
    <w:p>
      <w:pPr>
        <w:pStyle w:val="references"/>
        <w:ind w:start="17.70pt" w:hanging="17.70pt"/>
      </w:pPr>
      <w:r>
        <w:t xml:space="preserve">R. Li </w:t>
      </w:r>
      <w:r>
        <w:rPr>
          <w:i/>
          <w:iCs/>
        </w:rPr>
        <w:t xml:space="preserve">et al.</w:t>
      </w:r>
      <w:r>
        <w:t xml:space="preserve">, “StarCoder: May the source be with you!,” 2023, arXiv:2305.06161.</w:t>
      </w:r>
    </w:p>
    <w:p>
      <w:pPr>
        <w:pStyle w:val="references"/>
        <w:ind w:start="17.70pt" w:hanging="17.70pt"/>
      </w:pPr>
      <w:r>
        <w:t xml:space="preserve">P. Lewis </w:t>
      </w:r>
      <w:r>
        <w:rPr>
          <w:i/>
          <w:iCs/>
        </w:rPr>
        <w:t xml:space="preserve">et al.</w:t>
      </w:r>
      <w:r>
        <w:t xml:space="preserve">, “Retrieval-augmented generation for knowledge-intensive NLP tasks,” in </w:t>
      </w:r>
      <w:r>
        <w:rPr>
          <w:i/>
          <w:iCs/>
        </w:rPr>
        <w:t xml:space="preserve">Advances in Neural Information Processing Systems (NeurIPS)</w:t>
      </w:r>
      <w:r>
        <w:t xml:space="preserve">, vol. 33, 2020, pp. 9459–9474.</w:t>
      </w:r>
    </w:p>
    <w:p>
      <w:pPr>
        <w:pStyle w:val="references"/>
        <w:ind w:start="17.70pt" w:hanging="17.70pt"/>
      </w:pPr>
      <w:r>
        <w:t xml:space="preserve">K. Guu, K. Lee, Z. Tung, P. Pasupat, and M.-W. Chang, “REALM: Retrieval-augmented language model pre-training,” in </w:t>
      </w:r>
      <w:r>
        <w:rPr>
          <w:i/>
          <w:iCs/>
        </w:rPr>
        <w:t xml:space="preserve">Proc. Int. Conf. Machine Learning (ICML)</w:t>
      </w:r>
      <w:r>
        <w:t xml:space="preserve">, 2020, pp. 3929–3938.</w:t>
      </w:r>
    </w:p>
    <w:p>
      <w:pPr>
        <w:pStyle w:val="references"/>
        <w:ind w:start="17.70pt" w:hanging="17.70pt"/>
      </w:pPr>
      <w:r>
        <w:t xml:space="preserve">S. Hong </w:t>
      </w:r>
      <w:r>
        <w:rPr>
          <w:i/>
          <w:iCs/>
        </w:rPr>
        <w:t xml:space="preserve">et al.</w:t>
      </w:r>
      <w:r>
        <w:t xml:space="preserve">, “MetaGPT: Meta programming for a multi-agent collaborative framework,” 2023, arXiv:2308.00352.</w:t>
      </w:r>
    </w:p>
    <w:p>
      <w:pPr>
        <w:pStyle w:val="references"/>
        <w:ind w:start="17.70pt" w:hanging="17.70pt"/>
      </w:pPr>
      <w:r>
        <w:t xml:space="preserve">C. Qian </w:t>
      </w:r>
      <w:r>
        <w:rPr>
          <w:i/>
          <w:iCs/>
        </w:rPr>
        <w:t xml:space="preserve">et al.</w:t>
      </w:r>
      <w:r>
        <w:t xml:space="preserve">, “Communicative agents for software development,” 2023, arXiv:2307.07924.</w:t>
      </w:r>
    </w:p>
    <w:sectPr>
      <w:type w:val="continuous"/>
      <w:pgSz w:w="595.30pt" w:h="841.90pt" w:code="9"/>
      <w:pgMar w:top="54pt" w:right="44.65pt" w:bottom="72pt" w:left="44.6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CA9F9A1" w14:textId="77777777" w:rsidR="00D77D48" w:rsidRDefault="00D77D48" w:rsidP="001A3B3D">
      <w:r>
        <w:separator/>
      </w:r>
    </w:p>
  </w:endnote>
  <w:endnote w:type="continuationSeparator" w:id="0">
    <w:p w14:paraId="49A2FE8D" w14:textId="77777777" w:rsidR="00D77D48" w:rsidRDefault="00D77D4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Vrinda">
    <w:panose1 w:val="00000400000000000000"/>
    <w:charset w:characterSet="iso-8859-1"/>
    <w:family w:val="swiss"/>
    <w:pitch w:val="variable"/>
    <w:sig w:usb0="00010003" w:usb1="00000000" w:usb2="00000000" w:usb3="00000000" w:csb0="00000001"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68A0C1F" w14:textId="77777777" w:rsidR="00960EEE" w:rsidRDefault="00960EEE">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C17B402" w14:textId="77777777" w:rsidR="00960EEE" w:rsidRDefault="00960EEE">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0641482D" w:rsidR="001A3B3D" w:rsidRPr="00915E3D" w:rsidRDefault="001A3B3D" w:rsidP="00915E3D">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94E7259" w14:textId="77777777" w:rsidR="00D77D48" w:rsidRDefault="00D77D48" w:rsidP="001A3B3D">
      <w:r>
        <w:separator/>
      </w:r>
    </w:p>
  </w:footnote>
  <w:footnote w:type="continuationSeparator" w:id="0">
    <w:p w14:paraId="27E69BCE" w14:textId="77777777" w:rsidR="00D77D48" w:rsidRDefault="00D77D48"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A32662A" w14:textId="77777777" w:rsidR="00960EEE" w:rsidRDefault="00960EEE">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BA7BDA0" w14:textId="77777777" w:rsidR="00960EEE" w:rsidRDefault="00960EEE">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5FEA8FB" w14:textId="77777777" w:rsidR="00BB78BE" w:rsidRDefault="00BB78BE">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109C8"/>
    <w:rsid w:val="00213691"/>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028AF"/>
    <w:rsid w:val="00551B7F"/>
    <w:rsid w:val="0056610F"/>
    <w:rsid w:val="00575BCA"/>
    <w:rsid w:val="005B0344"/>
    <w:rsid w:val="005B520E"/>
    <w:rsid w:val="005E2800"/>
    <w:rsid w:val="00605825"/>
    <w:rsid w:val="00645D22"/>
    <w:rsid w:val="00651A08"/>
    <w:rsid w:val="00654204"/>
    <w:rsid w:val="00670434"/>
    <w:rsid w:val="006A5D82"/>
    <w:rsid w:val="006B6B66"/>
    <w:rsid w:val="006E5904"/>
    <w:rsid w:val="006F6D3D"/>
    <w:rsid w:val="0071514A"/>
    <w:rsid w:val="00715BEA"/>
    <w:rsid w:val="00740EEA"/>
    <w:rsid w:val="00794804"/>
    <w:rsid w:val="007B33F1"/>
    <w:rsid w:val="007B6DDA"/>
    <w:rsid w:val="007C0308"/>
    <w:rsid w:val="007C2FF2"/>
    <w:rsid w:val="007D6232"/>
    <w:rsid w:val="007F1F99"/>
    <w:rsid w:val="007F768F"/>
    <w:rsid w:val="00804108"/>
    <w:rsid w:val="0080791D"/>
    <w:rsid w:val="008147B5"/>
    <w:rsid w:val="00836367"/>
    <w:rsid w:val="00873603"/>
    <w:rsid w:val="008A2C7D"/>
    <w:rsid w:val="008B6524"/>
    <w:rsid w:val="008C4B23"/>
    <w:rsid w:val="008F6E2C"/>
    <w:rsid w:val="00915E3D"/>
    <w:rsid w:val="009303D9"/>
    <w:rsid w:val="00933C64"/>
    <w:rsid w:val="00960EEE"/>
    <w:rsid w:val="00972203"/>
    <w:rsid w:val="00981BC1"/>
    <w:rsid w:val="009F1D79"/>
    <w:rsid w:val="00A059B3"/>
    <w:rsid w:val="00AE3409"/>
    <w:rsid w:val="00B11A60"/>
    <w:rsid w:val="00B22613"/>
    <w:rsid w:val="00B44A76"/>
    <w:rsid w:val="00B768D1"/>
    <w:rsid w:val="00BA1025"/>
    <w:rsid w:val="00BB78BE"/>
    <w:rsid w:val="00BC3420"/>
    <w:rsid w:val="00BD670B"/>
    <w:rsid w:val="00BE7D3C"/>
    <w:rsid w:val="00BF5FF6"/>
    <w:rsid w:val="00C0207F"/>
    <w:rsid w:val="00C16117"/>
    <w:rsid w:val="00C3075A"/>
    <w:rsid w:val="00C919A4"/>
    <w:rsid w:val="00CA4392"/>
    <w:rsid w:val="00CC393F"/>
    <w:rsid w:val="00D2176E"/>
    <w:rsid w:val="00D37AC8"/>
    <w:rsid w:val="00D632BE"/>
    <w:rsid w:val="00D72D06"/>
    <w:rsid w:val="00D7522C"/>
    <w:rsid w:val="00D7536F"/>
    <w:rsid w:val="00D76668"/>
    <w:rsid w:val="00D77D4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footer" Target="footer3.xml"/><Relationship Id="rId3" Type="http://purl.oclc.org/ooxml/officeDocument/relationships/styles" Target="styles.xml"/><Relationship Id="rId7" Type="http://purl.oclc.org/ooxml/officeDocument/relationships/endnotes" Target="endnotes.xml"/><Relationship Id="rId12" Type="http://purl.oclc.org/ooxml/officeDocument/relationships/header" Target="header3.xml"/><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5" Type="http://purl.oclc.org/ooxml/officeDocument/relationships/webSettings" Target="webSettings.xml"/><Relationship Id="rId15" Type="http://purl.oclc.org/ooxml/officeDocument/relationships/hyperlink" Target="https://arxiv.org/abs/1312.6114" TargetMode="External"/><Relationship Id="rId10" Type="http://purl.oclc.org/ooxml/officeDocument/relationships/footer" Target="footer1.xml"/><Relationship Id="rId4" Type="http://purl.oclc.org/ooxml/officeDocument/relationships/settings" Target="settings.xml"/><Relationship Id="rId9" Type="http://purl.oclc.org/ooxml/officeDocument/relationships/header" Target="header2.xml"/><Relationship Id="rId14" Type="http://purl.oclc.org/ooxml/officeDocument/relationships/hyperlink" Target="https://codeocean.com/capsule/4989235/tree" TargetMode="External"/><Relationship Id="rId20" Type="http://purl.oclc.org/ooxml/officeDocument/relationships/image" Target="media/fig1_pipeline.png"/><Relationship Id="rId21" Type="http://purl.oclc.org/ooxml/officeDocument/relationships/image" Target="media/fig2_guardrail.png"/><Relationship Id="rId22" Type="http://purl.oclc.org/ooxml/officeDocument/relationships/image" Target="media/fig3_hallucination.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12</TotalTime>
  <Pages>3</Pages>
  <Words>2464</Words>
  <Characters>12789</Characters>
  <Application>Microsoft Office Word</Application>
  <DocSecurity>0</DocSecurity>
  <Lines>345</Lines>
  <Paragraphs>105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SENTRA-AI: An Autonomous Multi-Agent Framework with Active Evidence Guardrails for Reproducible Machine Learning Code Generation</dc:title>
  <dc:subject/>
  <dc:creator>Karthi</dc:creator>
  <cp:keywords/>
  <cp:lastModifiedBy>A. H. M. ZAHIRUL ALAM</cp:lastModifiedBy>
  <cp:revision>11</cp:revision>
  <dcterms:created xsi:type="dcterms:W3CDTF">2024-07-16T13:42:00Z</dcterms:created>
  <dcterms:modified xsi:type="dcterms:W3CDTF">2025-09-25T05:44:00Z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cc079d65-715f-4065-93be-b803076a4b72</vt:lpwstr>
  </property>
</Properties>
</file>