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Pr="00816C01" w:rsidRDefault="00665ADC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Exercises</w:t>
      </w:r>
      <w:proofErr w:type="spellEnd"/>
      <w:r>
        <w:rPr>
          <w:lang w:val="de-CH"/>
        </w:rPr>
        <w:t xml:space="preserve">/Solutions/Templates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AD7CE7">
          <w:rPr>
            <w:rStyle w:val="Hyperlink"/>
            <w:lang w:val="de-CH"/>
          </w:rPr>
          <w:t>https://github.com/karthibg/spring-hbt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 xml:space="preserve">https://dmi-academy.ch/home 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 xml:space="preserve">https://dmi-academy.ch/home 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then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1</w:t>
        </w:r>
      </w:fldSimple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2</w:t>
        </w:r>
      </w:fldSimple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3</w:t>
        </w:r>
      </w:fldSimple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0" w:name="_Asmiq_Academy_App"/>
      <w:bookmarkEnd w:id="0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4</w:t>
        </w:r>
      </w:fldSimple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except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CertificationService</w:t>
      </w:r>
      <w:proofErr w:type="spellEnd"/>
      <w:r w:rsidR="009D43E7">
        <w:rPr>
          <w:lang w:val="de-CH"/>
        </w:rPr>
        <w:t xml:space="preserve"> (non-</w:t>
      </w:r>
      <w:proofErr w:type="spellStart"/>
      <w:r w:rsidR="009D43E7">
        <w:rPr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SixPaymentService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="00AE1F6F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1F6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AE1F6F">
                              <w:rPr>
                                <w:lang w:val="de-CH"/>
                              </w:rPr>
                              <w:t>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Override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doPay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order.getCourse</w:t>
                            </w:r>
                            <w:proofErr w:type="spellEnd"/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>().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getPrice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coursePrice.multiply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totalPrice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coursePrice.subtract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 xml:space="preserve">//log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the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details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with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discounts</w:t>
                            </w:r>
                            <w:proofErr w:type="spellEnd"/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AE1F6F">
                        <w:rPr>
                          <w:lang w:val="de-CH"/>
                        </w:rPr>
                        <w:t>new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AE1F6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>(</w:t>
                      </w:r>
                      <w:proofErr w:type="gramEnd"/>
                      <w:r w:rsidR="00AE1F6F">
                        <w:rPr>
                          <w:lang w:val="de-CH"/>
                        </w:rPr>
                        <w:t>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2C280D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however</w:t>
      </w:r>
      <w:proofErr w:type="spellEnd"/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136525</wp:posOffset>
                </wp:positionV>
                <wp:extent cx="5577840" cy="2125980"/>
                <wp:effectExtent l="0" t="0" r="1016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AsmiqCertificationService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>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Pr="00505576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5576" w:rsidRPr="00505576">
                              <w:rPr>
                                <w:lang w:val="de-CH"/>
                              </w:rPr>
                              <w:t>downloadCertificate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505576" w:rsidRPr="00505576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>karthiCertificationValidator.isValid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gramStart"/>
                            <w:r w:rsidR="00812D60" w:rsidRPr="00812D60">
                              <w:rPr>
                                <w:lang w:val="de-CH"/>
                              </w:rPr>
                              <w:t>LOG.info(</w:t>
                            </w:r>
                            <w:proofErr w:type="gramEnd"/>
                            <w:r w:rsidR="00812D60" w:rsidRPr="00812D60">
                              <w:rPr>
                                <w:lang w:val="de-CH"/>
                              </w:rPr>
                              <w:t>"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Downloaded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>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else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throw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RuntimeException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 xml:space="preserve">"Invalid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");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14.95pt;margin-top:10.75pt;width:439.2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Pr="00505576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RuntimeException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17390E" w:rsidRDefault="0017390E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cert.validator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pom.xml. This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bintray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so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 </w:t>
      </w:r>
    </w:p>
    <w:p w:rsidR="0017390E" w:rsidRPr="00B77B8C" w:rsidRDefault="0017390E" w:rsidP="0017390E">
      <w:pPr>
        <w:pStyle w:val="KeinLeerraum"/>
        <w:ind w:firstLine="708"/>
        <w:rPr>
          <w:lang w:val="de-CH"/>
        </w:rPr>
      </w:pPr>
      <w:r w:rsidRPr="00B77B8C">
        <w:rPr>
          <w:lang w:val="de-CH"/>
        </w:rPr>
        <w:t>&lt;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&gt;bintray-bgkarthik27-Karthi&lt;/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  <w:proofErr w:type="spellStart"/>
      <w:r w:rsidRPr="00B77B8C">
        <w:rPr>
          <w:lang w:val="de-CH"/>
        </w:rPr>
        <w:t>bintray</w:t>
      </w:r>
      <w:proofErr w:type="spellEnd"/>
      <w:r w:rsidRPr="00B77B8C">
        <w:rPr>
          <w:lang w:val="de-CH"/>
        </w:rPr>
        <w:t>&lt;/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url</w:t>
      </w:r>
      <w:proofErr w:type="spellEnd"/>
      <w:r w:rsidRPr="00B77B8C">
        <w:rPr>
          <w:lang w:val="de-CH"/>
        </w:rPr>
        <w:t>&gt;https://dl.bintray.com/bgkarthik27/Karthi&lt;/url&gt;</w:t>
      </w:r>
    </w:p>
    <w:p w:rsidR="0017390E" w:rsidRPr="00B77B8C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17390E" w:rsidRDefault="0017390E" w:rsidP="0017390E">
      <w:pPr>
        <w:pStyle w:val="KeinLeerraum"/>
        <w:rPr>
          <w:lang w:val="de-CH"/>
        </w:rPr>
      </w:pP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  <w:r>
        <w:rPr>
          <w:lang w:val="de-CH"/>
        </w:rPr>
        <w:t xml:space="preserve"> 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left="708"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ch.karthi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cert.validator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</w:p>
    <w:p w:rsidR="0017390E" w:rsidRPr="00933C69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&gt;1.0.0&lt;/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</w:t>
      </w:r>
    </w:p>
    <w:p w:rsidR="0017390E" w:rsidRDefault="0017390E" w:rsidP="0017390E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  <w:r>
        <w:rPr>
          <w:lang w:val="de-CH"/>
        </w:rPr>
        <w:t>]</w:t>
      </w:r>
    </w:p>
    <w:p w:rsidR="00B1717E" w:rsidRPr="009E12C0" w:rsidRDefault="00B1717E" w:rsidP="0017390E">
      <w:pPr>
        <w:pStyle w:val="KeinLeerraum"/>
        <w:rPr>
          <w:lang w:val="de-CH"/>
        </w:rPr>
      </w:pPr>
    </w:p>
    <w:p w:rsidR="00195071" w:rsidRDefault="009D6368" w:rsidP="009E0DCC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downloadCertificate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Order </w:t>
      </w:r>
      <w:proofErr w:type="spellStart"/>
      <w:r>
        <w:rPr>
          <w:lang w:val="de-CH"/>
        </w:rPr>
        <w:t>order</w:t>
      </w:r>
      <w:proofErr w:type="spellEnd"/>
      <w:r>
        <w:rPr>
          <w:lang w:val="de-CH"/>
        </w:rPr>
        <w:t xml:space="preserve">) in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rPr>
          <w:lang w:val="de-CH"/>
        </w:rPr>
      </w:pP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public</w:t>
      </w:r>
      <w:proofErr w:type="spellEnd"/>
      <w:r w:rsidRPr="009D6368">
        <w:rPr>
          <w:lang w:val="de-CH"/>
        </w:rPr>
        <w:t xml:space="preserve"> </w:t>
      </w:r>
      <w:proofErr w:type="spellStart"/>
      <w:r w:rsidRPr="009D6368">
        <w:rPr>
          <w:lang w:val="de-CH"/>
        </w:rPr>
        <w:t>void</w:t>
      </w:r>
      <w:proofErr w:type="spellEnd"/>
      <w:r w:rsidRPr="009D6368">
        <w:rPr>
          <w:lang w:val="de-CH"/>
        </w:rPr>
        <w:t xml:space="preserve"> </w:t>
      </w:r>
      <w:proofErr w:type="spellStart"/>
      <w:proofErr w:type="gramStart"/>
      <w:r w:rsidRPr="009D6368">
        <w:rPr>
          <w:lang w:val="de-CH"/>
        </w:rPr>
        <w:t>downloadCertificate</w:t>
      </w:r>
      <w:proofErr w:type="spellEnd"/>
      <w:r w:rsidRPr="009D6368">
        <w:rPr>
          <w:lang w:val="de-CH"/>
        </w:rPr>
        <w:t>(</w:t>
      </w:r>
      <w:proofErr w:type="gramEnd"/>
      <w:r w:rsidRPr="009D6368">
        <w:rPr>
          <w:lang w:val="de-CH"/>
        </w:rPr>
        <w:t xml:space="preserve">Order 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 {</w:t>
      </w: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certificationService.downloadCertificate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  <w:t>}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>
        <w:rPr>
          <w:lang w:val="de-CH"/>
        </w:rPr>
        <w:t xml:space="preserve"> </w:t>
      </w:r>
      <w:r>
        <w:rPr>
          <w:lang w:val="de-CH"/>
        </w:rPr>
        <w:tab/>
      </w:r>
    </w:p>
    <w:p w:rsidR="009D6368" w:rsidRDefault="009D6368" w:rsidP="009D6368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downloadCertificate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ind w:left="720"/>
        <w:jc w:val="left"/>
        <w:rPr>
          <w:lang w:val="de-CH"/>
        </w:rPr>
      </w:pPr>
    </w:p>
    <w:p w:rsidR="009D6368" w:rsidRPr="009D6368" w:rsidRDefault="009D6368" w:rsidP="009D6368">
      <w:pPr>
        <w:pStyle w:val="KeinLeerraum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asmiqAcademyService.placeOrder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asmiqAcademyService.downloadCertificate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Pr="00693983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2B44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bookmarkStart w:id="1" w:name="_GoBack"/>
      <w:bookmarkEnd w:id="1"/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4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44077C" w:rsidRPr="00AA3198" w:rsidRDefault="008B1FC8" w:rsidP="008B1FC8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22" name="Grafik 2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79" w:rsidRPr="00A40226" w:rsidRDefault="0078624F" w:rsidP="00010A79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</w:t>
      </w:r>
      <w:r w:rsidR="00A40226" w:rsidRPr="00A40226">
        <w:rPr>
          <w:b/>
          <w:highlight w:val="yellow"/>
          <w:lang w:val="de-CH"/>
        </w:rPr>
        <w:t>Grey</w:t>
      </w:r>
    </w:p>
    <w:p w:rsidR="00A40226" w:rsidRDefault="00A40226" w:rsidP="00010A79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A40226" w:rsidRPr="00A40226" w:rsidRDefault="00A40226" w:rsidP="00010A79">
      <w:pPr>
        <w:rPr>
          <w:b/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7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lastRenderedPageBreak/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DE1518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ECE5899" wp14:editId="6D29B048">
            <wp:extent cx="5756910" cy="2767965"/>
            <wp:effectExtent l="0" t="0" r="0" b="0"/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7A0E95" w:rsidRPr="00A40226" w:rsidRDefault="007A0E95" w:rsidP="007A0E95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Grey</w:t>
      </w:r>
    </w:p>
    <w:p w:rsidR="007A0E95" w:rsidRDefault="007A0E95" w:rsidP="007A0E95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717C26" w:rsidP="00F812A7">
      <w:pPr>
        <w:pStyle w:val="KeinLeerraum"/>
        <w:ind w:left="709" w:firstLine="142"/>
      </w:pPr>
      <w:r>
        <w:rPr>
          <w:noProof/>
        </w:rPr>
        <w:lastRenderedPageBreak/>
        <w:drawing>
          <wp:inline distT="0" distB="0" distL="0" distR="0">
            <wp:extent cx="5756910" cy="1978660"/>
            <wp:effectExtent l="0" t="0" r="0" b="0"/>
            <wp:docPr id="24" name="Grafik 2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miqacademyrestservice-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0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meta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 http-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equiv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refresh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content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gram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0;URL</w:t>
                            </w:r>
                            <w:proofErr w:type="gram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='/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greeting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2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lastRenderedPageBreak/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D114CC" w:rsidRDefault="008A72C8" w:rsidP="008A72C8">
      <w:pPr>
        <w:pStyle w:val="KeinLeerraum"/>
        <w:rPr>
          <w:lang w:val="de-CH"/>
        </w:rPr>
      </w:pPr>
      <w:r>
        <w:rPr>
          <w:lang w:val="de-CH"/>
        </w:rPr>
        <w:t>Controller Test</w:t>
      </w:r>
    </w:p>
    <w:p w:rsidR="008A72C8" w:rsidRDefault="008A72C8" w:rsidP="008A72C8">
      <w:pPr>
        <w:pStyle w:val="KeinLeerraum"/>
        <w:rPr>
          <w:lang w:val="de-CH"/>
        </w:rPr>
      </w:pPr>
    </w:p>
    <w:p w:rsidR="008A72C8" w:rsidRDefault="008A72C8" w:rsidP="008A72C8">
      <w:pPr>
        <w:pStyle w:val="KeinLeerraum"/>
        <w:rPr>
          <w:lang w:val="de-CH"/>
        </w:rPr>
      </w:pPr>
      <w:r>
        <w:rPr>
          <w:lang w:val="de-CH"/>
        </w:rPr>
        <w:t xml:space="preserve">Unit Test für ein Service. </w:t>
      </w:r>
    </w:p>
    <w:p w:rsidR="00064D1F" w:rsidRDefault="00064D1F" w:rsidP="00064D1F">
      <w:pPr>
        <w:pStyle w:val="KeinLeerraum"/>
        <w:rPr>
          <w:lang w:val="de-CH"/>
        </w:rPr>
      </w:pP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1329902</wp:posOffset>
            </wp:positionH>
            <wp:positionV relativeFrom="paragraph">
              <wp:posOffset>79375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4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0A1AAD">
        <w:rPr>
          <w:sz w:val="24"/>
          <w:szCs w:val="24"/>
          <w:lang w:val="de-CH"/>
        </w:rPr>
        <w:t xml:space="preserve"> </w:t>
      </w:r>
      <w:hyperlink r:id="rId25" w:history="1">
        <w:r w:rsidR="000A1AAD" w:rsidRPr="00FD60BF">
          <w:rPr>
            <w:rStyle w:val="Hyperlink"/>
            <w:sz w:val="24"/>
            <w:szCs w:val="24"/>
            <w:lang w:val="de-CH"/>
          </w:rPr>
          <w:t>http://patorjk.com/software/taag/#p=display&amp;f=ANSI%20Shadow&amp;t=schönes%20WE</w:t>
        </w:r>
      </w:hyperlink>
      <w:r w:rsidR="000A1AAD">
        <w:rPr>
          <w:sz w:val="24"/>
          <w:szCs w:val="24"/>
          <w:lang w:val="de-CH"/>
        </w:rPr>
        <w:t xml:space="preserve"> ]</w:t>
      </w:r>
    </w:p>
    <w:p w:rsidR="008C608A" w:rsidRPr="008C608A" w:rsidRDefault="008C608A" w:rsidP="008C608A">
      <w:pPr>
        <w:rPr>
          <w:lang w:val="de-CH"/>
        </w:rPr>
      </w:pPr>
    </w:p>
    <w:sectPr w:rsidR="008C608A" w:rsidRPr="008C608A" w:rsidSect="00B61221">
      <w:headerReference w:type="even" r:id="rId26"/>
      <w:headerReference w:type="default" r:id="rId27"/>
      <w:footerReference w:type="default" r:id="rId28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F4" w:rsidRDefault="00777DF4" w:rsidP="00241993">
      <w:pPr>
        <w:spacing w:after="0" w:line="240" w:lineRule="auto"/>
      </w:pPr>
      <w:r>
        <w:separator/>
      </w:r>
    </w:p>
  </w:endnote>
  <w:endnote w:type="continuationSeparator" w:id="0">
    <w:p w:rsidR="00777DF4" w:rsidRDefault="00777DF4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F4" w:rsidRDefault="00777DF4" w:rsidP="00241993">
      <w:pPr>
        <w:spacing w:after="0" w:line="240" w:lineRule="auto"/>
      </w:pPr>
      <w:r>
        <w:separator/>
      </w:r>
    </w:p>
  </w:footnote>
  <w:footnote w:type="continuationSeparator" w:id="0">
    <w:p w:rsidR="00777DF4" w:rsidRDefault="00777DF4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7BC0"/>
    <w:rsid w:val="00162B8A"/>
    <w:rsid w:val="00163147"/>
    <w:rsid w:val="0016582A"/>
    <w:rsid w:val="00165D73"/>
    <w:rsid w:val="00172C89"/>
    <w:rsid w:val="0017390E"/>
    <w:rsid w:val="001776F5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1F13"/>
    <w:rsid w:val="001F2EA6"/>
    <w:rsid w:val="001F40E6"/>
    <w:rsid w:val="001F4C10"/>
    <w:rsid w:val="001F502E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7809"/>
    <w:rsid w:val="00427EC7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14CE"/>
    <w:rsid w:val="0061205C"/>
    <w:rsid w:val="006126CE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C7EF7"/>
    <w:rsid w:val="006D05C3"/>
    <w:rsid w:val="006D4DBA"/>
    <w:rsid w:val="006E07AD"/>
    <w:rsid w:val="006E1839"/>
    <w:rsid w:val="006E1BAC"/>
    <w:rsid w:val="006F56F5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15C6"/>
    <w:rsid w:val="007D3227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361"/>
    <w:rsid w:val="008E34D6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7FCB"/>
    <w:rsid w:val="009C5C13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16D4"/>
    <w:rsid w:val="00B32CEA"/>
    <w:rsid w:val="00B33F4A"/>
    <w:rsid w:val="00B34429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70A4"/>
    <w:rsid w:val="00BB080C"/>
    <w:rsid w:val="00BB1FA4"/>
    <w:rsid w:val="00BB2928"/>
    <w:rsid w:val="00BC187A"/>
    <w:rsid w:val="00BC1948"/>
    <w:rsid w:val="00BC3A05"/>
    <w:rsid w:val="00BD13E3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434140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hb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courses" TargetMode="External"/><Relationship Id="rId25" Type="http://schemas.openxmlformats.org/officeDocument/2006/relationships/hyperlink" Target="http://patorjk.com/software/taag/#p=display&amp;f=ANSI%20Shadow&amp;t=sch&#246;nes%20W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rt.spring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it.ly/2T2Sh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/karthik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777/hello" TargetMode="External"/><Relationship Id="rId22" Type="http://schemas.openxmlformats.org/officeDocument/2006/relationships/hyperlink" Target="http://localhost:8080/course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67B2C00-2B4D-054F-BB84-A70BC8B2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1962</Words>
  <Characters>12363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688</cp:revision>
  <cp:lastPrinted>2019-03-03T12:21:00Z</cp:lastPrinted>
  <dcterms:created xsi:type="dcterms:W3CDTF">2019-02-22T19:32:00Z</dcterms:created>
  <dcterms:modified xsi:type="dcterms:W3CDTF">2019-03-04T17:08:00Z</dcterms:modified>
</cp:coreProperties>
</file>