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b/>
          <w:bCs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t xml:space="preserve">Simulated Cr(VI)-only data were often equivalent to adsorption-only fits within 10%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t xml:space="preserve">In the benchmark, total-Cr and solid-phase data raised rejection power to 80–96%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t xml:space="preserve">PHREEQC databases differ by 63–83 mV in the Cr(VI)/Cr(III) redox boundary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t xml:space="preserve">Exact study-level conformal intervals hold coverage but span over 3 log units</w:t>
      </w:r>
    </w:p>
    <w:p>
      <w:pPr>
        <w:pStyle w:val="ListParagraph"/>
        <w:numPr>
          <w:ilvl w:val="0"/>
          <w:numId w:val="2"/>
        </w:numPr>
        <w:spacing w:line="480" w:lineRule="auto"/>
      </w:pPr>
      <w:r>
        <w:t xml:space="preserve">No unsafe accepted designs were observed in the simulated test cohorts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2026-11-01T06:36:01.719Z</dcterms:created>
  <dcterms:modified xsi:type="dcterms:W3CDTF">2026-11-01T06:36:01.719Z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