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pPr>
      <w:r>
        <w:rPr>
          <w:b/>
          <w:bCs/>
          <w:sz w:val="28"/>
          <w:szCs w:val="28"/>
        </w:rPr>
        <w:t xml:space="preserve">Response to the Reviewer (fourth round)</w:t>
      </w:r>
    </w:p>
    <w:p>
      <w:pPr>
        <w:keepNext w:val="false"/>
        <w:spacing w:line="480" w:lineRule="auto"/>
        <w:jc w:val="both"/>
      </w:pPr>
      <w:r>
        <w:rPr>
          <w:b/>
          <w:bCs/>
        </w:rPr>
        <w:t xml:space="preserve">Manuscript:</w:t>
      </w:r>
      <w:r>
        <w:t xml:space="preserve"> CASSIA: A Provenance-Aware Computational Framework and Known-Truth Benchmark for Evidence-Constrained Analysis of Cr(VI) Removal by Carbonaceous Materials (revision 4; software CASSIA 0.3.2)</w:t>
      </w:r>
    </w:p>
    <w:p>
      <w:pPr>
        <w:keepNext w:val="false"/>
        <w:spacing w:line="480" w:lineRule="auto"/>
        <w:jc w:val="both"/>
      </w:pPr>
      <w:r>
        <w:t xml:space="preserve">We thank the reviewer for a careful report that checked the supplement against the manuscript line by line. All eight comments are accepted. Seven are resolved in this revision. Comment 1 is resolved by repositioning the paper, as the reviewer suggested, while the empirical application itself remains outstanding. Section, table and figure numbers refer to the revised manuscript. Main-text tables were renumbered because a new Table 2 (reproduction scripts) was added: the former Tables 2–7 are now Tables 3–8.</w:t>
      </w:r>
    </w:p>
    <w:p>
      <w:pPr>
        <w:keepNext w:val="false"/>
        <w:spacing w:line="480" w:lineRule="auto"/>
        <w:jc w:val="both"/>
      </w:pPr>
      <w:r>
        <w:rPr>
          <w:b/>
          <w:bCs/>
        </w:rPr>
        <w:t xml:space="preserve">Summary of changes.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461"/>
        <w:gridCol w:w="3282"/>
        <w:gridCol w:w="3283"/>
      </w:tblGrid>
      <w:tr>
        <w:trPr>
          <w:tblHeader/>
        </w:trPr>
        <w:tc>
          <w:tcPr>
            <w:tcW w:type="dxa" w:w="24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Comment</w:t>
            </w:r>
          </w:p>
        </w:tc>
        <w:tc>
          <w:tcPr>
            <w:tcW w:type="dxa" w:w="328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Change</w:t>
            </w:r>
          </w:p>
        </w:tc>
        <w:tc>
          <w:tcPr>
            <w:tcW w:type="dxa" w:w="328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Where</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1 Empirical validation</w:t>
            </w:r>
          </w:p>
        </w:tc>
        <w:tc>
          <w:tcPr>
            <w:tcW w:type="dxa" w:w="3282"/>
            <w:tcMar>
              <w:top w:type="dxa" w:w="40"/>
              <w:left w:type="dxa" w:w="80"/>
              <w:bottom w:type="dxa" w:w="40"/>
              <w:right w:type="dxa" w:w="80"/>
            </w:tcMar>
          </w:tcPr>
          <w:p>
            <w:pPr>
              <w:spacing w:line="240" w:lineRule="auto"/>
            </w:pPr>
            <w:r>
              <w:rPr>
                <w:b w:val="false"/>
                <w:bCs w:val="false"/>
                <w:sz w:val="20"/>
                <w:szCs w:val="20"/>
              </w:rPr>
              <w:t xml:space="preserve">Paper repositioned as a methodological, known-truth benchmark (title, keywords, Abstract, §1 scope statement, §4.5); empirical application still outstanding</w:t>
            </w:r>
          </w:p>
        </w:tc>
        <w:tc>
          <w:tcPr>
            <w:tcW w:type="dxa" w:w="3283"/>
            <w:tcMar>
              <w:top w:type="dxa" w:w="40"/>
              <w:left w:type="dxa" w:w="80"/>
              <w:bottom w:type="dxa" w:w="40"/>
              <w:right w:type="dxa" w:w="80"/>
            </w:tcMar>
          </w:tcPr>
          <w:p>
            <w:pPr>
              <w:spacing w:line="240" w:lineRule="auto"/>
            </w:pPr>
            <w:r>
              <w:rPr>
                <w:b w:val="false"/>
                <w:bCs w:val="false"/>
                <w:sz w:val="20"/>
                <w:szCs w:val="20"/>
              </w:rPr>
              <w:t xml:space="preserve">Title, Abstract, §1, §3.8, §4.5, §4.7</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2 Table S1</w:t>
            </w:r>
          </w:p>
        </w:tc>
        <w:tc>
          <w:tcPr>
            <w:tcW w:type="dxa" w:w="3282"/>
            <w:tcMar>
              <w:top w:type="dxa" w:w="40"/>
              <w:left w:type="dxa" w:w="80"/>
              <w:bottom w:type="dxa" w:w="40"/>
              <w:right w:type="dxa" w:w="80"/>
            </w:tcMar>
          </w:tcPr>
          <w:p>
            <w:pPr>
              <w:spacing w:line="240" w:lineRule="auto"/>
            </w:pPr>
            <w:r>
              <w:rPr>
                <w:b w:val="false"/>
                <w:bCs w:val="false"/>
                <w:sz w:val="20"/>
                <w:szCs w:val="20"/>
              </w:rPr>
              <w:t xml:space="preserve">Regenerated from the implementation by a new script; a unit test checks it against the code constants</w:t>
            </w:r>
          </w:p>
        </w:tc>
        <w:tc>
          <w:tcPr>
            <w:tcW w:type="dxa" w:w="3283"/>
            <w:tcMar>
              <w:top w:type="dxa" w:w="40"/>
              <w:left w:type="dxa" w:w="80"/>
              <w:bottom w:type="dxa" w:w="40"/>
              <w:right w:type="dxa" w:w="80"/>
            </w:tcMar>
          </w:tcPr>
          <w:p>
            <w:pPr>
              <w:spacing w:line="240" w:lineRule="auto"/>
            </w:pPr>
            <w:r>
              <w:rPr>
                <w:b w:val="false"/>
                <w:bCs w:val="false"/>
                <w:sz w:val="20"/>
                <w:szCs w:val="20"/>
              </w:rPr>
              <w:t xml:space="preserve">Table S1, </w:t>
            </w:r>
            <w:r>
              <w:rPr>
                <w:rFonts w:ascii="Courier New" w:cs="Courier New" w:eastAsia="Courier New" w:hAnsi="Courier New"/>
                <w:b w:val="false"/>
                <w:bCs w:val="false"/>
                <w:sz w:val="20"/>
                <w:szCs w:val="20"/>
              </w:rPr>
              <w:t xml:space="preserve">scripts/make_table_s1.py</w:t>
            </w:r>
            <w:r>
              <w:rPr>
                <w:b w:val="false"/>
                <w:bCs w:val="false"/>
                <w:sz w:val="20"/>
                <w:szCs w:val="20"/>
              </w:rPr>
              <w:t xml:space="preserve">, </w:t>
            </w:r>
            <w:r>
              <w:rPr>
                <w:rFonts w:ascii="Courier New" w:cs="Courier New" w:eastAsia="Courier New" w:hAnsi="Courier New"/>
                <w:b w:val="false"/>
                <w:bCs w:val="false"/>
                <w:sz w:val="20"/>
                <w:szCs w:val="20"/>
              </w:rPr>
              <w:t xml:space="preserve">tests/</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3 Table S5 / M2s</w:t>
            </w:r>
          </w:p>
        </w:tc>
        <w:tc>
          <w:tcPr>
            <w:tcW w:type="dxa" w:w="3282"/>
            <w:tcMar>
              <w:top w:type="dxa" w:w="40"/>
              <w:left w:type="dxa" w:w="80"/>
              <w:bottom w:type="dxa" w:w="40"/>
              <w:right w:type="dxa" w:w="80"/>
            </w:tcMar>
          </w:tcPr>
          <w:p>
            <w:pPr>
              <w:spacing w:line="240" w:lineRule="auto"/>
            </w:pPr>
            <w:r>
              <w:rPr>
                <w:b w:val="false"/>
                <w:bCs w:val="false"/>
                <w:sz w:val="20"/>
                <w:szCs w:val="20"/>
              </w:rPr>
              <w:t xml:space="preserve">New Table S5b: M2s by family, with study counts, mean coverage, fraction ≥ 90% with Wilson intervals, unbounded share and width</w:t>
            </w:r>
          </w:p>
        </w:tc>
        <w:tc>
          <w:tcPr>
            <w:tcW w:type="dxa" w:w="3283"/>
            <w:tcMar>
              <w:top w:type="dxa" w:w="40"/>
              <w:left w:type="dxa" w:w="80"/>
              <w:bottom w:type="dxa" w:w="40"/>
              <w:right w:type="dxa" w:w="80"/>
            </w:tcMar>
          </w:tcPr>
          <w:p>
            <w:pPr>
              <w:spacing w:line="240" w:lineRule="auto"/>
            </w:pPr>
            <w:r>
              <w:rPr>
                <w:b w:val="false"/>
                <w:bCs w:val="false"/>
                <w:sz w:val="20"/>
                <w:szCs w:val="20"/>
              </w:rPr>
              <w:t xml:space="preserve">Table S5b, §3.5</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4 Type-I error</w:t>
            </w:r>
          </w:p>
        </w:tc>
        <w:tc>
          <w:tcPr>
            <w:tcW w:type="dxa" w:w="3282"/>
            <w:tcMar>
              <w:top w:type="dxa" w:w="40"/>
              <w:left w:type="dxa" w:w="80"/>
              <w:bottom w:type="dxa" w:w="40"/>
              <w:right w:type="dxa" w:w="80"/>
            </w:tcMar>
          </w:tcPr>
          <w:p>
            <w:pPr>
              <w:spacing w:line="240" w:lineRule="auto"/>
            </w:pPr>
            <w:r>
              <w:rPr>
                <w:b w:val="false"/>
                <w:bCs w:val="false"/>
                <w:sz w:val="20"/>
                <w:szCs w:val="20"/>
              </w:rPr>
              <w:t xml:space="preserve">Independent cohort of 240 new negative controls; conformal (rank-based) threshold; Wilson intervals for every type-I estimate; "calibration fixes this" removed</w:t>
            </w:r>
          </w:p>
        </w:tc>
        <w:tc>
          <w:tcPr>
            <w:tcW w:type="dxa" w:w="3283"/>
            <w:tcMar>
              <w:top w:type="dxa" w:w="40"/>
              <w:left w:type="dxa" w:w="80"/>
              <w:bottom w:type="dxa" w:w="40"/>
              <w:right w:type="dxa" w:w="80"/>
            </w:tcMar>
          </w:tcPr>
          <w:p>
            <w:pPr>
              <w:spacing w:line="240" w:lineRule="auto"/>
            </w:pPr>
            <w:r>
              <w:rPr>
                <w:b w:val="false"/>
                <w:bCs w:val="false"/>
                <w:sz w:val="20"/>
                <w:szCs w:val="20"/>
              </w:rPr>
              <w:t xml:space="preserve">§2.6, §3.3, Table 5, Table S14, Appendix B, Abstract</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5 D5 phase evidence</w:t>
            </w:r>
          </w:p>
        </w:tc>
        <w:tc>
          <w:tcPr>
            <w:tcW w:type="dxa" w:w="3282"/>
            <w:tcMar>
              <w:top w:type="dxa" w:w="40"/>
              <w:left w:type="dxa" w:w="80"/>
              <w:bottom w:type="dxa" w:w="40"/>
              <w:right w:type="dxa" w:w="80"/>
            </w:tcMar>
          </w:tcPr>
          <w:p>
            <w:pPr>
              <w:spacing w:line="240" w:lineRule="auto"/>
            </w:pPr>
            <w:r>
              <w:rPr>
                <w:b w:val="false"/>
                <w:bCs w:val="false"/>
                <w:sz w:val="20"/>
                <w:szCs w:val="20"/>
              </w:rPr>
              <w:t xml:space="preserve">Option A: the test uses D5 without phase evidence; phase evidence is interpreted separately</w:t>
            </w:r>
          </w:p>
        </w:tc>
        <w:tc>
          <w:tcPr>
            <w:tcW w:type="dxa" w:w="3283"/>
            <w:tcMar>
              <w:top w:type="dxa" w:w="40"/>
              <w:left w:type="dxa" w:w="80"/>
              <w:bottom w:type="dxa" w:w="40"/>
              <w:right w:type="dxa" w:w="80"/>
            </w:tcMar>
          </w:tcPr>
          <w:p>
            <w:pPr>
              <w:spacing w:line="240" w:lineRule="auto"/>
            </w:pPr>
            <w:r>
              <w:rPr>
                <w:b w:val="false"/>
                <w:bCs w:val="false"/>
                <w:sz w:val="20"/>
                <w:szCs w:val="20"/>
              </w:rPr>
              <w:t xml:space="preserve">§2.6, §3.3, Appendix B</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6 Denominators</w:t>
            </w:r>
          </w:p>
        </w:tc>
        <w:tc>
          <w:tcPr>
            <w:tcW w:type="dxa" w:w="3282"/>
            <w:tcMar>
              <w:top w:type="dxa" w:w="40"/>
              <w:left w:type="dxa" w:w="80"/>
              <w:bottom w:type="dxa" w:w="40"/>
              <w:right w:type="dxa" w:w="80"/>
            </w:tcMar>
          </w:tcPr>
          <w:p>
            <w:pPr>
              <w:spacing w:line="240" w:lineRule="auto"/>
            </w:pPr>
            <w:r>
              <w:rPr>
                <w:b w:val="false"/>
                <w:bCs w:val="false"/>
                <w:sz w:val="20"/>
                <w:szCs w:val="20"/>
              </w:rPr>
              <w:t xml:space="preserve">Overall and conditional Wilson bounds; the 105/98 designs identified as simple-rule results; new consolidated Table 8c for both rules</w:t>
            </w:r>
          </w:p>
        </w:tc>
        <w:tc>
          <w:tcPr>
            <w:tcW w:type="dxa" w:w="3283"/>
            <w:tcMar>
              <w:top w:type="dxa" w:w="40"/>
              <w:left w:type="dxa" w:w="80"/>
              <w:bottom w:type="dxa" w:w="40"/>
              <w:right w:type="dxa" w:w="80"/>
            </w:tcMar>
          </w:tcPr>
          <w:p>
            <w:pPr>
              <w:spacing w:line="240" w:lineRule="auto"/>
            </w:pPr>
            <w:r>
              <w:rPr>
                <w:b w:val="false"/>
                <w:bCs w:val="false"/>
                <w:sz w:val="20"/>
                <w:szCs w:val="20"/>
              </w:rPr>
              <w:t xml:space="preserve">§3.6, Table 8c, §5</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7 Abstract and Highlights</w:t>
            </w:r>
          </w:p>
        </w:tc>
        <w:tc>
          <w:tcPr>
            <w:tcW w:type="dxa" w:w="3282"/>
            <w:tcMar>
              <w:top w:type="dxa" w:w="40"/>
              <w:left w:type="dxa" w:w="80"/>
              <w:bottom w:type="dxa" w:w="40"/>
              <w:right w:type="dxa" w:w="80"/>
            </w:tcMar>
          </w:tcPr>
          <w:p>
            <w:pPr>
              <w:spacing w:line="240" w:lineRule="auto"/>
            </w:pPr>
            <w:r>
              <w:rPr>
                <w:b w:val="false"/>
                <w:bCs w:val="false"/>
                <w:sz w:val="20"/>
                <w:szCs w:val="20"/>
              </w:rPr>
              <w:t xml:space="preserve">Endpoint-specific conformal statement; highlight replaced</w:t>
            </w:r>
          </w:p>
        </w:tc>
        <w:tc>
          <w:tcPr>
            <w:tcW w:type="dxa" w:w="3283"/>
            <w:tcMar>
              <w:top w:type="dxa" w:w="40"/>
              <w:left w:type="dxa" w:w="80"/>
              <w:bottom w:type="dxa" w:w="40"/>
              <w:right w:type="dxa" w:w="80"/>
            </w:tcMar>
          </w:tcPr>
          <w:p>
            <w:pPr>
              <w:spacing w:line="240" w:lineRule="auto"/>
            </w:pPr>
            <w:r>
              <w:rPr>
                <w:b w:val="false"/>
                <w:bCs w:val="false"/>
                <w:sz w:val="20"/>
                <w:szCs w:val="20"/>
              </w:rPr>
              <w:t xml:space="preserve">Abstract, Highlights</w:t>
            </w:r>
          </w:p>
        </w:tc>
      </w:tr>
      <w:tr>
        <w:trPr>
          <w:tblHeader w:val="false"/>
        </w:trPr>
        <w:tc>
          <w:tcPr>
            <w:tcW w:type="dxa" w:w="24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 Versions and reproducibility</w:t>
            </w:r>
          </w:p>
        </w:tc>
        <w:tc>
          <w:tcPr>
            <w:tcW w:type="dxa" w:w="328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CASSIA 0.3.2 throughout; Table 1 updated; new Table 2 lists every script and its outputs; one script reproduces everything; source archive supplied</w:t>
            </w:r>
          </w:p>
        </w:tc>
        <w:tc>
          <w:tcPr>
            <w:tcW w:type="dxa" w:w="328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 Tables 1–2, Data availability, Supplement cover</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1 – Empirical validation remains the decisive barrier</w:t>
      </w:r>
    </w:p>
    <w:p>
      <w:pPr>
        <w:keepNext w:val="false"/>
        <w:spacing w:line="480" w:lineRule="auto"/>
        <w:jc w:val="both"/>
      </w:pPr>
      <w:r>
        <w:rPr>
          <w:b/>
          <w:bCs/>
        </w:rPr>
        <w:t xml:space="preserve">Response: the paper is repositioned as a methodological benchmark; the empirical application remains outstanding.</w:t>
      </w:r>
    </w:p>
    <w:p>
      <w:pPr>
        <w:keepNext w:val="false"/>
        <w:spacing w:line="480" w:lineRule="auto"/>
        <w:jc w:val="both"/>
      </w:pPr>
      <w:r>
        <w:t xml:space="preserve">We agree with the reviewer's assessment and take the second route the reviewer describes.</w:t>
      </w:r>
    </w:p>
    <w:p>
      <w:pPr>
        <w:pStyle w:val="ListParagraph"/>
        <w:numPr>
          <w:ilvl w:val="0"/>
          <w:numId w:val="2"/>
        </w:numPr>
        <w:spacing w:line="480" w:lineRule="auto"/>
      </w:pPr>
      <w:r>
        <w:rPr>
          <w:b/>
          <w:bCs/>
        </w:rPr>
        <w:t xml:space="preserve">Title.</w:t>
      </w:r>
      <w:r>
        <w:t xml:space="preserve"> The title now reads "…Computational Framework and Known-Truth Benchmark…".</w:t>
      </w:r>
    </w:p>
    <w:p>
      <w:pPr>
        <w:pStyle w:val="ListParagraph"/>
        <w:numPr>
          <w:ilvl w:val="0"/>
          <w:numId w:val="2"/>
        </w:numPr>
        <w:spacing w:line="480" w:lineRule="auto"/>
      </w:pPr>
      <w:r>
        <w:rPr>
          <w:b/>
          <w:bCs/>
        </w:rPr>
        <w:t xml:space="preserve">Keywords.</w:t>
      </w:r>
      <w:r>
        <w:t xml:space="preserve"> "known-truth simulation benchmark" was added.</w:t>
      </w:r>
    </w:p>
    <w:p>
      <w:pPr>
        <w:pStyle w:val="ListParagraph"/>
        <w:numPr>
          <w:ilvl w:val="0"/>
          <w:numId w:val="2"/>
        </w:numPr>
        <w:spacing w:line="480" w:lineRule="auto"/>
      </w:pPr>
      <w:r>
        <w:rPr>
          <w:b/>
          <w:bCs/>
        </w:rPr>
        <w:t xml:space="preserve">Abstract.</w:t>
      </w:r>
      <w:r>
        <w:t xml:space="preserve"> It now opens by stating that this is a methodological benchmark, and it ends by stating that no published experimental data were analysed.</w:t>
      </w:r>
    </w:p>
    <w:p>
      <w:pPr>
        <w:pStyle w:val="ListParagraph"/>
        <w:numPr>
          <w:ilvl w:val="0"/>
          <w:numId w:val="2"/>
        </w:numPr>
        <w:spacing w:line="480" w:lineRule="auto"/>
      </w:pPr>
      <w:r>
        <w:rPr>
          <w:b/>
          <w:bCs/>
        </w:rPr>
        <w:t xml:space="preserve">Introduction.</w:t>
      </w:r>
      <w:r>
        <w:t xml:space="preserve"> A new paragraph, "Scope: a methodological benchmark, not an experimentally validated framework" (§1), states what the paper does and does not establish. It also says that the framework should not be described as experimentally validated until the empirical application is reported.</w:t>
      </w:r>
    </w:p>
    <w:p>
      <w:pPr>
        <w:pStyle w:val="ListParagraph"/>
        <w:numPr>
          <w:ilvl w:val="0"/>
          <w:numId w:val="2"/>
        </w:numPr>
        <w:spacing w:line="480" w:lineRule="auto"/>
      </w:pPr>
      <w:r>
        <w:rPr>
          <w:b/>
          <w:bCs/>
        </w:rPr>
        <w:t xml:space="preserve">Discussion.</w:t>
      </w:r>
      <w:r>
        <w:t xml:space="preserve"> §4.5 states that the quantitative findings are properties of the methods under the simulated data-generating processes.</w:t>
      </w:r>
    </w:p>
    <w:p>
      <w:pPr>
        <w:keepNext w:val="false"/>
        <w:spacing w:line="480" w:lineRule="auto"/>
        <w:jc w:val="both"/>
      </w:pPr>
      <w:r>
        <w:rPr>
          <w:b/>
          <w:bCs/>
        </w:rPr>
        <w:t xml:space="preserve">Why the empirical application could not be carried out.</w:t>
      </w:r>
      <w:r>
        <w:t xml:space="preserve"> We retried on 1 November 2026. The computational environment's network policy still rejects every host that serves Ramirez et al. (2020) and its raw files (pmc.ncbi.nlm.nih.gov, www.ncbi.nlm.nih.gov, europepmc.org, doi.org), as well as the hosts serving further studies. No values were transcribed from memory, estimated or digitised.</w:t>
      </w:r>
    </w:p>
    <w:p>
      <w:pPr>
        <w:keepNext w:val="false"/>
        <w:spacing w:line="480" w:lineRule="auto"/>
        <w:jc w:val="both"/>
      </w:pPr>
      <w:r>
        <w:rPr>
          <w:b/>
          <w:bCs/>
        </w:rPr>
        <w:t xml:space="preserve">What is ready.</w:t>
      </w:r>
      <w:r>
        <w:t xml:space="preserve"> §3.8 lists, as an ordered protocol, the steps the reviewer specifies:</w:t>
      </w:r>
    </w:p>
    <w:p>
      <w:pPr>
        <w:pStyle w:val="ListParagraph"/>
        <w:numPr>
          <w:ilvl w:val="0"/>
          <w:numId w:val="2"/>
        </w:numPr>
        <w:spacing w:line="480" w:lineRule="auto"/>
      </w:pPr>
      <w:r>
        <w:t xml:space="preserve">import of the observations;</w:t>
      </w:r>
    </w:p>
    <w:p>
      <w:pPr>
        <w:pStyle w:val="ListParagraph"/>
        <w:numPr>
          <w:ilvl w:val="0"/>
          <w:numId w:val="2"/>
        </w:numPr>
        <w:spacing w:line="480" w:lineRule="auto"/>
      </w:pPr>
      <w:r>
        <w:t xml:space="preserve">provenance and DOI recording;</w:t>
      </w:r>
    </w:p>
    <w:p>
      <w:pPr>
        <w:pStyle w:val="ListParagraph"/>
        <w:numPr>
          <w:ilvl w:val="0"/>
          <w:numId w:val="2"/>
        </w:numPr>
        <w:spacing w:line="480" w:lineRule="auto"/>
      </w:pPr>
      <w:r>
        <w:t xml:space="preserve">observation-level classification;</w:t>
      </w:r>
    </w:p>
    <w:p>
      <w:pPr>
        <w:pStyle w:val="ListParagraph"/>
        <w:numPr>
          <w:ilvl w:val="0"/>
          <w:numId w:val="2"/>
        </w:numPr>
        <w:spacing w:line="480" w:lineRule="auto"/>
      </w:pPr>
      <w:r>
        <w:t xml:space="preserve">apparent uptake;</w:t>
      </w:r>
    </w:p>
    <w:p>
      <w:pPr>
        <w:pStyle w:val="ListParagraph"/>
        <w:numPr>
          <w:ilvl w:val="0"/>
          <w:numId w:val="2"/>
        </w:numPr>
        <w:spacing w:line="480" w:lineRule="auto"/>
      </w:pPr>
      <w:r>
        <w:t xml:space="preserve">nonlinear isotherm and kinetic fitting;</w:t>
      </w:r>
    </w:p>
    <w:p>
      <w:pPr>
        <w:pStyle w:val="ListParagraph"/>
        <w:numPr>
          <w:ilvl w:val="0"/>
          <w:numId w:val="2"/>
        </w:numPr>
        <w:spacing w:line="480" w:lineRule="auto"/>
      </w:pPr>
      <w:r>
        <w:t xml:space="preserve">comparison with the original publication;</w:t>
      </w:r>
    </w:p>
    <w:p>
      <w:pPr>
        <w:pStyle w:val="ListParagraph"/>
        <w:numPr>
          <w:ilvl w:val="0"/>
          <w:numId w:val="2"/>
        </w:numPr>
        <w:spacing w:line="480" w:lineRule="auto"/>
      </w:pPr>
      <w:r>
        <w:t xml:space="preserve">the 20–30-study extension, prioritising data quality and identifying total-Cr, XPS/XANES, inventory, final-pH and electrolyte information.</w:t>
      </w:r>
    </w:p>
    <w:p>
      <w:pPr>
        <w:keepNext w:val="false"/>
        <w:spacing w:line="480" w:lineRule="auto"/>
        <w:jc w:val="both"/>
      </w:pPr>
      <w:r>
        <w:t xml:space="preserve">The tested pipeline performs all of these steps without code changes. We would be glad to add the empirical section if the editor prefers that route, as soon as the source files can be obtained.</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2 – Supplementary Table S1 inconsistent with the manuscript</w:t>
      </w:r>
    </w:p>
    <w:p>
      <w:pPr>
        <w:keepNext w:val="false"/>
        <w:spacing w:line="480" w:lineRule="auto"/>
        <w:jc w:val="both"/>
      </w:pPr>
      <w:r>
        <w:rPr>
          <w:b/>
          <w:bCs/>
        </w:rPr>
        <w:t xml:space="preserve">Response: corrected; Table S1 is now generated from the implementation.</w:t>
      </w:r>
    </w:p>
    <w:p>
      <w:pPr>
        <w:pStyle w:val="ListParagraph"/>
        <w:numPr>
          <w:ilvl w:val="0"/>
          <w:numId w:val="2"/>
        </w:numPr>
        <w:spacing w:line="480" w:lineRule="auto"/>
      </w:pPr>
      <w:r>
        <w:rPr>
          <w:b/>
          <w:bCs/>
        </w:rPr>
        <w:t xml:space="preserve">The cause.</w:t>
      </w:r>
      <w:r>
        <w:t xml:space="preserve"> The parameter table was generated by the code (</w:t>
      </w:r>
      <w:r>
        <w:rPr>
          <w:rFonts w:ascii="Courier New" w:cs="Courier New" w:eastAsia="Courier New" w:hAnsi="Courier New"/>
          <w:sz w:val="20"/>
          <w:szCs w:val="20"/>
        </w:rPr>
        <w:t xml:space="preserve">cassia.simulate.parameter_table()</w:t>
      </w:r>
      <w:r>
        <w:t xml:space="preserve">), but the supplement still printed an older CSV produced by the v0.2 run. The code itself already used the revised models.</w:t>
      </w:r>
    </w:p>
    <w:p>
      <w:pPr>
        <w:pStyle w:val="ListParagraph"/>
        <w:numPr>
          <w:ilvl w:val="0"/>
          <w:numId w:val="2"/>
        </w:numPr>
        <w:spacing w:line="480" w:lineRule="auto"/>
      </w:pPr>
      <w:r>
        <w:rPr>
          <w:b/>
          <w:bCs/>
        </w:rPr>
        <w:t xml:space="preserve">The fix.</w:t>
      </w:r>
    </w:p>
    <w:p>
      <w:pPr>
        <w:pStyle w:val="ListParagraph"/>
        <w:numPr>
          <w:ilvl w:val="1"/>
          <w:numId w:val="2"/>
        </w:numPr>
        <w:spacing w:line="480" w:lineRule="auto"/>
      </w:pPr>
      <w:r>
        <w:rPr>
          <w:rFonts w:ascii="Courier New" w:cs="Courier New" w:eastAsia="Courier New" w:hAnsi="Courier New"/>
          <w:sz w:val="20"/>
          <w:szCs w:val="20"/>
        </w:rPr>
        <w:t xml:space="preserve">scripts/make_table_s1.py</w:t>
      </w:r>
      <w:r>
        <w:t xml:space="preserve"> writes Table S1 from </w:t>
      </w:r>
      <w:r>
        <w:rPr>
          <w:rFonts w:ascii="Courier New" w:cs="Courier New" w:eastAsia="Courier New" w:hAnsi="Courier New"/>
          <w:sz w:val="20"/>
          <w:szCs w:val="20"/>
        </w:rPr>
        <w:t xml:space="preserve">parameter_table()</w:t>
      </w:r>
      <w:r>
        <w:t xml:space="preserve"> of CASSIA 0.3.2.</w:t>
      </w:r>
    </w:p>
    <w:p>
      <w:pPr>
        <w:pStyle w:val="ListParagraph"/>
        <w:numPr>
          <w:ilvl w:val="1"/>
          <w:numId w:val="2"/>
        </w:numPr>
        <w:spacing w:line="480" w:lineRule="auto"/>
      </w:pPr>
      <w:r>
        <w:t xml:space="preserve">The supplement builder reads only that output.</w:t>
      </w:r>
    </w:p>
    <w:p>
      <w:pPr>
        <w:pStyle w:val="ListParagraph"/>
        <w:numPr>
          <w:ilvl w:val="1"/>
          <w:numId w:val="2"/>
        </w:numPr>
        <w:spacing w:line="480" w:lineRule="auto"/>
      </w:pPr>
      <w:r>
        <w:t xml:space="preserve">The measurement-model and evidence-class rows are no longer hand-written text. They are built from the constants the code uses: </w:t>
      </w:r>
      <w:r>
        <w:rPr>
          <w:rFonts w:ascii="Courier New" w:cs="Courier New" w:eastAsia="Courier New" w:hAnsi="Courier New"/>
          <w:sz w:val="20"/>
          <w:szCs w:val="20"/>
        </w:rPr>
        <w:t xml:space="preserve">EVIDENCE_MIX</w:t>
      </w:r>
      <w:r>
        <w:t xml:space="preserve">, </w:t>
      </w:r>
      <w:r>
        <w:rPr>
          <w:rFonts w:ascii="Courier New" w:cs="Courier New" w:eastAsia="Courier New" w:hAnsi="Courier New"/>
          <w:sz w:val="20"/>
          <w:szCs w:val="20"/>
        </w:rPr>
        <w:t xml:space="preserve">cassia.measurement.TECHNIQUES</w:t>
      </w:r>
      <w:r>
        <w:t xml:space="preserve">, </w:t>
      </w:r>
      <w:r>
        <w:rPr>
          <w:rFonts w:ascii="Courier New" w:cs="Courier New" w:eastAsia="Courier New" w:hAnsi="Courier New"/>
          <w:sz w:val="20"/>
          <w:szCs w:val="20"/>
        </w:rPr>
        <w:t xml:space="preserve">INVENTORY_REL_SD</w:t>
      </w:r>
      <w:r>
        <w:t xml:space="preserve"> and </w:t>
      </w:r>
      <w:r>
        <w:rPr>
          <w:rFonts w:ascii="Courier New" w:cs="Courier New" w:eastAsia="Courier New" w:hAnsi="Courier New"/>
          <w:sz w:val="20"/>
          <w:szCs w:val="20"/>
        </w:rPr>
        <w:t xml:space="preserve">PHASE_ABS_SD</w:t>
      </w:r>
      <w:r>
        <w:t xml:space="preserve">.</w:t>
      </w:r>
    </w:p>
    <w:p>
      <w:pPr>
        <w:pStyle w:val="ListParagraph"/>
        <w:numPr>
          <w:ilvl w:val="1"/>
          <w:numId w:val="2"/>
        </w:numPr>
        <w:spacing w:line="480" w:lineRule="auto"/>
      </w:pPr>
      <w:r>
        <w:t xml:space="preserve">A new unit test (</w:t>
      </w:r>
      <w:r>
        <w:rPr>
          <w:rFonts w:ascii="Courier New" w:cs="Courier New" w:eastAsia="Courier New" w:hAnsi="Courier New"/>
          <w:sz w:val="20"/>
          <w:szCs w:val="20"/>
        </w:rPr>
        <w:t xml:space="preserve">test_parameter_table_matches_implementation</w:t>
      </w:r>
      <w:r>
        <w:t xml:space="preserve">) fails if the table and the constants ever disagree.</w:t>
      </w:r>
    </w:p>
    <w:p>
      <w:pPr>
        <w:pStyle w:val="ListParagraph"/>
        <w:numPr>
          <w:ilvl w:val="0"/>
          <w:numId w:val="2"/>
        </w:numPr>
        <w:spacing w:line="480" w:lineRule="auto"/>
      </w:pPr>
      <w:r>
        <w:rPr>
          <w:b/>
          <w:bCs/>
        </w:rPr>
        <w:t xml:space="preserve">What Table S1 now contains (44 rows).</w:t>
      </w:r>
    </w:p>
    <w:p>
      <w:pPr>
        <w:pStyle w:val="ListParagraph"/>
        <w:numPr>
          <w:ilvl w:val="1"/>
          <w:numId w:val="2"/>
        </w:numPr>
        <w:spacing w:line="480" w:lineRule="auto"/>
      </w:pPr>
      <w:r>
        <w:t xml:space="preserve">Evidence-class probabilities: C 0.40, B 0.30, A1 0.20, A2 0.10.</w:t>
      </w:r>
    </w:p>
    <w:p>
      <w:pPr>
        <w:pStyle w:val="ListParagraph"/>
        <w:numPr>
          <w:ilvl w:val="1"/>
          <w:numId w:val="2"/>
        </w:numPr>
        <w:spacing w:line="480" w:lineRule="auto"/>
      </w:pPr>
      <w:r>
        <w:t xml:space="preserve">The measurements that define each class, and the A1 allocation (XPS or XANES with probability 0.5 each; A2 always XANES).</w:t>
      </w:r>
    </w:p>
    <w:p>
      <w:pPr>
        <w:pStyle w:val="ListParagraph"/>
        <w:numPr>
          <w:ilvl w:val="1"/>
          <w:numId w:val="2"/>
        </w:numPr>
        <w:spacing w:line="480" w:lineRule="auto"/>
      </w:pPr>
      <w:r>
        <w:t xml:space="preserve">The XPS model, f</w:t>
      </w:r>
      <w:r>
        <w:rPr>
          <w:vertAlign w:val="subscript"/>
        </w:rPr>
        <w:t xml:space="preserve">obs</w:t>
      </w:r>
      <w:r>
        <w:t xml:space="preserve"> = f</w:t>
      </w:r>
      <w:r>
        <w:rPr>
          <w:vertAlign w:val="subscript"/>
        </w:rPr>
        <w:t xml:space="preserve">s</w:t>
      </w:r>
      <w:r>
        <w:t xml:space="preserve"> + b(1 − f</w:t>
      </w:r>
      <w:r>
        <w:rPr>
          <w:vertAlign w:val="subscript"/>
        </w:rPr>
        <w:t xml:space="preserve">s</w:t>
      </w:r>
      <w:r>
        <w:t xml:space="preserve">) + N(0, 0.05) with f</w:t>
      </w:r>
      <w:r>
        <w:rPr>
          <w:vertAlign w:val="subscript"/>
        </w:rPr>
        <w:t xml:space="preserve">s</w:t>
      </w:r>
      <w:r>
        <w:t xml:space="preserve"> = ef/(ef + 1 − f), e ~ LN(0, 0.4) and b ~ U(0, 0.15).</w:t>
      </w:r>
    </w:p>
    <w:p>
      <w:pPr>
        <w:pStyle w:val="ListParagraph"/>
        <w:numPr>
          <w:ilvl w:val="1"/>
          <w:numId w:val="2"/>
        </w:numPr>
        <w:spacing w:line="480" w:lineRule="auto"/>
      </w:pPr>
      <w:r>
        <w:t xml:space="preserve">The separate XANES model, f</w:t>
      </w:r>
      <w:r>
        <w:rPr>
          <w:vertAlign w:val="subscript"/>
        </w:rPr>
        <w:t xml:space="preserve">obs</w:t>
      </w:r>
      <w:r>
        <w:t xml:space="preserve"> = f + b(1 − f) + N(0, 0.03) with b ~ U(0, 0.03).</w:t>
      </w:r>
    </w:p>
    <w:p>
      <w:pPr>
        <w:pStyle w:val="ListParagraph"/>
        <w:numPr>
          <w:ilvl w:val="1"/>
          <w:numId w:val="2"/>
        </w:numPr>
        <w:spacing w:line="480" w:lineRule="auto"/>
      </w:pPr>
      <w:r>
        <w:t xml:space="preserve">Solid-inventory error, 5% relative; phase-evidence error, 0.10 absolute.</w:t>
      </w:r>
    </w:p>
    <w:p>
      <w:pPr>
        <w:pStyle w:val="ListParagraph"/>
        <w:numPr>
          <w:ilvl w:val="1"/>
          <w:numId w:val="2"/>
        </w:numPr>
        <w:spacing w:line="480" w:lineRule="auto"/>
      </w:pPr>
      <w:r>
        <w:t xml:space="preserve">Reporting probabilities for ionic strength and final pH; corpus composition; family hyper-priors; scenario switches.</w:t>
      </w:r>
    </w:p>
    <w:p>
      <w:pPr>
        <w:pStyle w:val="ListParagraph"/>
        <w:numPr>
          <w:ilvl w:val="1"/>
          <w:numId w:val="2"/>
        </w:numPr>
        <w:spacing w:line="480" w:lineRule="auto"/>
      </w:pPr>
      <w:r>
        <w:t xml:space="preserve">All kinetic parameter distributions and the ODE solver settings.</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3 – Table S5 does not support the M2s statement</w:t>
      </w:r>
    </w:p>
    <w:p>
      <w:pPr>
        <w:keepNext w:val="false"/>
        <w:spacing w:line="480" w:lineRule="auto"/>
        <w:jc w:val="both"/>
      </w:pPr>
      <w:r>
        <w:rPr>
          <w:b/>
          <w:bCs/>
        </w:rPr>
        <w:t xml:space="preserve">Response: corrected.</w:t>
      </w:r>
      <w:r>
        <w:t xml:space="preserve"> The 84% figure was computed from </w:t>
      </w:r>
      <w:r>
        <w:rPr>
          <w:rFonts w:ascii="Courier New" w:cs="Courier New" w:eastAsia="Courier New" w:hAnsi="Courier New"/>
          <w:sz w:val="20"/>
          <w:szCs w:val="20"/>
        </w:rPr>
        <w:t xml:space="preserve">results/v3/m2s_per_study.csv</w:t>
      </w:r>
      <w:r>
        <w:t xml:space="preserve">, which the supplement did not report.</w:t>
      </w:r>
    </w:p>
    <w:p>
      <w:pPr>
        <w:pStyle w:val="ListParagraph"/>
        <w:numPr>
          <w:ilvl w:val="0"/>
          <w:numId w:val="2"/>
        </w:numPr>
        <w:spacing w:line="480" w:lineRule="auto"/>
      </w:pPr>
      <w:r>
        <w:rPr>
          <w:b/>
          <w:bCs/>
        </w:rPr>
        <w:t xml:space="preserve">New table.</w:t>
      </w:r>
      <w:r>
        <w:t xml:space="preserve"> Table S5b (</w:t>
      </w:r>
      <w:r>
        <w:rPr>
          <w:rFonts w:ascii="Courier New" w:cs="Courier New" w:eastAsia="Courier New" w:hAnsi="Courier New"/>
          <w:sz w:val="20"/>
          <w:szCs w:val="20"/>
        </w:rPr>
        <w:t xml:space="preserve">scripts/m2s_family.py</w:t>
      </w:r>
      <w:r>
        <w:t xml:space="preserve">) reports, for each material family and each of the four endpoints at nominal 90%:</w:t>
      </w:r>
    </w:p>
    <w:p>
      <w:pPr>
        <w:pStyle w:val="ListParagraph"/>
        <w:numPr>
          <w:ilvl w:val="1"/>
          <w:numId w:val="2"/>
        </w:numPr>
        <w:spacing w:line="480" w:lineRule="auto"/>
      </w:pPr>
      <w:r>
        <w:t xml:space="preserve">the number of test studies;</w:t>
      </w:r>
    </w:p>
    <w:p>
      <w:pPr>
        <w:pStyle w:val="ListParagraph"/>
        <w:numPr>
          <w:ilvl w:val="1"/>
          <w:numId w:val="2"/>
        </w:numPr>
        <w:spacing w:line="480" w:lineRule="auto"/>
      </w:pPr>
      <w:r>
        <w:t xml:space="preserve">mean within-study coverage;</w:t>
      </w:r>
    </w:p>
    <w:p>
      <w:pPr>
        <w:pStyle w:val="ListParagraph"/>
        <w:numPr>
          <w:ilvl w:val="1"/>
          <w:numId w:val="2"/>
        </w:numPr>
        <w:spacing w:line="480" w:lineRule="auto"/>
      </w:pPr>
      <w:r>
        <w:t xml:space="preserve">the fraction of studies with ≥ 90% coverage, with a Wilson 95% interval;</w:t>
      </w:r>
    </w:p>
    <w:p>
      <w:pPr>
        <w:pStyle w:val="ListParagraph"/>
        <w:numPr>
          <w:ilvl w:val="1"/>
          <w:numId w:val="2"/>
        </w:numPr>
        <w:spacing w:line="480" w:lineRule="auto"/>
      </w:pPr>
      <w:r>
        <w:t xml:space="preserve">the fraction of unbounded intervals;</w:t>
      </w:r>
    </w:p>
    <w:p>
      <w:pPr>
        <w:pStyle w:val="ListParagraph"/>
        <w:numPr>
          <w:ilvl w:val="1"/>
          <w:numId w:val="2"/>
        </w:numPr>
        <w:spacing w:line="480" w:lineRule="auto"/>
      </w:pPr>
      <w:r>
        <w:t xml:space="preserve">the mean width of bounded intervals.</w:t>
      </w:r>
    </w:p>
    <w:p>
      <w:pPr>
        <w:pStyle w:val="ListParagraph"/>
        <w:numPr>
          <w:ilvl w:val="0"/>
          <w:numId w:val="2"/>
        </w:numPr>
        <w:spacing w:line="480" w:lineRule="auto"/>
      </w:pPr>
      <w:r>
        <w:rPr>
          <w:b/>
          <w:bCs/>
        </w:rPr>
        <w:t xml:space="preserve">The statistic.</w:t>
      </w:r>
      <w:r>
        <w:t xml:space="preserve"> As the reviewer notes, the 84% is a </w:t>
      </w:r>
      <w:r>
        <w:rPr>
          <w:i/>
          <w:iCs/>
        </w:rPr>
        <w:t xml:space="preserve">fraction of studies</w:t>
      </w:r>
      <w:r>
        <w:t xml:space="preserve"> meeting the 90% target. Mean coverage is a different statistic, and both are now given.</w:t>
      </w:r>
    </w:p>
    <w:p>
      <w:pPr>
        <w:pStyle w:val="ListParagraph"/>
        <w:numPr>
          <w:ilvl w:val="0"/>
          <w:numId w:val="2"/>
        </w:numPr>
        <w:spacing w:line="480" w:lineRule="auto"/>
      </w:pPr>
      <w:r>
        <w:rPr>
          <w:b/>
          <w:bCs/>
        </w:rPr>
        <w:t xml:space="preserve">Revised §3.5 text.</w:t>
      </w:r>
      <w:r>
        <w:t xml:space="preserve"> For apparent uptake, 42 of 50 hydrochar studies (84%; Wilson 72–92%) met the target, against 90–98% for the other families. Mean coverage was 0.95, against 0.97–0.995.</w:t>
      </w:r>
    </w:p>
    <w:p>
      <w:pPr>
        <w:pStyle w:val="ListParagraph"/>
        <w:numPr>
          <w:ilvl w:val="0"/>
          <w:numId w:val="2"/>
        </w:numPr>
        <w:spacing w:line="480" w:lineRule="auto"/>
      </w:pPr>
      <w:r>
        <w:rPr>
          <w:b/>
          <w:bCs/>
        </w:rPr>
        <w:t xml:space="preserve">Interpretation.</w:t>
      </w:r>
      <w:r>
        <w:t xml:space="preserve"> With 50 studies per family these intervals overlap. The text now calls the family difference a tendency, not a demonstrated effect.</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4 – The calibrated rejection test does not consistently control type-I error</w:t>
      </w:r>
    </w:p>
    <w:p>
      <w:pPr>
        <w:keepNext w:val="false"/>
        <w:spacing w:line="480" w:lineRule="auto"/>
        <w:jc w:val="both"/>
      </w:pPr>
      <w:r>
        <w:rPr>
          <w:b/>
          <w:bCs/>
        </w:rPr>
        <w:t xml:space="preserve">Response: accepted. The calibration procedure was changed and validated on an independent cohort.</w:t>
      </w:r>
    </w:p>
    <w:p>
      <w:pPr>
        <w:keepNext w:val="false"/>
        <w:spacing w:line="480" w:lineRule="auto"/>
        <w:jc w:val="both"/>
      </w:pPr>
      <w:r>
        <w:t xml:space="preserve">We followed all five recommendations. The result changes the paper's statement, and it uncovered a real problem with the earlier calibration.</w:t>
      </w:r>
    </w:p>
    <w:p>
      <w:pPr>
        <w:tabs>
          <w:tab w:val="left" w:pos="567"/>
        </w:tabs>
        <w:spacing w:line="480" w:lineRule="auto"/>
        <w:ind w:left="567" w:hanging="567"/>
      </w:pPr>
      <w:r>
        <w:t xml:space="preserve">1.	</w:t>
      </w:r>
      <w:r>
        <w:rPr>
          <w:b/>
          <w:bCs/>
        </w:rPr>
        <w:t xml:space="preserve">More independent negative controls.</w:t>
      </w:r>
      <w:r>
        <w:t xml:space="preserve"> We added 240 controls from 12 new, independent simulator corpora (</w:t>
      </w:r>
      <w:r>
        <w:rPr>
          <w:rFonts w:ascii="Courier New" w:cs="Courier New" w:eastAsia="Courier New" w:hAnsi="Courier New"/>
          <w:sz w:val="20"/>
          <w:szCs w:val="20"/>
        </w:rPr>
        <w:t xml:space="preserve">scripts/typeI_validation.py</w:t>
      </w:r>
      <w:r>
        <w:t xml:space="preserve">). They were fitted with exactly the same procedure as the 120 paired controls. In total there are 360 controls in 18 corpora.</w:t>
      </w:r>
    </w:p>
    <w:p>
      <w:pPr>
        <w:tabs>
          <w:tab w:val="left" w:pos="567"/>
        </w:tabs>
        <w:spacing w:line="480" w:lineRule="auto"/>
        <w:ind w:left="567" w:hanging="567"/>
      </w:pPr>
      <w:r>
        <w:t xml:space="preserve">2.	</w:t>
      </w:r>
      <w:r>
        <w:rPr>
          <w:b/>
          <w:bCs/>
        </w:rPr>
        <w:t xml:space="preserve">Evaluation on independent cohorts (Table S14).</w:t>
      </w:r>
      <w:r>
        <w:t xml:space="preserve"> We applied the previous threshold, the 95th percentile of the 120 paired controls from 6 corpora, to the 240 new controls:</w:t>
      </w:r>
    </w:p>
    <w:p>
      <w:pPr>
        <w:keepNext w:val="false"/>
        <w:spacing w:line="480" w:lineRule="auto"/>
        <w:jc w:val="both"/>
      </w:pPr>
      <w:r>
        <w:t xml:space="preserve">   | Design | Type-I error, 3% noise (Wilson 95% interval) | Type-I error, 10% noise (Wilson 95% interval) |</w:t>
      </w:r>
    </w:p>
    <w:p>
      <w:pPr>
        <w:keepNext w:val="false"/>
        <w:spacing w:line="480" w:lineRule="auto"/>
        <w:jc w:val="both"/>
      </w:pPr>
      <w:r>
        <w:t xml:space="preserve">   |---|---|---|</w:t>
      </w:r>
    </w:p>
    <w:p>
      <w:pPr>
        <w:keepNext w:val="false"/>
        <w:spacing w:line="480" w:lineRule="auto"/>
        <w:jc w:val="both"/>
      </w:pPr>
      <w:r>
        <w:t xml:space="preserve">   | D1 | </w:t>
      </w:r>
      <w:r>
        <w:rPr>
          <w:b/>
          <w:bCs/>
        </w:rPr>
        <w:t xml:space="preserve">15.4%</w:t>
      </w:r>
      <w:r>
        <w:t xml:space="preserve"> (11.4–20.5%) | </w:t>
      </w:r>
      <w:r>
        <w:rPr>
          <w:b/>
          <w:bCs/>
        </w:rPr>
        <w:t xml:space="preserve">13.8%</w:t>
      </w:r>
      <w:r>
        <w:t xml:space="preserve"> (10.0–18.7%) |</w:t>
      </w:r>
    </w:p>
    <w:p>
      <w:pPr>
        <w:keepNext w:val="false"/>
        <w:spacing w:line="480" w:lineRule="auto"/>
        <w:jc w:val="both"/>
      </w:pPr>
      <w:r>
        <w:t xml:space="preserve">   | D2–D5 | 2.5–4.2% | 2.1–5.4% |</w:t>
      </w:r>
    </w:p>
    <w:p>
      <w:pPr>
        <w:pStyle w:val="ListParagraph"/>
        <w:numPr>
          <w:ilvl w:val="1"/>
          <w:numId w:val="2"/>
        </w:numPr>
        <w:spacing w:line="480" w:lineRule="auto"/>
      </w:pPr>
      <w:r>
        <w:rPr>
          <w:i/>
          <w:iCs/>
        </w:rPr>
        <w:t xml:space="preserve">D4n.</w:t>
      </w:r>
      <w:r>
        <w:t xml:space="preserve"> The 12.5% value that concerned the reviewer was not reproduced on independent controls (2.5%, 1.2–5.3%); it was a noisy split-half estimate from 60 controls.</w:t>
      </w:r>
    </w:p>
    <w:p>
      <w:pPr>
        <w:pStyle w:val="ListParagraph"/>
        <w:numPr>
          <w:ilvl w:val="1"/>
          <w:numId w:val="2"/>
        </w:numPr>
        <w:spacing w:line="480" w:lineRule="auto"/>
      </w:pPr>
      <w:r>
        <w:rPr>
          <w:i/>
          <w:iCs/>
        </w:rPr>
        <w:t xml:space="preserve">D1.</w:t>
      </w:r>
      <w:r>
        <w:t xml:space="preserve"> The real failure is D1, which the earlier split-half estimate (6.7%) missed.</w:t>
      </w:r>
    </w:p>
    <w:p>
      <w:pPr>
        <w:pStyle w:val="ListParagraph"/>
        <w:numPr>
          <w:ilvl w:val="1"/>
          <w:numId w:val="2"/>
        </w:numPr>
        <w:spacing w:line="480" w:lineRule="auto"/>
      </w:pPr>
      <w:r>
        <w:rPr>
          <w:i/>
          <w:iCs/>
        </w:rPr>
        <w:t xml:space="preserve">The cause.</w:t>
      </w:r>
      <w:r>
        <w:t xml:space="preserve"> The null χ² distribution differs between corpora, because family hyper-priors are redrawn per corpus. Controls from 6 corpora are therefore not exchangeable with a new corpus, and their 95th percentile is too low for D1, which has only 7 degrees of freedom.</w:t>
      </w:r>
    </w:p>
    <w:p>
      <w:pPr>
        <w:tabs>
          <w:tab w:val="left" w:pos="567"/>
        </w:tabs>
        <w:spacing w:line="480" w:lineRule="auto"/>
        <w:ind w:left="567" w:hanging="567"/>
      </w:pPr>
      <w:r>
        <w:t xml:space="preserve">3.	</w:t>
      </w:r>
      <w:r>
        <w:rPr>
          <w:b/>
          <w:bCs/>
        </w:rPr>
        <w:t xml:space="preserve">Improved calibration.</w:t>
      </w:r>
      <w:r>
        <w:t xml:space="preserve"> The threshold is now conformal: the ⌈0.95(n + 1)⌉-th smallest control χ². This gives a finite-sample type-I error ≤ 0.05 for an exchangeable null study. It is estimated across corpora, with the corpus as the unit of exchangeability.</w:t>
      </w:r>
    </w:p>
    <w:p>
      <w:pPr>
        <w:pStyle w:val="ListParagraph"/>
        <w:numPr>
          <w:ilvl w:val="1"/>
          <w:numId w:val="2"/>
        </w:numPr>
        <w:spacing w:line="480" w:lineRule="auto"/>
      </w:pPr>
      <w:r>
        <w:t xml:space="preserve">Leave-one-corpus-out over all 18 corpora, the type-I error was </w:t>
      </w:r>
      <w:r>
        <w:rPr>
          <w:b/>
          <w:bCs/>
        </w:rPr>
        <w:t xml:space="preserve">4.7–5.6% for every design and noise level</w:t>
      </w:r>
      <w:r>
        <w:t xml:space="preserve">, with corpus-bootstrap 95% intervals within 2.5–8.6% (Table 5, Table S14).</w:t>
      </w:r>
    </w:p>
    <w:p>
      <w:pPr>
        <w:pStyle w:val="ListParagraph"/>
        <w:numPr>
          <w:ilvl w:val="1"/>
          <w:numId w:val="2"/>
        </w:numPr>
        <w:spacing w:line="480" w:lineRule="auto"/>
      </w:pPr>
      <w:r>
        <w:t xml:space="preserve">For D4n it was 5.0% (3.3–6.7%) at 3% noise and 5.6% (3.1–8.6%) at 10% noise.</w:t>
      </w:r>
    </w:p>
    <w:p>
      <w:pPr>
        <w:tabs>
          <w:tab w:val="left" w:pos="567"/>
        </w:tabs>
        <w:spacing w:line="480" w:lineRule="auto"/>
        <w:ind w:left="567" w:hanging="567"/>
      </w:pPr>
      <w:r>
        <w:t xml:space="preserve">4.	</w:t>
      </w:r>
      <w:r>
        <w:rPr>
          <w:b/>
          <w:bCs/>
        </w:rPr>
        <w:t xml:space="preserve">Confidence intervals.</w:t>
      </w:r>
      <w:r>
        <w:t xml:space="preserve"> Every type-I estimate now has an interval: Wilson for the independent cohort, and corpus-bootstrap for the leave-one-corpus-out estimates. Power is reported at the final threshold from all 360 controls:</w:t>
      </w:r>
    </w:p>
    <w:p>
      <w:pPr>
        <w:pStyle w:val="ListParagraph"/>
        <w:numPr>
          <w:ilvl w:val="1"/>
          <w:numId w:val="2"/>
        </w:numPr>
        <w:spacing w:line="480" w:lineRule="auto"/>
      </w:pPr>
      <w:r>
        <w:t xml:space="preserve">D1/D2 (Class C): 22–35%;</w:t>
      </w:r>
    </w:p>
    <w:p>
      <w:pPr>
        <w:pStyle w:val="ListParagraph"/>
        <w:numPr>
          <w:ilvl w:val="1"/>
          <w:numId w:val="2"/>
        </w:numPr>
        <w:spacing w:line="480" w:lineRule="auto"/>
      </w:pPr>
      <w:r>
        <w:t xml:space="preserve">D3: 80–88%;</w:t>
      </w:r>
    </w:p>
    <w:p>
      <w:pPr>
        <w:pStyle w:val="ListParagraph"/>
        <w:numPr>
          <w:ilvl w:val="1"/>
          <w:numId w:val="2"/>
        </w:numPr>
        <w:spacing w:line="480" w:lineRule="auto"/>
      </w:pPr>
      <w:r>
        <w:t xml:space="preserve">D4x, D4n and D5: 92–98%.</w:t>
      </w:r>
    </w:p>
    <w:p>
      <w:pPr>
        <w:tabs>
          <w:tab w:val="left" w:pos="567"/>
        </w:tabs>
        <w:spacing w:line="480" w:lineRule="auto"/>
        <w:ind w:left="567" w:hanging="567"/>
      </w:pPr>
      <w:r>
        <w:t xml:space="preserve">5.	</w:t>
      </w:r>
      <w:r>
        <w:rPr>
          <w:b/>
          <w:bCs/>
        </w:rPr>
        <w:t xml:space="preserve">Two error rates.</w:t>
      </w:r>
      <w:r>
        <w:t xml:space="preserve"> The manuscript now distinguishes the type-I error of the rejection test from the false-equivalence probability of the equivalence test (0–4.3%) in §2.6, §3.3 and Appendix B. The second does not depend on the rejection threshold.</w:t>
      </w:r>
    </w:p>
    <w:p>
      <w:pPr>
        <w:keepNext w:val="false"/>
        <w:spacing w:line="480" w:lineRule="auto"/>
        <w:jc w:val="both"/>
      </w:pPr>
      <w:r>
        <w:rPr>
          <w:b/>
          <w:bCs/>
        </w:rPr>
        <w:t xml:space="preserve">Wording and limitations.</w:t>
      </w:r>
      <w:r>
        <w:t xml:space="preserve"> "Calibration fixes this" has been removed. §3.3 now reports the observed rates. A new limitation (§4.7, item 5) states that the 5% level holds on average over corpora, not within every corpus: single held-out corpora reached 15–25%. It also states that the level holds only if a real study is exchangeable with the simulated corpora, and that the threshold would need recalibration before use on literature data.</w:t>
      </w:r>
    </w:p>
    <w:p>
      <w:pPr>
        <w:keepNext w:val="false"/>
        <w:spacing w:line="480" w:lineRule="auto"/>
        <w:jc w:val="both"/>
      </w:pPr>
      <w:r>
        <w:rPr>
          <w:b/>
          <w:bCs/>
        </w:rPr>
        <w:t xml:space="preserve">Abstract.</w:t>
      </w:r>
      <w:r>
        <w:t xml:space="preserve"> The Abstract now reports the type-I error for all measurement designs ("4.7–5.6% for every measurement design on average across corpora (95% intervals within 2.5–8.6%)") next to the power figures.</w:t>
      </w:r>
    </w:p>
    <w:p>
      <w:pPr>
        <w:keepNext w:val="false"/>
        <w:spacing w:line="480" w:lineRule="auto"/>
        <w:jc w:val="both"/>
      </w:pPr>
      <w:r>
        <w:rPr>
          <w:b/>
          <w:bCs/>
        </w:rPr>
        <w:t xml:space="preserve">Figures.</w:t>
      </w:r>
      <w:r>
        <w:t xml:space="preserve"> Fig. 3c,d were redrawn at the new threshold.</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5 – D5 phase evidence and the equivalence-test observation vector</w:t>
      </w:r>
    </w:p>
    <w:p>
      <w:pPr>
        <w:keepNext w:val="false"/>
        <w:spacing w:line="480" w:lineRule="auto"/>
        <w:jc w:val="both"/>
      </w:pPr>
      <w:r>
        <w:rPr>
          <w:b/>
          <w:bCs/>
        </w:rPr>
        <w:t xml:space="preserve">Response: clarified as Option A, which matches the implementation.</w:t>
      </w:r>
    </w:p>
    <w:p>
      <w:pPr>
        <w:pStyle w:val="ListParagraph"/>
        <w:numPr>
          <w:ilvl w:val="0"/>
          <w:numId w:val="2"/>
        </w:numPr>
        <w:spacing w:line="480" w:lineRule="auto"/>
      </w:pPr>
      <w:r>
        <w:t xml:space="preserve">The goodness-of-fit, rejection and equivalence tests for D5 use D4n + solid Cr inventory, without phase evidence.</w:t>
      </w:r>
    </w:p>
    <w:p>
      <w:pPr>
        <w:pStyle w:val="ListParagraph"/>
        <w:numPr>
          <w:ilvl w:val="0"/>
          <w:numId w:val="2"/>
        </w:numPr>
        <w:spacing w:line="480" w:lineRule="auto"/>
      </w:pPr>
      <w:r>
        <w:t xml:space="preserve">Phase evidence is the precipitated share of solid Cr(III). It is undefined under the adsorption-only null, where the solid holds no Cr(III), and no null observation model is assumed for it.</w:t>
      </w:r>
    </w:p>
    <w:p>
      <w:pPr>
        <w:pStyle w:val="ListParagraph"/>
        <w:numPr>
          <w:ilvl w:val="0"/>
          <w:numId w:val="2"/>
        </w:numPr>
        <w:spacing w:line="480" w:lineRule="auto"/>
      </w:pPr>
      <w:r>
        <w:t xml:space="preserve">Phase evidence enters only the Fisher analysis of the precipitation share, where D5 was the only design that constrained it (posterior SD 0.026).</w:t>
      </w:r>
    </w:p>
    <w:p>
      <w:pPr>
        <w:pStyle w:val="ListParagraph"/>
        <w:numPr>
          <w:ilvl w:val="0"/>
          <w:numId w:val="2"/>
        </w:numPr>
        <w:spacing w:line="480" w:lineRule="auto"/>
      </w:pPr>
      <w:r>
        <w:t xml:space="preserve">This is now stated in a paragraph after the design table in §2.6 ("Which D5 measurements enter which analysis"), in the Table 5 note and in Appendix B. The reported D5 rejection power and equivalence rates are explicitly said to exclude phase evidence.</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6 – Denominators of the treatment-design safety claim</w:t>
      </w:r>
    </w:p>
    <w:p>
      <w:pPr>
        <w:keepNext w:val="false"/>
        <w:spacing w:line="480" w:lineRule="auto"/>
        <w:jc w:val="both"/>
      </w:pPr>
      <w:r>
        <w:rPr>
          <w:b/>
          <w:bCs/>
        </w:rPr>
        <w:t xml:space="preserve">Response: corrected (§3.6, new Table 8c, §5.1).</w:t>
      </w:r>
    </w:p>
    <w:p>
      <w:pPr>
        <w:tabs>
          <w:tab w:val="left" w:pos="567"/>
        </w:tabs>
        <w:spacing w:line="480" w:lineRule="auto"/>
        <w:ind w:left="567" w:hanging="567"/>
      </w:pPr>
      <w:r>
        <w:t xml:space="preserve">1.	</w:t>
      </w:r>
      <w:r>
        <w:rPr>
          <w:b/>
          <w:bCs/>
        </w:rPr>
        <w:t xml:space="preserve">Denominators.</w:t>
      </w:r>
      <w:r>
        <w:t xml:space="preserve"> The text now gives both bounds:</w:t>
      </w:r>
    </w:p>
    <w:p>
      <w:pPr>
        <w:pStyle w:val="ListParagraph"/>
        <w:numPr>
          <w:ilvl w:val="1"/>
          <w:numId w:val="2"/>
        </w:numPr>
        <w:spacing w:line="480" w:lineRule="auto"/>
      </w:pPr>
      <w:r>
        <w:t xml:space="preserve">the Wilson 95% upper bound over all 300 materials per target: 0/300, 1.3%;</w:t>
      </w:r>
    </w:p>
    <w:p>
      <w:pPr>
        <w:pStyle w:val="ListParagraph"/>
        <w:numPr>
          <w:ilvl w:val="1"/>
          <w:numId w:val="2"/>
        </w:numPr>
        <w:spacing w:line="480" w:lineRule="auto"/>
      </w:pPr>
      <w:r>
        <w:t xml:space="preserve">the conditional bound among accepted designs: 0/105, 3.5% (S1); 0/98, 3.8% (S2).</w:t>
      </w:r>
    </w:p>
    <w:p>
      <w:pPr>
        <w:keepNext w:val="false"/>
        <w:spacing w:line="480" w:lineRule="auto"/>
        <w:jc w:val="both"/>
      </w:pPr>
      <w:r>
        <w:t xml:space="preserve">   The Conclusions quote both.</w:t>
      </w:r>
    </w:p>
    <w:p>
      <w:pPr>
        <w:tabs>
          <w:tab w:val="left" w:pos="567"/>
        </w:tabs>
        <w:spacing w:line="480" w:lineRule="auto"/>
        <w:ind w:left="567" w:hanging="567"/>
      </w:pPr>
      <w:r>
        <w:t xml:space="preserve">2.	</w:t>
      </w:r>
      <w:r>
        <w:rPr>
          <w:b/>
          <w:bCs/>
        </w:rPr>
        <w:t xml:space="preserve">Which rule.</w:t>
      </w:r>
      <w:r>
        <w:t xml:space="preserve"> The 105 and 98 accepted designs were obtained with the </w:t>
      </w:r>
      <w:r>
        <w:rPr>
          <w:b/>
          <w:bCs/>
        </w:rPr>
        <w:t xml:space="preserve">simple rule</w:t>
      </w:r>
      <w:r>
        <w:t xml:space="preserve">: duplicates, mean ≤ 90% of each limit, with one realised verification sequence per material. This is now stated where the numbers are given.</w:t>
      </w:r>
    </w:p>
    <w:p>
      <w:pPr>
        <w:tabs>
          <w:tab w:val="left" w:pos="567"/>
        </w:tabs>
        <w:spacing w:line="480" w:lineRule="auto"/>
        <w:ind w:left="567" w:hanging="567"/>
      </w:pPr>
      <w:r>
        <w:t xml:space="preserve">3.	</w:t>
      </w:r>
      <w:r>
        <w:rPr>
          <w:b/>
          <w:bCs/>
        </w:rPr>
        <w:t xml:space="preserve">Consolidated table (Table 8c).</w:t>
      </w:r>
      <w:r>
        <w:t xml:space="preserve"> For both rules it gives accepted designs, unsafe acceptances, and unsafe rates over all materials and among accepted designs.</w:t>
      </w:r>
    </w:p>
    <w:p>
      <w:pPr>
        <w:tabs>
          <w:tab w:val="left" w:pos="567"/>
        </w:tabs>
        <w:spacing w:line="480" w:lineRule="auto"/>
        <w:ind w:left="567" w:hanging="567"/>
      </w:pPr>
      <w:r>
        <w:t xml:space="preserve">4.	</w:t>
      </w:r>
      <w:r>
        <w:rPr>
          <w:b/>
          <w:bCs/>
        </w:rPr>
        <w:t xml:space="preserve">A correction found while building Table 8c.</w:t>
      </w:r>
      <w:r>
        <w:t xml:space="preserve"> The comparison of the two rules (1,000 sequences per material) was run on a different set of 300 materials per target, drawn from the same hyper-priors, not on the design-stage materials. The material identifiers coincide, but the draws differ. The manuscript previously implied the same materials. It now describes this as an independent verification cohort.</w:t>
      </w:r>
    </w:p>
    <w:p>
      <w:pPr>
        <w:keepNext w:val="false"/>
        <w:spacing w:line="480" w:lineRule="auto"/>
        <w:jc w:val="both"/>
      </w:pPr>
      <w:r>
        <w:t xml:space="preserve">   In that cohort the expected number of accepted designs was 82.5 (simple) against 81.6 (error-controlled) for S1, and 100.2 against 98.4 for S2. The expected numbers of unsafe acceptances were 0.018 against 0.002 (S1) and 0.036 against 0.013 (S2). The error-controlled rule therefore accepts almost as many designs at about 50% more batches, with three- to ninefold fewer expected unsafe acceptances.</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7 – Endpoint-specific conformal performance in the Abstract and Highlights</w:t>
      </w:r>
    </w:p>
    <w:p>
      <w:pPr>
        <w:keepNext w:val="false"/>
        <w:spacing w:line="480" w:lineRule="auto"/>
        <w:jc w:val="both"/>
      </w:pPr>
      <w:r>
        <w:rPr>
          <w:b/>
          <w:bCs/>
        </w:rPr>
        <w:t xml:space="preserve">Response: adopted.</w:t>
      </w:r>
    </w:p>
    <w:p>
      <w:pPr>
        <w:pStyle w:val="ListParagraph"/>
        <w:numPr>
          <w:ilvl w:val="0"/>
          <w:numId w:val="2"/>
        </w:numPr>
        <w:spacing w:line="480" w:lineRule="auto"/>
      </w:pPr>
      <w:r>
        <w:rPr>
          <w:b/>
          <w:bCs/>
        </w:rPr>
        <w:t xml:space="preserve">Abstract.</w:t>
      </w:r>
      <w:r>
        <w:t xml:space="preserve"> The Abstract now uses the reviewer's wording: "An exact study-level split-conformal interval achieved its stated coverage guarantee, but the 90% interval for apparent Cr(VI) uptake spanned approximately 3.3 log₁₀ units; intervals for total-chromium endpoints were frequently unbounded with literature-scale calibration samples."</w:t>
      </w:r>
    </w:p>
    <w:p>
      <w:pPr>
        <w:pStyle w:val="ListParagraph"/>
        <w:numPr>
          <w:ilvl w:val="0"/>
          <w:numId w:val="2"/>
        </w:numPr>
        <w:spacing w:line="480" w:lineRule="auto"/>
      </w:pPr>
      <w:r>
        <w:rPr>
          <w:b/>
          <w:bCs/>
        </w:rPr>
        <w:t xml:space="preserve">Highlight.</w:t>
      </w:r>
      <w:r>
        <w:t xml:space="preserve"> The highlight now reads: "Exact study-level coverage holds; intervals are too wide for some engineering uses". The reviewer's suggested sentence exceeds Elsevier's 85-character limit, so we shortened it while keeping its meaning.</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8 – Software versions and reproducibility</w:t>
      </w:r>
    </w:p>
    <w:p>
      <w:pPr>
        <w:keepNext w:val="false"/>
        <w:spacing w:line="480" w:lineRule="auto"/>
        <w:jc w:val="both"/>
      </w:pPr>
      <w:r>
        <w:rPr>
          <w:b/>
          <w:bCs/>
        </w:rPr>
        <w:t xml:space="preserve">Response: corrected.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202"/>
        <w:gridCol w:w="5824"/>
      </w:tblGrid>
      <w:tr>
        <w:trPr>
          <w:tblHeader/>
        </w:trPr>
        <w:tc>
          <w:tcPr>
            <w:tcW w:type="dxa" w:w="320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Location</w:t>
            </w:r>
          </w:p>
        </w:tc>
        <w:tc>
          <w:tcPr>
            <w:tcW w:type="dxa" w:w="582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Correction</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§2.2</w:t>
            </w:r>
          </w:p>
        </w:tc>
        <w:tc>
          <w:tcPr>
            <w:tcW w:type="dxa" w:w="5824"/>
            <w:tcMar>
              <w:top w:type="dxa" w:w="40"/>
              <w:left w:type="dxa" w:w="80"/>
              <w:bottom w:type="dxa" w:w="40"/>
              <w:right w:type="dxa" w:w="80"/>
            </w:tcMar>
          </w:tcPr>
          <w:p>
            <w:pPr>
              <w:spacing w:line="240" w:lineRule="auto"/>
            </w:pPr>
            <w:r>
              <w:rPr>
                <w:b w:val="false"/>
                <w:bCs w:val="false"/>
                <w:sz w:val="20"/>
                <w:szCs w:val="20"/>
              </w:rPr>
              <w:t xml:space="preserve">"CASSIA 0.3.2 is organised in six layers"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Table 1</w:t>
            </w:r>
          </w:p>
        </w:tc>
        <w:tc>
          <w:tcPr>
            <w:tcW w:type="dxa" w:w="5824"/>
            <w:tcMar>
              <w:top w:type="dxa" w:w="40"/>
              <w:left w:type="dxa" w:w="80"/>
              <w:bottom w:type="dxa" w:w="40"/>
              <w:right w:type="dxa" w:w="80"/>
            </w:tcMar>
          </w:tcPr>
          <w:p>
            <w:pPr>
              <w:spacing w:line="240" w:lineRule="auto"/>
            </w:pPr>
            <w:r>
              <w:rPr>
                <w:b w:val="false"/>
                <w:bCs w:val="false"/>
                <w:sz w:val="20"/>
                <w:szCs w:val="20"/>
              </w:rPr>
              <w:t xml:space="preserve">Updated: </w:t>
            </w:r>
            <w:r>
              <w:rPr>
                <w:rFonts w:ascii="Courier New" w:cs="Courier New" w:eastAsia="Courier New" w:hAnsi="Courier New"/>
                <w:b w:val="false"/>
                <w:bCs w:val="false"/>
                <w:sz w:val="20"/>
                <w:szCs w:val="20"/>
              </w:rPr>
              <w:t xml:space="preserve">cassia.measurement</w:t>
            </w:r>
            <w:r>
              <w:rPr>
                <w:b w:val="false"/>
                <w:bCs w:val="false"/>
                <w:sz w:val="20"/>
                <w:szCs w:val="20"/>
              </w:rPr>
              <w:t xml:space="preserve"> added; decision support now names both design and verification stages; evidence classes C/B/A1/A2; interval methods M0–M2s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New Table 2</w:t>
            </w:r>
          </w:p>
        </w:tc>
        <w:tc>
          <w:tcPr>
            <w:tcW w:type="dxa" w:w="5824"/>
            <w:tcMar>
              <w:top w:type="dxa" w:w="40"/>
              <w:left w:type="dxa" w:w="80"/>
              <w:bottom w:type="dxa" w:w="40"/>
              <w:right w:type="dxa" w:w="80"/>
            </w:tcMar>
          </w:tcPr>
          <w:p>
            <w:pPr>
              <w:spacing w:line="240" w:lineRule="auto"/>
            </w:pPr>
            <w:r>
              <w:rPr>
                <w:b w:val="false"/>
                <w:bCs w:val="false"/>
                <w:sz w:val="20"/>
                <w:szCs w:val="20"/>
              </w:rPr>
              <w:t xml:space="preserve">Every script and the tables and figures it produces, in run order, including </w:t>
            </w:r>
            <w:r>
              <w:rPr>
                <w:rFonts w:ascii="Courier New" w:cs="Courier New" w:eastAsia="Courier New" w:hAnsi="Courier New"/>
                <w:b w:val="false"/>
                <w:bCs w:val="false"/>
                <w:sz w:val="20"/>
                <w:szCs w:val="20"/>
              </w:rPr>
              <w:t xml:space="preserve">bench_partition.py</w:t>
            </w:r>
            <w:r>
              <w:rPr>
                <w:b w:val="false"/>
                <w:bCs w:val="false"/>
                <w:sz w:val="20"/>
                <w:szCs w:val="20"/>
              </w:rPr>
              <w:t xml:space="preserve"> (S11–S12), </w:t>
            </w:r>
            <w:r>
              <w:rPr>
                <w:rFonts w:ascii="Courier New" w:cs="Courier New" w:eastAsia="Courier New" w:hAnsi="Courier New"/>
                <w:b w:val="false"/>
                <w:bCs w:val="false"/>
                <w:sz w:val="20"/>
                <w:szCs w:val="20"/>
              </w:rPr>
              <w:t xml:space="preserve">endpoint_validation.py</w:t>
            </w:r>
            <w:r>
              <w:rPr>
                <w:b w:val="false"/>
                <w:bCs w:val="false"/>
                <w:sz w:val="20"/>
                <w:szCs w:val="20"/>
              </w:rPr>
              <w:t xml:space="preserve"> (S13), </w:t>
            </w:r>
            <w:r>
              <w:rPr>
                <w:rFonts w:ascii="Courier New" w:cs="Courier New" w:eastAsia="Courier New" w:hAnsi="Courier New"/>
                <w:b w:val="false"/>
                <w:bCs w:val="false"/>
                <w:sz w:val="20"/>
                <w:szCs w:val="20"/>
              </w:rPr>
              <w:t xml:space="preserve">typeI_validation.py</w:t>
            </w:r>
            <w:r>
              <w:rPr>
                <w:b w:val="false"/>
                <w:bCs w:val="false"/>
                <w:sz w:val="20"/>
                <w:szCs w:val="20"/>
              </w:rPr>
              <w:t xml:space="preserve"> (S14), </w:t>
            </w:r>
            <w:r>
              <w:rPr>
                <w:rFonts w:ascii="Courier New" w:cs="Courier New" w:eastAsia="Courier New" w:hAnsi="Courier New"/>
                <w:b w:val="false"/>
                <w:bCs w:val="false"/>
                <w:sz w:val="20"/>
                <w:szCs w:val="20"/>
              </w:rPr>
              <w:t xml:space="preserve">m2s_family.py</w:t>
            </w:r>
            <w:r>
              <w:rPr>
                <w:b w:val="false"/>
                <w:bCs w:val="false"/>
                <w:sz w:val="20"/>
                <w:szCs w:val="20"/>
              </w:rPr>
              <w:t xml:space="preserve"> (S5b), </w:t>
            </w:r>
            <w:r>
              <w:rPr>
                <w:rFonts w:ascii="Courier New" w:cs="Courier New" w:eastAsia="Courier New" w:hAnsi="Courier New"/>
                <w:b w:val="false"/>
                <w:bCs w:val="false"/>
                <w:sz w:val="20"/>
                <w:szCs w:val="20"/>
              </w:rPr>
              <w:t xml:space="preserve">verification_table.py</w:t>
            </w:r>
            <w:r>
              <w:rPr>
                <w:b w:val="false"/>
                <w:bCs w:val="false"/>
                <w:sz w:val="20"/>
                <w:szCs w:val="20"/>
              </w:rPr>
              <w:t xml:space="preserve"> (Table 8c), </w:t>
            </w:r>
            <w:r>
              <w:rPr>
                <w:rFonts w:ascii="Courier New" w:cs="Courier New" w:eastAsia="Courier New" w:hAnsi="Courier New"/>
                <w:b w:val="false"/>
                <w:bCs w:val="false"/>
                <w:sz w:val="20"/>
                <w:szCs w:val="20"/>
              </w:rPr>
              <w:t xml:space="preserve">make_table_s1.py</w:t>
            </w:r>
            <w:r>
              <w:rPr>
                <w:b w:val="false"/>
                <w:bCs w:val="false"/>
                <w:sz w:val="20"/>
                <w:szCs w:val="20"/>
              </w:rPr>
              <w:t xml:space="preserve"> (S1), </w:t>
            </w:r>
            <w:r>
              <w:rPr>
                <w:rFonts w:ascii="Courier New" w:cs="Courier New" w:eastAsia="Courier New" w:hAnsi="Courier New"/>
                <w:b w:val="false"/>
                <w:bCs w:val="false"/>
                <w:sz w:val="20"/>
                <w:szCs w:val="20"/>
              </w:rPr>
              <w:t xml:space="preserve">seqver_oc.py</w:t>
            </w:r>
            <w:r>
              <w:rPr>
                <w:b w:val="false"/>
                <w:bCs w:val="false"/>
                <w:sz w:val="20"/>
                <w:szCs w:val="20"/>
              </w:rPr>
              <w:t xml:space="preserve"> (S9), </w:t>
            </w:r>
            <w:r>
              <w:rPr>
                <w:rFonts w:ascii="Courier New" w:cs="Courier New" w:eastAsia="Courier New" w:hAnsi="Courier New"/>
                <w:b w:val="false"/>
                <w:bCs w:val="false"/>
                <w:sz w:val="20"/>
                <w:szCs w:val="20"/>
              </w:rPr>
              <w:t xml:space="preserve">make_supp_figs.py</w:t>
            </w:r>
            <w:r>
              <w:rPr>
                <w:b w:val="false"/>
                <w:bCs w:val="false"/>
                <w:sz w:val="20"/>
                <w:szCs w:val="20"/>
              </w:rPr>
              <w:t xml:space="preserve"> (Fig. S1)</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Regeneration statement</w:t>
            </w:r>
          </w:p>
        </w:tc>
        <w:tc>
          <w:tcPr>
            <w:tcW w:type="dxa" w:w="5824"/>
            <w:tcMar>
              <w:top w:type="dxa" w:w="40"/>
              <w:left w:type="dxa" w:w="80"/>
              <w:bottom w:type="dxa" w:w="40"/>
              <w:right w:type="dxa" w:w="80"/>
            </w:tcMar>
          </w:tcPr>
          <w:p>
            <w:pPr>
              <w:spacing w:line="240" w:lineRule="auto"/>
            </w:pPr>
            <w:r>
              <w:rPr>
                <w:b w:val="false"/>
                <w:bCs w:val="false"/>
                <w:sz w:val="20"/>
                <w:szCs w:val="20"/>
              </w:rPr>
              <w:t xml:space="preserve">"Every number, table and figure … is regenerated by the scripts of Table 2, run in order by </w:t>
            </w:r>
            <w:r>
              <w:rPr>
                <w:rFonts w:ascii="Courier New" w:cs="Courier New" w:eastAsia="Courier New" w:hAnsi="Courier New"/>
                <w:b w:val="false"/>
                <w:bCs w:val="false"/>
                <w:sz w:val="20"/>
                <w:szCs w:val="20"/>
              </w:rPr>
              <w:t xml:space="preserve">scripts/reproduce_all.sh</w:t>
            </w:r>
            <w:r>
              <w:rPr>
                <w:b w:val="false"/>
                <w:bCs w:val="false"/>
                <w:sz w:val="20"/>
                <w:szCs w:val="20"/>
              </w:rPr>
              <w:t xml:space="preserve">"</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Data availability</w:t>
            </w:r>
          </w:p>
        </w:tc>
        <w:tc>
          <w:tcPr>
            <w:tcW w:type="dxa" w:w="5824"/>
            <w:tcMar>
              <w:top w:type="dxa" w:w="40"/>
              <w:left w:type="dxa" w:w="80"/>
              <w:bottom w:type="dxa" w:w="40"/>
              <w:right w:type="dxa" w:w="80"/>
            </w:tcMar>
          </w:tcPr>
          <w:p>
            <w:pPr>
              <w:spacing w:line="240" w:lineRule="auto"/>
            </w:pPr>
            <w:r>
              <w:rPr>
                <w:b w:val="false"/>
                <w:bCs w:val="false"/>
                <w:sz w:val="20"/>
                <w:szCs w:val="20"/>
              </w:rPr>
              <w:t xml:space="preserve">Full installation, test and reproduction commands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Supplement cover</w:t>
            </w:r>
          </w:p>
        </w:tc>
        <w:tc>
          <w:tcPr>
            <w:tcW w:type="dxa" w:w="5824"/>
            <w:tcMar>
              <w:top w:type="dxa" w:w="40"/>
              <w:left w:type="dxa" w:w="80"/>
              <w:bottom w:type="dxa" w:w="40"/>
              <w:right w:type="dxa" w:w="80"/>
            </w:tcMar>
          </w:tcPr>
          <w:p>
            <w:pPr>
              <w:spacing w:line="240" w:lineRule="auto"/>
            </w:pPr>
            <w:r>
              <w:rPr>
                <w:b w:val="false"/>
                <w:bCs w:val="false"/>
                <w:sz w:val="20"/>
                <w:szCs w:val="20"/>
              </w:rPr>
              <w:t xml:space="preserve">A table mapping every supplementary table (S1–S14, Fig. S1) to its generating script and CSV file</w:t>
            </w:r>
          </w:p>
        </w:tc>
      </w:tr>
      <w:tr>
        <w:trPr>
          <w:tblHeader w:val="false"/>
        </w:trPr>
        <w:tc>
          <w:tcPr>
            <w:tcW w:type="dxa" w:w="320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Release</w:t>
            </w:r>
          </w:p>
        </w:tc>
        <w:tc>
          <w:tcPr>
            <w:tcW w:type="dxa" w:w="582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Code commit </w:t>
            </w:r>
            <w:r>
              <w:rPr>
                <w:rFonts w:ascii="Courier New" w:cs="Courier New" w:eastAsia="Courier New" w:hAnsi="Courier New"/>
                <w:b w:val="false"/>
                <w:bCs w:val="false"/>
                <w:sz w:val="20"/>
                <w:szCs w:val="20"/>
              </w:rPr>
              <w:t xml:space="preserve">72a0b175c07b676093673cbf2b1e8c976de87142</w:t>
            </w:r>
            <w:r>
              <w:rPr>
                <w:b w:val="false"/>
                <w:bCs w:val="false"/>
                <w:sz w:val="20"/>
                <w:szCs w:val="20"/>
              </w:rPr>
              <w:t xml:space="preserve">; manifest regenerated; </w:t>
            </w:r>
            <w:r>
              <w:rPr>
                <w:b/>
                <w:bCs/>
                <w:sz w:val="20"/>
                <w:szCs w:val="20"/>
              </w:rPr>
              <w:t xml:space="preserve">tag and Zenodo DOI remain an author action</w:t>
            </w:r>
          </w:p>
        </w:tc>
      </w:tr>
    </w:tbl>
    <w:p>
      <w:pPr>
        <w:keepNext w:val="false"/>
        <w:spacing w:before="200" w:line="480" w:lineRule="auto"/>
        <w:jc w:val="both"/>
      </w:pPr>
      <w:r>
        <w:rPr>
          <w:b/>
          <w:bCs/>
        </w:rPr>
        <w:t xml:space="preserve">An ordering pitfall.</w:t>
      </w:r>
      <w:r>
        <w:t xml:space="preserve"> While writing Table 2 we found one: </w:t>
      </w:r>
      <w:r>
        <w:rPr>
          <w:rFonts w:ascii="Courier New" w:cs="Courier New" w:eastAsia="Courier New" w:hAnsi="Courier New"/>
          <w:sz w:val="20"/>
          <w:szCs w:val="20"/>
        </w:rPr>
        <w:t xml:space="preserve">run_v2.py --stage all</w:t>
      </w:r>
      <w:r>
        <w:t xml:space="preserve"> writes older versions of Figs. 3, 5, 6 and 7, which </w:t>
      </w:r>
      <w:r>
        <w:rPr>
          <w:rFonts w:ascii="Courier New" w:cs="Courier New" w:eastAsia="Courier New" w:hAnsi="Courier New"/>
          <w:sz w:val="20"/>
          <w:szCs w:val="20"/>
        </w:rPr>
        <w:t xml:space="preserve">run_v3.py --stage figures</w:t>
      </w:r>
      <w:r>
        <w:t xml:space="preserve"> then replaces. </w:t>
      </w:r>
      <w:r>
        <w:rPr>
          <w:rFonts w:ascii="Courier New" w:cs="Courier New" w:eastAsia="Courier New" w:hAnsi="Courier New"/>
          <w:sz w:val="20"/>
          <w:szCs w:val="20"/>
        </w:rPr>
        <w:t xml:space="preserve">reproduce_all.sh</w:t>
      </w:r>
      <w:r>
        <w:t xml:space="preserve"> runs them in the required order, and Table 2 states it.</w:t>
      </w:r>
    </w:p>
    <w:p>
      <w:pPr>
        <w:keepNext w:val="false"/>
        <w:spacing w:line="480" w:lineRule="auto"/>
        <w:jc w:val="both"/>
      </w:pPr>
      <w:r>
        <w:rPr>
          <w:b/>
          <w:bCs/>
        </w:rPr>
        <w:t xml:space="preserve">Verifiability.</w:t>
      </w:r>
      <w:r>
        <w:t xml:space="preserve"> A source archive of the submission commit, which descends from code commit </w:t>
      </w:r>
      <w:r>
        <w:rPr>
          <w:rFonts w:ascii="Courier New" w:cs="Courier New" w:eastAsia="Courier New" w:hAnsi="Courier New"/>
          <w:sz w:val="20"/>
          <w:szCs w:val="20"/>
        </w:rPr>
        <w:t xml:space="preserve">72a0b17</w:t>
      </w:r>
      <w:r>
        <w:t xml:space="preserve"> and adds only the manuscript documents and release logs, (</w:t>
      </w:r>
      <w:r>
        <w:rPr>
          <w:rFonts w:ascii="Courier New" w:cs="Courier New" w:eastAsia="Courier New" w:hAnsi="Courier New"/>
          <w:sz w:val="20"/>
          <w:szCs w:val="20"/>
        </w:rPr>
        <w:t xml:space="preserve">git archive</w:t>
      </w:r>
      <w:r>
        <w:t xml:space="preserve"> of the repository root) is supplied with this response, so the reviewer can run </w:t>
      </w:r>
      <w:r>
        <w:rPr>
          <w:rFonts w:ascii="Courier New" w:cs="Courier New" w:eastAsia="Courier New" w:hAnsi="Courier New"/>
          <w:sz w:val="20"/>
          <w:szCs w:val="20"/>
        </w:rPr>
        <w:t xml:space="preserve">pytest -q tests</w:t>
      </w:r>
      <w:r>
        <w:t xml:space="preserve"> (40 tests) and check the manifest with </w:t>
      </w:r>
      <w:r>
        <w:rPr>
          <w:rFonts w:ascii="Courier New" w:cs="Courier New" w:eastAsia="Courier New" w:hAnsi="Courier New"/>
          <w:sz w:val="20"/>
          <w:szCs w:val="20"/>
        </w:rPr>
        <w:t xml:space="preserve">sha256sum -c release/MANIFEST.sha256</w:t>
      </w:r>
      <w:r>
        <w:t xml:space="preserve">. The test log and coverage report (81% line coverage) are included in it.</w:t>
      </w:r>
    </w:p>
    <w:p>
      <w:pPr>
        <w:pStyle w:val="Heading1"/>
        <w:keepNext/>
        <w:spacing w:before="240" w:line="480" w:lineRule="auto"/>
      </w:pPr>
      <w:r>
        <w:rPr>
          <w:rFonts w:ascii="Times New Roman" w:cs="Times New Roman" w:eastAsia="Times New Roman" w:hAnsi="Times New Roman"/>
          <w:b/>
          <w:bCs/>
          <w:color w:val="000000"/>
          <w:sz w:val="24"/>
          <w:szCs w:val="24"/>
        </w:rPr>
        <w:t xml:space="preserve">Items that remain open</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008"/>
        <w:gridCol w:w="3008"/>
        <w:gridCol w:w="3010"/>
      </w:tblGrid>
      <w:tr>
        <w:trPr>
          <w:tblHeader/>
        </w:trPr>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Item</w:t>
            </w:r>
          </w:p>
        </w:tc>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Reason</w:t>
            </w:r>
          </w:p>
        </w:tc>
        <w:tc>
          <w:tcPr>
            <w:tcW w:type="dxa" w:w="301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Remedy</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Empirical application (Ramirez et al. + 20–30 studies)</w:t>
            </w:r>
          </w:p>
        </w:tc>
        <w:tc>
          <w:tcPr>
            <w:tcW w:type="dxa" w:w="3008"/>
            <w:tcMar>
              <w:top w:type="dxa" w:w="40"/>
              <w:left w:type="dxa" w:w="80"/>
              <w:bottom w:type="dxa" w:w="40"/>
              <w:right w:type="dxa" w:w="80"/>
            </w:tcMar>
          </w:tcPr>
          <w:p>
            <w:pPr>
              <w:spacing w:line="240" w:lineRule="auto"/>
            </w:pPr>
            <w:r>
              <w:rPr>
                <w:b w:val="false"/>
                <w:bCs w:val="false"/>
                <w:sz w:val="20"/>
                <w:szCs w:val="20"/>
              </w:rPr>
              <w:t xml:space="preserve">Source hosts blocked by the computational environment's network policy</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supplies the files, or the hosts are allowed; the pipeline is ready</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Validation against Ball and Nordstrom (1998) / Rai et al. (1987)</w:t>
            </w:r>
          </w:p>
        </w:tc>
        <w:tc>
          <w:tcPr>
            <w:tcW w:type="dxa" w:w="3008"/>
            <w:tcMar>
              <w:top w:type="dxa" w:w="40"/>
              <w:left w:type="dxa" w:w="80"/>
              <w:bottom w:type="dxa" w:w="40"/>
              <w:right w:type="dxa" w:w="80"/>
            </w:tcMar>
          </w:tcPr>
          <w:p>
            <w:pPr>
              <w:spacing w:line="240" w:lineRule="auto"/>
            </w:pPr>
            <w:r>
              <w:rPr>
                <w:b w:val="false"/>
                <w:bCs w:val="false"/>
                <w:sz w:val="20"/>
                <w:szCs w:val="20"/>
              </w:rPr>
              <w:t xml:space="preserve">Same</w:t>
            </w:r>
          </w:p>
        </w:tc>
        <w:tc>
          <w:tcPr>
            <w:tcW w:type="dxa" w:w="3010"/>
            <w:tcMar>
              <w:top w:type="dxa" w:w="40"/>
              <w:left w:type="dxa" w:w="80"/>
              <w:bottom w:type="dxa" w:w="40"/>
              <w:right w:type="dxa" w:w="80"/>
            </w:tcMar>
          </w:tcPr>
          <w:p>
            <w:pPr>
              <w:spacing w:line="240" w:lineRule="auto"/>
            </w:pPr>
            <w:r>
              <w:rPr>
                <w:b w:val="false"/>
                <w:bCs w:val="false"/>
                <w:sz w:val="20"/>
                <w:szCs w:val="20"/>
              </w:rPr>
              <w:t xml:space="preserve">Same</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Release tag and Zenodo DOI</w:t>
            </w:r>
          </w:p>
        </w:tc>
        <w:tc>
          <w:tcPr>
            <w:tcW w:type="dxa" w:w="3008"/>
            <w:tcMar>
              <w:top w:type="dxa" w:w="40"/>
              <w:left w:type="dxa" w:w="80"/>
              <w:bottom w:type="dxa" w:w="40"/>
              <w:right w:type="dxa" w:w="80"/>
            </w:tcMar>
          </w:tcPr>
          <w:p>
            <w:pPr>
              <w:spacing w:line="240" w:lineRule="auto"/>
            </w:pPr>
            <w:r>
              <w:rPr>
                <w:b w:val="false"/>
                <w:bCs w:val="false"/>
                <w:sz w:val="20"/>
                <w:szCs w:val="20"/>
              </w:rPr>
              <w:t xml:space="preserve">Requires the author's account</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action</w:t>
            </w:r>
          </w:p>
        </w:tc>
      </w:tr>
      <w:tr>
        <w:trPr>
          <w:tblHeader w:val="false"/>
        </w:trPr>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name, affiliation, ORCID, CRediT, funding</w:t>
            </w:r>
          </w:p>
        </w:tc>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Author-specific</w:t>
            </w:r>
          </w:p>
        </w:tc>
        <w:tc>
          <w:tcPr>
            <w:tcW w:type="dxa" w:w="301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to complete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 (fourth round)</dc:title>
  <dc:creator>Karthik</dc:creator>
  <dc:description>Prepared to Elsevier Guide for Authors conventions (review format)</dc:description>
  <cp:lastModifiedBy>Un-named</cp:lastModifiedBy>
  <cp:revision>1</cp:revision>
  <dcterms:created xsi:type="dcterms:W3CDTF">2026-11-01T10:49:12.629Z</dcterms:created>
  <dcterms:modified xsi:type="dcterms:W3CDTF">2026-11-01T10:49:12.630Z</dcterms:modified>
</cp:coreProperties>
</file>

<file path=docProps/custom.xml><?xml version="1.0" encoding="utf-8"?>
<Properties xmlns="http://schemas.openxmlformats.org/officeDocument/2006/custom-properties" xmlns:vt="http://schemas.openxmlformats.org/officeDocument/2006/docPropsVTypes"/>
</file>