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 w:lineRule="auto"/>
      </w:pPr>
      <w:r>
        <w:rPr>
          <w:b/>
          <w:bCs/>
        </w:rPr>
        <w:t xml:space="preserve">Highlights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Known-truth benchmark of what Cr(VI)-removal data can show about mechanism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Simulated Cr(VI)-only data were often equivalent to adsorption-only fits within 10%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At about 5% type-I error, total-Cr and solid-phase data gave 80–98% rejection power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Exact study-level coverage holds; intervals are too wide for some engineering uses</w:t>
      </w:r>
    </w:p>
    <w:p>
      <w:pPr>
        <w:pStyle w:val="ListParagraph"/>
        <w:numPr>
          <w:ilvl w:val="0"/>
          <w:numId w:val="2"/>
        </w:numPr>
        <w:spacing w:line="480" w:lineRule="auto"/>
      </w:pPr>
      <w:r>
        <w:t xml:space="preserve">No unsafe accepted designs were observed in the simulated test cohorts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340"/>
      </w:pPr>
    </w:lvl>
    <w:lvl w:ilvl="1" w15:tentative="1">
      <w:start w:val="1"/>
      <w:numFmt w:val="bullet"/>
      <w:lvlText w:val="–"/>
      <w:lvlJc w:val="left"/>
      <w:pPr>
        <w:ind w:left="1134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48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cs="Times New Roman" w:eastAsia="Times New Roman" w:hAnsi="Times New Roman"/>
      <w:b w:val="false"/>
      <w:bCs w:val="false"/>
      <w:i/>
      <w:i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2026-11-01T10:47:30.177Z</dcterms:created>
  <dcterms:modified xsi:type="dcterms:W3CDTF">2026-11-01T10:47:30.177Z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