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 w:lineRule="auto"/>
      </w:pPr>
      <w:r>
        <w:rPr>
          <w:b/>
          <w:bCs/>
        </w:rPr>
        <w:t xml:space="preserve">Highlights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Simulated Cr(VI)-only data were often equivalent to adsorption-only fits within 10%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In the benchmark, total-Cr and solid-phase data raised rejection power to 80–96%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PHREEQC databases differ by 63–83 mV in the Cr(VI)/Cr(III) redox boundary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Exact study-level conformal intervals hold coverage but span over 3 log units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No unsafe accepted designs were observed in the simulated test cohorts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340"/>
      </w:pPr>
    </w:lvl>
    <w:lvl w:ilvl="1" w15:tentative="1">
      <w:start w:val="1"/>
      <w:numFmt w:val="bullet"/>
      <w:lvlText w:val="–"/>
      <w:lvlJc w:val="left"/>
      <w:pPr>
        <w:ind w:left="1134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Times New Roman" w:hAnsi="Times New Roman"/>
      <w:b w:val="false"/>
      <w:bCs w:val="false"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2026-10-31T20:20:01.252Z</dcterms:created>
  <dcterms:modified xsi:type="dcterms:W3CDTF">2026-10-31T20:20:01.252Z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