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 w:lineRule="auto"/>
      </w:pPr>
      <w:r>
        <w:rPr>
          <w:b/>
          <w:bCs/>
        </w:rPr>
        <w:t xml:space="preserve">Highlights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Loss of dissolved Cr(VI) on carbons is not, by itself, evidence of adsorption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Two PHREEQC databases agree on Cr(VI) speciation but not on Cr(VI)/Cr(III) redox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Isotherm fits with R² ≥ 0.95 concealed reduction shares of up to 56%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Langmuir q</w:t>
      </w:r>
      <w:r>
        <w:rPr>
          <w:vertAlign w:val="subscript"/>
        </w:rPr>
        <w:t xml:space="preserve">max</w:t>
      </w:r>
      <w:r>
        <w:t xml:space="preserve"> overstated true Cr(VI) adsorption capacity by up to three-fold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Study-aware conformal intervals restored nominal coverage for unseen studies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cs="Times New Roman" w:eastAsia="Times New Roman" w:hAnsi="Times New Roman"/>
      <w:b w:val="false"/>
      <w:bCs w:val="false"/>
      <w:i/>
      <w:i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2026-10-30T07:21:50.437Z</dcterms:created>
  <dcterms:modified xsi:type="dcterms:W3CDTF">2026-10-30T07:21:50.437Z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