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0606E" w14:textId="4523F08A" w:rsidR="000C6831" w:rsidRDefault="00E15023">
      <w:pPr>
        <w:spacing w:after="40"/>
        <w:jc w:val="center"/>
      </w:pPr>
      <w:r>
        <w:rPr>
          <w:b/>
          <w:bCs/>
          <w:sz w:val="30"/>
          <w:szCs w:val="30"/>
        </w:rPr>
        <w:t xml:space="preserve">An Explainable </w:t>
      </w:r>
      <w:r w:rsidR="00832E99">
        <w:rPr>
          <w:b/>
          <w:bCs/>
          <w:sz w:val="30"/>
          <w:szCs w:val="30"/>
        </w:rPr>
        <w:t>Ai Model</w:t>
      </w:r>
      <w:r>
        <w:rPr>
          <w:b/>
          <w:bCs/>
          <w:sz w:val="30"/>
          <w:szCs w:val="30"/>
        </w:rPr>
        <w:t>-Based Crop Yield Prediction and Decision Support System for Smart Agriculture</w:t>
      </w:r>
    </w:p>
    <w:p w14:paraId="4850606F" w14:textId="77777777" w:rsidR="000C6831" w:rsidRDefault="00E15023">
      <w:pPr>
        <w:spacing w:after="200"/>
        <w:jc w:val="center"/>
      </w:pPr>
      <w:r>
        <w:rPr>
          <w:i/>
          <w:iCs/>
          <w:color w:val="444444"/>
        </w:rPr>
        <w:t>A Base Paper Proposal  |  Domain: Agriculture + AI + Explainable AI  |  SDG 2 — Zero Hunger</w:t>
      </w:r>
    </w:p>
    <w:p w14:paraId="48506070" w14:textId="77777777" w:rsidR="000C6831" w:rsidRDefault="00E15023">
      <w:pPr>
        <w:pStyle w:val="Heading1"/>
        <w:spacing w:before="240" w:after="120"/>
      </w:pPr>
      <w:r>
        <w:rPr>
          <w:b/>
          <w:bCs/>
          <w:sz w:val="26"/>
          <w:szCs w:val="26"/>
        </w:rPr>
        <w:t>I. Literature Survey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
        <w:gridCol w:w="1458"/>
        <w:gridCol w:w="1361"/>
        <w:gridCol w:w="1261"/>
        <w:gridCol w:w="1890"/>
        <w:gridCol w:w="1160"/>
        <w:gridCol w:w="1522"/>
      </w:tblGrid>
      <w:tr w:rsidR="000C6831" w14:paraId="48506078" w14:textId="77777777">
        <w:trPr>
          <w:tblHeader/>
        </w:trPr>
        <w:tc>
          <w:tcPr>
            <w:tcW w:w="1100" w:type="dxa"/>
            <w:shd w:val="clear" w:color="auto" w:fill="1F4E79"/>
            <w:tcMar>
              <w:top w:w="60" w:type="dxa"/>
              <w:left w:w="80" w:type="dxa"/>
              <w:bottom w:w="60" w:type="dxa"/>
              <w:right w:w="80" w:type="dxa"/>
            </w:tcMar>
          </w:tcPr>
          <w:p w14:paraId="48506071" w14:textId="0B4599E0" w:rsidR="000C6831" w:rsidRDefault="00567562">
            <w:r>
              <w:rPr>
                <w:b/>
                <w:bCs/>
                <w:color w:val="FFFFFF"/>
                <w:sz w:val="18"/>
                <w:szCs w:val="18"/>
              </w:rPr>
              <w:t>68-</w:t>
            </w:r>
          </w:p>
        </w:tc>
        <w:tc>
          <w:tcPr>
            <w:tcW w:w="1500" w:type="dxa"/>
            <w:shd w:val="clear" w:color="auto" w:fill="1F4E79"/>
            <w:tcMar>
              <w:top w:w="60" w:type="dxa"/>
              <w:left w:w="80" w:type="dxa"/>
              <w:bottom w:w="60" w:type="dxa"/>
              <w:right w:w="80" w:type="dxa"/>
            </w:tcMar>
          </w:tcPr>
          <w:p w14:paraId="48506072" w14:textId="77777777" w:rsidR="000C6831" w:rsidRDefault="00E15023">
            <w:r>
              <w:rPr>
                <w:b/>
                <w:bCs/>
                <w:color w:val="FFFFFF"/>
                <w:sz w:val="18"/>
                <w:szCs w:val="18"/>
              </w:rPr>
              <w:t>Objective</w:t>
            </w:r>
          </w:p>
        </w:tc>
        <w:tc>
          <w:tcPr>
            <w:tcW w:w="1500" w:type="dxa"/>
            <w:shd w:val="clear" w:color="auto" w:fill="1F4E79"/>
            <w:tcMar>
              <w:top w:w="60" w:type="dxa"/>
              <w:left w:w="80" w:type="dxa"/>
              <w:bottom w:w="60" w:type="dxa"/>
              <w:right w:w="80" w:type="dxa"/>
            </w:tcMar>
          </w:tcPr>
          <w:p w14:paraId="48506073" w14:textId="77777777" w:rsidR="000C6831" w:rsidRDefault="00E15023">
            <w:r>
              <w:rPr>
                <w:b/>
                <w:bCs/>
                <w:color w:val="FFFFFF"/>
                <w:sz w:val="18"/>
                <w:szCs w:val="18"/>
              </w:rPr>
              <w:t>Dataset Used</w:t>
            </w:r>
          </w:p>
        </w:tc>
        <w:tc>
          <w:tcPr>
            <w:tcW w:w="1300" w:type="dxa"/>
            <w:shd w:val="clear" w:color="auto" w:fill="1F4E79"/>
            <w:tcMar>
              <w:top w:w="60" w:type="dxa"/>
              <w:left w:w="80" w:type="dxa"/>
              <w:bottom w:w="60" w:type="dxa"/>
              <w:right w:w="80" w:type="dxa"/>
            </w:tcMar>
          </w:tcPr>
          <w:p w14:paraId="48506074" w14:textId="77777777" w:rsidR="000C6831" w:rsidRDefault="00E15023">
            <w:r>
              <w:rPr>
                <w:b/>
                <w:bCs/>
                <w:color w:val="FFFFFF"/>
                <w:sz w:val="18"/>
                <w:szCs w:val="18"/>
              </w:rPr>
              <w:t>ML/DL Method</w:t>
            </w:r>
          </w:p>
        </w:tc>
        <w:tc>
          <w:tcPr>
            <w:tcW w:w="1700" w:type="dxa"/>
            <w:shd w:val="clear" w:color="auto" w:fill="1F4E79"/>
            <w:tcMar>
              <w:top w:w="60" w:type="dxa"/>
              <w:left w:w="80" w:type="dxa"/>
              <w:bottom w:w="60" w:type="dxa"/>
              <w:right w:w="80" w:type="dxa"/>
            </w:tcMar>
          </w:tcPr>
          <w:p w14:paraId="48506075" w14:textId="77777777" w:rsidR="000C6831" w:rsidRDefault="00E15023">
            <w:r>
              <w:rPr>
                <w:b/>
                <w:bCs/>
                <w:color w:val="FFFFFF"/>
                <w:sz w:val="18"/>
                <w:szCs w:val="18"/>
              </w:rPr>
              <w:t>Key Findings</w:t>
            </w:r>
          </w:p>
        </w:tc>
        <w:tc>
          <w:tcPr>
            <w:tcW w:w="1000" w:type="dxa"/>
            <w:shd w:val="clear" w:color="auto" w:fill="1F4E79"/>
            <w:tcMar>
              <w:top w:w="60" w:type="dxa"/>
              <w:left w:w="80" w:type="dxa"/>
              <w:bottom w:w="60" w:type="dxa"/>
              <w:right w:w="80" w:type="dxa"/>
            </w:tcMar>
          </w:tcPr>
          <w:p w14:paraId="48506076" w14:textId="77777777" w:rsidR="000C6831" w:rsidRDefault="00E15023">
            <w:r>
              <w:rPr>
                <w:b/>
                <w:bCs/>
                <w:color w:val="FFFFFF"/>
                <w:sz w:val="18"/>
                <w:szCs w:val="18"/>
              </w:rPr>
              <w:t>Performance</w:t>
            </w:r>
          </w:p>
        </w:tc>
        <w:tc>
          <w:tcPr>
            <w:tcW w:w="1600" w:type="dxa"/>
            <w:shd w:val="clear" w:color="auto" w:fill="1F4E79"/>
            <w:tcMar>
              <w:top w:w="60" w:type="dxa"/>
              <w:left w:w="80" w:type="dxa"/>
              <w:bottom w:w="60" w:type="dxa"/>
              <w:right w:w="80" w:type="dxa"/>
            </w:tcMar>
          </w:tcPr>
          <w:p w14:paraId="48506077" w14:textId="77777777" w:rsidR="000C6831" w:rsidRDefault="00E15023">
            <w:r>
              <w:rPr>
                <w:b/>
                <w:bCs/>
                <w:color w:val="FFFFFF"/>
                <w:sz w:val="18"/>
                <w:szCs w:val="18"/>
              </w:rPr>
              <w:t>Limitations</w:t>
            </w:r>
          </w:p>
        </w:tc>
      </w:tr>
      <w:tr w:rsidR="000C6831" w14:paraId="48506080" w14:textId="77777777">
        <w:tc>
          <w:tcPr>
            <w:tcW w:w="1100" w:type="dxa"/>
            <w:tcMar>
              <w:top w:w="60" w:type="dxa"/>
              <w:left w:w="80" w:type="dxa"/>
              <w:bottom w:w="60" w:type="dxa"/>
              <w:right w:w="80" w:type="dxa"/>
            </w:tcMar>
          </w:tcPr>
          <w:p w14:paraId="48506079" w14:textId="77777777" w:rsidR="000C6831" w:rsidRDefault="00E15023">
            <w:r>
              <w:rPr>
                <w:color w:val="000000"/>
                <w:sz w:val="17"/>
                <w:szCs w:val="17"/>
              </w:rPr>
              <w:t>Khaki &amp; Wang (2019)</w:t>
            </w:r>
          </w:p>
        </w:tc>
        <w:tc>
          <w:tcPr>
            <w:tcW w:w="1500" w:type="dxa"/>
            <w:tcMar>
              <w:top w:w="60" w:type="dxa"/>
              <w:left w:w="80" w:type="dxa"/>
              <w:bottom w:w="60" w:type="dxa"/>
              <w:right w:w="80" w:type="dxa"/>
            </w:tcMar>
          </w:tcPr>
          <w:p w14:paraId="4850607A" w14:textId="77777777" w:rsidR="000C6831" w:rsidRDefault="00E15023">
            <w:r>
              <w:rPr>
                <w:color w:val="000000"/>
                <w:sz w:val="17"/>
                <w:szCs w:val="17"/>
              </w:rPr>
              <w:t>Predict corn yield, check yield, and yield difference from genotype and environment data using a deep neural network.</w:t>
            </w:r>
          </w:p>
        </w:tc>
        <w:tc>
          <w:tcPr>
            <w:tcW w:w="1500" w:type="dxa"/>
            <w:tcMar>
              <w:top w:w="60" w:type="dxa"/>
              <w:left w:w="80" w:type="dxa"/>
              <w:bottom w:w="60" w:type="dxa"/>
              <w:right w:w="80" w:type="dxa"/>
            </w:tcMar>
          </w:tcPr>
          <w:p w14:paraId="4850607B" w14:textId="77777777" w:rsidR="000C6831" w:rsidRDefault="00E15023">
            <w:r>
              <w:rPr>
                <w:color w:val="000000"/>
                <w:sz w:val="17"/>
                <w:szCs w:val="17"/>
              </w:rPr>
              <w:t>2018 Syngenta Crop Challenge: 2,267 hybrids, 2,247 locations, 2001–2016 (≈148,452 samples).</w:t>
            </w:r>
          </w:p>
        </w:tc>
        <w:tc>
          <w:tcPr>
            <w:tcW w:w="1300" w:type="dxa"/>
            <w:tcMar>
              <w:top w:w="60" w:type="dxa"/>
              <w:left w:w="80" w:type="dxa"/>
              <w:bottom w:w="60" w:type="dxa"/>
              <w:right w:w="80" w:type="dxa"/>
            </w:tcMar>
          </w:tcPr>
          <w:p w14:paraId="4850607C" w14:textId="77777777" w:rsidR="000C6831" w:rsidRDefault="00E15023">
            <w:r>
              <w:rPr>
                <w:color w:val="000000"/>
                <w:sz w:val="17"/>
                <w:szCs w:val="17"/>
              </w:rPr>
              <w:t>Two 21-layer DNNs (yield, check yield) with residual shortcuts and batch normalization; benchmarked against Lasso, shallow NN, regression tree.</w:t>
            </w:r>
          </w:p>
        </w:tc>
        <w:tc>
          <w:tcPr>
            <w:tcW w:w="1700" w:type="dxa"/>
            <w:tcMar>
              <w:top w:w="60" w:type="dxa"/>
              <w:left w:w="80" w:type="dxa"/>
              <w:bottom w:w="60" w:type="dxa"/>
              <w:right w:w="80" w:type="dxa"/>
            </w:tcMar>
          </w:tcPr>
          <w:p w14:paraId="4850607D" w14:textId="77777777" w:rsidR="000C6831" w:rsidRDefault="00E15023">
            <w:r>
              <w:rPr>
                <w:color w:val="000000"/>
                <w:sz w:val="17"/>
                <w:szCs w:val="17"/>
              </w:rPr>
              <w:t>Environmental variables (weather + soil) explained yield variation more than genotype; guided-backpropagation feature selection reduced markers to 50 without accuracy loss.</w:t>
            </w:r>
          </w:p>
        </w:tc>
        <w:tc>
          <w:tcPr>
            <w:tcW w:w="1000" w:type="dxa"/>
            <w:tcMar>
              <w:top w:w="60" w:type="dxa"/>
              <w:left w:w="80" w:type="dxa"/>
              <w:bottom w:w="60" w:type="dxa"/>
              <w:right w:w="80" w:type="dxa"/>
            </w:tcMar>
          </w:tcPr>
          <w:p w14:paraId="4850607E" w14:textId="77777777" w:rsidR="000C6831" w:rsidRDefault="00E15023">
            <w:r>
              <w:rPr>
                <w:color w:val="000000"/>
                <w:sz w:val="17"/>
                <w:szCs w:val="17"/>
              </w:rPr>
              <w:t>Validation RMSE ≈ 12.79 (≈11–12% of mean yield); correlation ≈ 81.91%.</w:t>
            </w:r>
          </w:p>
        </w:tc>
        <w:tc>
          <w:tcPr>
            <w:tcW w:w="1600" w:type="dxa"/>
            <w:tcMar>
              <w:top w:w="60" w:type="dxa"/>
              <w:left w:w="80" w:type="dxa"/>
              <w:bottom w:w="60" w:type="dxa"/>
              <w:right w:w="80" w:type="dxa"/>
            </w:tcMar>
          </w:tcPr>
          <w:p w14:paraId="4850607F" w14:textId="77777777" w:rsidR="000C6831" w:rsidRDefault="00E15023">
            <w:r>
              <w:rPr>
                <w:color w:val="000000"/>
                <w:sz w:val="17"/>
                <w:szCs w:val="17"/>
              </w:rPr>
              <w:t>Black-box model; feature ranking only (no per-prediction explanation); no uncertainty quantification; no farmer-facing output of any kind.</w:t>
            </w:r>
          </w:p>
        </w:tc>
      </w:tr>
      <w:tr w:rsidR="000C6831" w14:paraId="48506088" w14:textId="77777777">
        <w:tc>
          <w:tcPr>
            <w:tcW w:w="1100" w:type="dxa"/>
            <w:tcMar>
              <w:top w:w="60" w:type="dxa"/>
              <w:left w:w="80" w:type="dxa"/>
              <w:bottom w:w="60" w:type="dxa"/>
              <w:right w:w="80" w:type="dxa"/>
            </w:tcMar>
          </w:tcPr>
          <w:p w14:paraId="48506081" w14:textId="77777777" w:rsidR="000C6831" w:rsidRDefault="00E15023">
            <w:r>
              <w:rPr>
                <w:color w:val="000000"/>
                <w:sz w:val="17"/>
                <w:szCs w:val="17"/>
              </w:rPr>
              <w:t>Jhajharia et al. (2023)</w:t>
            </w:r>
          </w:p>
        </w:tc>
        <w:tc>
          <w:tcPr>
            <w:tcW w:w="1500" w:type="dxa"/>
            <w:tcMar>
              <w:top w:w="60" w:type="dxa"/>
              <w:left w:w="80" w:type="dxa"/>
              <w:bottom w:w="60" w:type="dxa"/>
              <w:right w:w="80" w:type="dxa"/>
            </w:tcMar>
          </w:tcPr>
          <w:p w14:paraId="48506082" w14:textId="77777777" w:rsidR="000C6831" w:rsidRDefault="00E15023">
            <w:r>
              <w:rPr>
                <w:color w:val="000000"/>
                <w:sz w:val="17"/>
                <w:szCs w:val="17"/>
              </w:rPr>
              <w:t>Predict yield (production/area) for five crops across 32 districts of Rajasthan using multiple ML/DL models.</w:t>
            </w:r>
          </w:p>
        </w:tc>
        <w:tc>
          <w:tcPr>
            <w:tcW w:w="1500" w:type="dxa"/>
            <w:tcMar>
              <w:top w:w="60" w:type="dxa"/>
              <w:left w:w="80" w:type="dxa"/>
              <w:bottom w:w="60" w:type="dxa"/>
              <w:right w:w="80" w:type="dxa"/>
            </w:tcMar>
          </w:tcPr>
          <w:p w14:paraId="48506083" w14:textId="77777777" w:rsidR="000C6831" w:rsidRDefault="00E15023">
            <w:r>
              <w:rPr>
                <w:color w:val="000000"/>
                <w:sz w:val="17"/>
                <w:szCs w:val="17"/>
              </w:rPr>
              <w:t>Merged government crop, rainfall, and soil records, 1997–2019 (3,664 rows, 71 features after encoding).</w:t>
            </w:r>
          </w:p>
        </w:tc>
        <w:tc>
          <w:tcPr>
            <w:tcW w:w="1300" w:type="dxa"/>
            <w:tcMar>
              <w:top w:w="60" w:type="dxa"/>
              <w:left w:w="80" w:type="dxa"/>
              <w:bottom w:w="60" w:type="dxa"/>
              <w:right w:w="80" w:type="dxa"/>
            </w:tcMar>
          </w:tcPr>
          <w:p w14:paraId="48506084" w14:textId="77777777" w:rsidR="000C6831" w:rsidRDefault="00E15023">
            <w:r>
              <w:rPr>
                <w:color w:val="000000"/>
                <w:sz w:val="17"/>
                <w:szCs w:val="17"/>
              </w:rPr>
              <w:t>Random Forest, SVM, Gradient Descent, LSTM, Lasso Regression.</w:t>
            </w:r>
          </w:p>
        </w:tc>
        <w:tc>
          <w:tcPr>
            <w:tcW w:w="1700" w:type="dxa"/>
            <w:tcMar>
              <w:top w:w="60" w:type="dxa"/>
              <w:left w:w="80" w:type="dxa"/>
              <w:bottom w:w="60" w:type="dxa"/>
              <w:right w:w="80" w:type="dxa"/>
            </w:tcMar>
          </w:tcPr>
          <w:p w14:paraId="48506085" w14:textId="77777777" w:rsidR="000C6831" w:rsidRDefault="00E15023">
            <w:r>
              <w:rPr>
                <w:color w:val="000000"/>
                <w:sz w:val="17"/>
                <w:szCs w:val="17"/>
              </w:rPr>
              <w:t>Random Forest consistently outperformed the deep LSTM model, which was constrained by the limited dataset size.</w:t>
            </w:r>
          </w:p>
        </w:tc>
        <w:tc>
          <w:tcPr>
            <w:tcW w:w="1000" w:type="dxa"/>
            <w:tcMar>
              <w:top w:w="60" w:type="dxa"/>
              <w:left w:w="80" w:type="dxa"/>
              <w:bottom w:w="60" w:type="dxa"/>
              <w:right w:w="80" w:type="dxa"/>
            </w:tcMar>
          </w:tcPr>
          <w:p w14:paraId="48506086" w14:textId="77777777" w:rsidR="000C6831" w:rsidRDefault="00E15023">
            <w:r>
              <w:rPr>
                <w:color w:val="000000"/>
                <w:sz w:val="17"/>
                <w:szCs w:val="17"/>
              </w:rPr>
              <w:t>Random Forest: R² = 0.963–0.971, RMSE ≈ 0.032–0.036, MAE ≈ 0.021–0.025.</w:t>
            </w:r>
          </w:p>
        </w:tc>
        <w:tc>
          <w:tcPr>
            <w:tcW w:w="1600" w:type="dxa"/>
            <w:tcMar>
              <w:top w:w="60" w:type="dxa"/>
              <w:left w:w="80" w:type="dxa"/>
              <w:bottom w:w="60" w:type="dxa"/>
              <w:right w:w="80" w:type="dxa"/>
            </w:tcMar>
          </w:tcPr>
          <w:p w14:paraId="48506087" w14:textId="77777777" w:rsidR="000C6831" w:rsidRDefault="00E15023">
            <w:r>
              <w:rPr>
                <w:color w:val="000000"/>
                <w:sz w:val="17"/>
                <w:szCs w:val="17"/>
              </w:rPr>
              <w:t>Only global RF feature importance reported (no per-farmer/local explanation); no recommendation layer; no risk/confidence output.</w:t>
            </w:r>
          </w:p>
        </w:tc>
      </w:tr>
      <w:tr w:rsidR="000C6831" w14:paraId="48506090" w14:textId="77777777">
        <w:tc>
          <w:tcPr>
            <w:tcW w:w="1100" w:type="dxa"/>
            <w:tcMar>
              <w:top w:w="60" w:type="dxa"/>
              <w:left w:w="80" w:type="dxa"/>
              <w:bottom w:w="60" w:type="dxa"/>
              <w:right w:w="80" w:type="dxa"/>
            </w:tcMar>
          </w:tcPr>
          <w:p w14:paraId="48506089" w14:textId="77777777" w:rsidR="000C6831" w:rsidRDefault="00E15023">
            <w:r>
              <w:rPr>
                <w:color w:val="000000"/>
                <w:sz w:val="17"/>
                <w:szCs w:val="17"/>
              </w:rPr>
              <w:t>Elavarasan &amp; Vincent (2020)</w:t>
            </w:r>
          </w:p>
        </w:tc>
        <w:tc>
          <w:tcPr>
            <w:tcW w:w="1500" w:type="dxa"/>
            <w:tcMar>
              <w:top w:w="60" w:type="dxa"/>
              <w:left w:w="80" w:type="dxa"/>
              <w:bottom w:w="60" w:type="dxa"/>
              <w:right w:w="80" w:type="dxa"/>
            </w:tcMar>
          </w:tcPr>
          <w:p w14:paraId="4850608A" w14:textId="77777777" w:rsidR="000C6831" w:rsidRDefault="00E15023">
            <w:r>
              <w:rPr>
                <w:color w:val="000000"/>
                <w:sz w:val="17"/>
                <w:szCs w:val="17"/>
              </w:rPr>
              <w:t>Predict paddy yield using climate, soil, and groundwater parameters via a reinforcement-learning-based deep model.</w:t>
            </w:r>
          </w:p>
        </w:tc>
        <w:tc>
          <w:tcPr>
            <w:tcW w:w="1500" w:type="dxa"/>
            <w:tcMar>
              <w:top w:w="60" w:type="dxa"/>
              <w:left w:w="80" w:type="dxa"/>
              <w:bottom w:w="60" w:type="dxa"/>
              <w:right w:w="80" w:type="dxa"/>
            </w:tcMar>
          </w:tcPr>
          <w:p w14:paraId="4850608B" w14:textId="77777777" w:rsidR="000C6831" w:rsidRDefault="00E15023">
            <w:r>
              <w:rPr>
                <w:color w:val="000000"/>
                <w:sz w:val="17"/>
                <w:szCs w:val="17"/>
              </w:rPr>
              <w:t>35-year custom dataset, 6 blocks of Vellore district, Tamil Nadu, India (38 parameters; IMD + Dept. of Agriculture sources).</w:t>
            </w:r>
          </w:p>
        </w:tc>
        <w:tc>
          <w:tcPr>
            <w:tcW w:w="1300" w:type="dxa"/>
            <w:tcMar>
              <w:top w:w="60" w:type="dxa"/>
              <w:left w:w="80" w:type="dxa"/>
              <w:bottom w:w="60" w:type="dxa"/>
              <w:right w:w="80" w:type="dxa"/>
            </w:tcMar>
          </w:tcPr>
          <w:p w14:paraId="4850608C" w14:textId="77777777" w:rsidR="000C6831" w:rsidRDefault="00E15023">
            <w:r>
              <w:rPr>
                <w:color w:val="000000"/>
                <w:sz w:val="17"/>
                <w:szCs w:val="17"/>
              </w:rPr>
              <w:t>Deep Recurrent Q-Network (RNN + Deep Q-Learning), benchmarked against Deep LSTM, ANN, Gradient Boosting, Random Forest, and other deep baselines.</w:t>
            </w:r>
          </w:p>
        </w:tc>
        <w:tc>
          <w:tcPr>
            <w:tcW w:w="1700" w:type="dxa"/>
            <w:tcMar>
              <w:top w:w="60" w:type="dxa"/>
              <w:left w:w="80" w:type="dxa"/>
              <w:bottom w:w="60" w:type="dxa"/>
              <w:right w:w="80" w:type="dxa"/>
            </w:tcMar>
          </w:tcPr>
          <w:p w14:paraId="4850608D" w14:textId="77777777" w:rsidR="000C6831" w:rsidRDefault="00E15023">
            <w:r>
              <w:rPr>
                <w:color w:val="000000"/>
                <w:sz w:val="17"/>
                <w:szCs w:val="17"/>
              </w:rPr>
              <w:t>RL-based sequential modelling removed the need for manual feature extraction and matched the true yield distribution more closely than baselines.</w:t>
            </w:r>
          </w:p>
        </w:tc>
        <w:tc>
          <w:tcPr>
            <w:tcW w:w="1000" w:type="dxa"/>
            <w:tcMar>
              <w:top w:w="60" w:type="dxa"/>
              <w:left w:w="80" w:type="dxa"/>
              <w:bottom w:w="60" w:type="dxa"/>
              <w:right w:w="80" w:type="dxa"/>
            </w:tcMar>
          </w:tcPr>
          <w:p w14:paraId="4850608E" w14:textId="77777777" w:rsidR="000C6831" w:rsidRDefault="00E15023">
            <w:r>
              <w:rPr>
                <w:color w:val="000000"/>
                <w:sz w:val="17"/>
                <w:szCs w:val="17"/>
              </w:rPr>
              <w:t>93.7% prediction accuracy; MAPE 17%.</w:t>
            </w:r>
          </w:p>
        </w:tc>
        <w:tc>
          <w:tcPr>
            <w:tcW w:w="1600" w:type="dxa"/>
            <w:tcMar>
              <w:top w:w="60" w:type="dxa"/>
              <w:left w:w="80" w:type="dxa"/>
              <w:bottom w:w="60" w:type="dxa"/>
              <w:right w:w="80" w:type="dxa"/>
            </w:tcMar>
          </w:tcPr>
          <w:p w14:paraId="4850608F" w14:textId="77777777" w:rsidR="000C6831" w:rsidRDefault="00E15023">
            <w:r>
              <w:rPr>
                <w:color w:val="000000"/>
                <w:sz w:val="17"/>
                <w:szCs w:val="17"/>
              </w:rPr>
              <w:t>Zero explainability of any kind; no interpretability or uncertainty quantification; no decision-support or recommendation component.</w:t>
            </w:r>
          </w:p>
        </w:tc>
      </w:tr>
      <w:tr w:rsidR="000C6831" w14:paraId="48506098" w14:textId="77777777">
        <w:tc>
          <w:tcPr>
            <w:tcW w:w="1100" w:type="dxa"/>
            <w:tcMar>
              <w:top w:w="60" w:type="dxa"/>
              <w:left w:w="80" w:type="dxa"/>
              <w:bottom w:w="60" w:type="dxa"/>
              <w:right w:w="80" w:type="dxa"/>
            </w:tcMar>
          </w:tcPr>
          <w:p w14:paraId="48506091" w14:textId="77777777" w:rsidR="000C6831" w:rsidRDefault="00E15023">
            <w:r>
              <w:rPr>
                <w:color w:val="000000"/>
                <w:sz w:val="17"/>
                <w:szCs w:val="17"/>
              </w:rPr>
              <w:t>Jabed &amp; Murad (2024)</w:t>
            </w:r>
          </w:p>
        </w:tc>
        <w:tc>
          <w:tcPr>
            <w:tcW w:w="1500" w:type="dxa"/>
            <w:tcMar>
              <w:top w:w="60" w:type="dxa"/>
              <w:left w:w="80" w:type="dxa"/>
              <w:bottom w:w="60" w:type="dxa"/>
              <w:right w:w="80" w:type="dxa"/>
            </w:tcMar>
          </w:tcPr>
          <w:p w14:paraId="48506092" w14:textId="77777777" w:rsidR="000C6831" w:rsidRDefault="00E15023">
            <w:r>
              <w:rPr>
                <w:color w:val="000000"/>
                <w:sz w:val="17"/>
                <w:szCs w:val="17"/>
              </w:rPr>
              <w:t>Systematically review ML/DL approaches to crop yield prediction (2018–2023) via PRISMA methodology.</w:t>
            </w:r>
          </w:p>
        </w:tc>
        <w:tc>
          <w:tcPr>
            <w:tcW w:w="1500" w:type="dxa"/>
            <w:tcMar>
              <w:top w:w="60" w:type="dxa"/>
              <w:left w:w="80" w:type="dxa"/>
              <w:bottom w:w="60" w:type="dxa"/>
              <w:right w:w="80" w:type="dxa"/>
            </w:tcMar>
          </w:tcPr>
          <w:p w14:paraId="48506093" w14:textId="77777777" w:rsidR="000C6831" w:rsidRDefault="00E15023">
            <w:r>
              <w:rPr>
                <w:color w:val="000000"/>
                <w:sz w:val="17"/>
                <w:szCs w:val="17"/>
              </w:rPr>
              <w:t>115 peer-reviewed articles (PRISMA-selected), spanning region-specific datasets worldwide.</w:t>
            </w:r>
          </w:p>
        </w:tc>
        <w:tc>
          <w:tcPr>
            <w:tcW w:w="1300" w:type="dxa"/>
            <w:tcMar>
              <w:top w:w="60" w:type="dxa"/>
              <w:left w:w="80" w:type="dxa"/>
              <w:bottom w:w="60" w:type="dxa"/>
              <w:right w:w="80" w:type="dxa"/>
            </w:tcMar>
          </w:tcPr>
          <w:p w14:paraId="48506094" w14:textId="77777777" w:rsidR="000C6831" w:rsidRDefault="00E15023">
            <w:r>
              <w:rPr>
                <w:color w:val="000000"/>
                <w:sz w:val="17"/>
                <w:szCs w:val="17"/>
              </w:rPr>
              <w:t>Meta-synthesis cataloguing RF, SVM, ANN (classical) and CNN, LSTM, DNN and hybrids (deep learning).</w:t>
            </w:r>
          </w:p>
        </w:tc>
        <w:tc>
          <w:tcPr>
            <w:tcW w:w="1700" w:type="dxa"/>
            <w:tcMar>
              <w:top w:w="60" w:type="dxa"/>
              <w:left w:w="80" w:type="dxa"/>
              <w:bottom w:w="60" w:type="dxa"/>
              <w:right w:w="80" w:type="dxa"/>
            </w:tcMar>
          </w:tcPr>
          <w:p w14:paraId="48506095" w14:textId="77777777" w:rsidR="000C6831" w:rsidRDefault="00E15023">
            <w:r>
              <w:rPr>
                <w:color w:val="000000"/>
                <w:sz w:val="17"/>
                <w:szCs w:val="17"/>
              </w:rPr>
              <w:t>RF (40%) and CNN (41%) are the most-used algorithms; hybrid CNN+LSTM/RNN/DNN models outperform standalone models; meteorological features used most (206 studies).</w:t>
            </w:r>
          </w:p>
        </w:tc>
        <w:tc>
          <w:tcPr>
            <w:tcW w:w="1000" w:type="dxa"/>
            <w:tcMar>
              <w:top w:w="60" w:type="dxa"/>
              <w:left w:w="80" w:type="dxa"/>
              <w:bottom w:w="60" w:type="dxa"/>
              <w:right w:w="80" w:type="dxa"/>
            </w:tcMar>
          </w:tcPr>
          <w:p w14:paraId="48506096" w14:textId="77777777" w:rsidR="000C6831" w:rsidRDefault="00E15023">
            <w:r>
              <w:rPr>
                <w:color w:val="000000"/>
                <w:sz w:val="17"/>
                <w:szCs w:val="17"/>
              </w:rPr>
              <w:t>Not applicable (review); cites hybrid CNN-DNN R² = 0.87 as representative best practice.</w:t>
            </w:r>
          </w:p>
        </w:tc>
        <w:tc>
          <w:tcPr>
            <w:tcW w:w="1600" w:type="dxa"/>
            <w:tcMar>
              <w:top w:w="60" w:type="dxa"/>
              <w:left w:w="80" w:type="dxa"/>
              <w:bottom w:w="60" w:type="dxa"/>
              <w:right w:w="80" w:type="dxa"/>
            </w:tcMar>
          </w:tcPr>
          <w:p w14:paraId="48506097" w14:textId="77777777" w:rsidR="000C6831" w:rsidRDefault="00E15023">
            <w:r>
              <w:rPr>
                <w:color w:val="000000"/>
                <w:sz w:val="17"/>
                <w:szCs w:val="17"/>
              </w:rPr>
              <w:t>Explicitly flags explainability and decision-support integration as open, largely unaddressed needs across the entire reviewed corpus — no counter-example found.</w:t>
            </w:r>
          </w:p>
        </w:tc>
      </w:tr>
    </w:tbl>
    <w:p w14:paraId="48506099" w14:textId="77777777" w:rsidR="000C6831" w:rsidRDefault="000C6831">
      <w:pPr>
        <w:spacing w:before="160"/>
      </w:pPr>
    </w:p>
    <w:p w14:paraId="4850609A" w14:textId="77777777" w:rsidR="000C6831" w:rsidRDefault="00E15023">
      <w:pPr>
        <w:pStyle w:val="Heading1"/>
        <w:spacing w:before="240" w:after="120"/>
      </w:pPr>
      <w:r>
        <w:rPr>
          <w:b/>
          <w:bCs/>
          <w:sz w:val="26"/>
          <w:szCs w:val="26"/>
        </w:rPr>
        <w:t>II. Research Gap</w:t>
      </w:r>
    </w:p>
    <w:p w14:paraId="4850609B" w14:textId="77777777" w:rsidR="000C6831" w:rsidRDefault="00E15023">
      <w:pPr>
        <w:spacing w:after="120" w:line="276" w:lineRule="auto"/>
        <w:jc w:val="both"/>
      </w:pPr>
      <w:r>
        <w:rPr>
          <w:sz w:val="21"/>
          <w:szCs w:val="21"/>
        </w:rPr>
        <w:t>Existing crop yield prediction research — including the four base papers reviewed above — treats yield estimation purely as an accuracy-maximization task. None combine prediction with defensible, per-instance explainability, and none convert model output into an actionable, farmer-facing decision-support layer. Table II maps each limitation category to the specific mechanism by which the proposed system resolves it.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4000"/>
      </w:tblGrid>
      <w:tr w:rsidR="000C6831" w14:paraId="4850609F" w14:textId="77777777">
        <w:trPr>
          <w:tblHeader/>
        </w:trPr>
        <w:tc>
          <w:tcPr>
            <w:tcW w:w="1900" w:type="dxa"/>
            <w:shd w:val="clear" w:color="auto" w:fill="1F4E79"/>
            <w:tcMar>
              <w:top w:w="60" w:type="dxa"/>
              <w:left w:w="80" w:type="dxa"/>
              <w:bottom w:w="60" w:type="dxa"/>
              <w:right w:w="80" w:type="dxa"/>
            </w:tcMar>
          </w:tcPr>
          <w:p w14:paraId="4850609C" w14:textId="77777777" w:rsidR="000C6831" w:rsidRDefault="00E15023">
            <w:r>
              <w:rPr>
                <w:b/>
                <w:bCs/>
                <w:color w:val="FFFFFF"/>
                <w:sz w:val="18"/>
                <w:szCs w:val="18"/>
              </w:rPr>
              <w:lastRenderedPageBreak/>
              <w:t>Limitation Category</w:t>
            </w:r>
          </w:p>
        </w:tc>
        <w:tc>
          <w:tcPr>
            <w:tcW w:w="4000" w:type="dxa"/>
            <w:shd w:val="clear" w:color="auto" w:fill="1F4E79"/>
            <w:tcMar>
              <w:top w:w="60" w:type="dxa"/>
              <w:left w:w="80" w:type="dxa"/>
              <w:bottom w:w="60" w:type="dxa"/>
              <w:right w:w="80" w:type="dxa"/>
            </w:tcMar>
          </w:tcPr>
          <w:p w14:paraId="4850609D" w14:textId="77777777" w:rsidR="000C6831" w:rsidRDefault="00E15023">
            <w:r>
              <w:rPr>
                <w:b/>
                <w:bCs/>
                <w:color w:val="FFFFFF"/>
                <w:sz w:val="18"/>
                <w:szCs w:val="18"/>
              </w:rPr>
              <w:t>What the Base Papers Show</w:t>
            </w:r>
          </w:p>
        </w:tc>
        <w:tc>
          <w:tcPr>
            <w:tcW w:w="4000" w:type="dxa"/>
            <w:shd w:val="clear" w:color="auto" w:fill="1F4E79"/>
            <w:tcMar>
              <w:top w:w="60" w:type="dxa"/>
              <w:left w:w="80" w:type="dxa"/>
              <w:bottom w:w="60" w:type="dxa"/>
              <w:right w:w="80" w:type="dxa"/>
            </w:tcMar>
          </w:tcPr>
          <w:p w14:paraId="4850609E" w14:textId="77777777" w:rsidR="000C6831" w:rsidRDefault="00E15023">
            <w:r>
              <w:rPr>
                <w:b/>
                <w:bCs/>
                <w:color w:val="FFFFFF"/>
                <w:sz w:val="18"/>
                <w:szCs w:val="18"/>
              </w:rPr>
              <w:t>How the Proposed System Solves It</w:t>
            </w:r>
          </w:p>
        </w:tc>
      </w:tr>
      <w:tr w:rsidR="000C6831" w14:paraId="485060A3" w14:textId="77777777">
        <w:tc>
          <w:tcPr>
            <w:tcW w:w="1900" w:type="dxa"/>
            <w:tcMar>
              <w:top w:w="60" w:type="dxa"/>
              <w:left w:w="80" w:type="dxa"/>
              <w:bottom w:w="60" w:type="dxa"/>
              <w:right w:w="80" w:type="dxa"/>
            </w:tcMar>
          </w:tcPr>
          <w:p w14:paraId="485060A0" w14:textId="77777777" w:rsidR="000C6831" w:rsidRDefault="00E15023">
            <w:r>
              <w:rPr>
                <w:color w:val="000000"/>
                <w:sz w:val="17"/>
                <w:szCs w:val="17"/>
              </w:rPr>
              <w:t>Author-Stated Limitations</w:t>
            </w:r>
          </w:p>
        </w:tc>
        <w:tc>
          <w:tcPr>
            <w:tcW w:w="4000" w:type="dxa"/>
            <w:tcMar>
              <w:top w:w="60" w:type="dxa"/>
              <w:left w:w="80" w:type="dxa"/>
              <w:bottom w:w="60" w:type="dxa"/>
              <w:right w:w="80" w:type="dxa"/>
            </w:tcMar>
          </w:tcPr>
          <w:p w14:paraId="485060A1" w14:textId="77777777" w:rsidR="000C6831" w:rsidRDefault="00E15023">
            <w:r>
              <w:rPr>
                <w:color w:val="000000"/>
                <w:sz w:val="17"/>
                <w:szCs w:val="17"/>
              </w:rPr>
              <w:t>Khaki &amp; Wang admit no uncertainty quantification; Jhajharia et al. admit no cross-validation rigor; Elavarasan &amp; Vincent admit no interpretability or ablation.</w:t>
            </w:r>
          </w:p>
        </w:tc>
        <w:tc>
          <w:tcPr>
            <w:tcW w:w="4000" w:type="dxa"/>
            <w:tcMar>
              <w:top w:w="60" w:type="dxa"/>
              <w:left w:w="80" w:type="dxa"/>
              <w:bottom w:w="60" w:type="dxa"/>
              <w:right w:w="80" w:type="dxa"/>
            </w:tcMar>
          </w:tcPr>
          <w:p w14:paraId="485060A2" w14:textId="77777777" w:rsidR="000C6831" w:rsidRDefault="00E15023">
            <w:r>
              <w:rPr>
                <w:color w:val="000000"/>
                <w:sz w:val="17"/>
                <w:szCs w:val="17"/>
              </w:rPr>
              <w:t>Adds SHAP-based per-prediction explanation, a documented k-fold cross-validation protocol, and a confidence/risk score alongside every prediction.</w:t>
            </w:r>
          </w:p>
        </w:tc>
      </w:tr>
      <w:tr w:rsidR="000C6831" w14:paraId="485060A7" w14:textId="77777777">
        <w:tc>
          <w:tcPr>
            <w:tcW w:w="1900" w:type="dxa"/>
            <w:tcMar>
              <w:top w:w="60" w:type="dxa"/>
              <w:left w:w="80" w:type="dxa"/>
              <w:bottom w:w="60" w:type="dxa"/>
              <w:right w:w="80" w:type="dxa"/>
            </w:tcMar>
          </w:tcPr>
          <w:p w14:paraId="485060A4" w14:textId="77777777" w:rsidR="000C6831" w:rsidRDefault="00E15023">
            <w:r>
              <w:rPr>
                <w:color w:val="000000"/>
                <w:sz w:val="17"/>
                <w:szCs w:val="17"/>
              </w:rPr>
              <w:t>Hidden Limitations</w:t>
            </w:r>
          </w:p>
        </w:tc>
        <w:tc>
          <w:tcPr>
            <w:tcW w:w="4000" w:type="dxa"/>
            <w:tcMar>
              <w:top w:w="60" w:type="dxa"/>
              <w:left w:w="80" w:type="dxa"/>
              <w:bottom w:w="60" w:type="dxa"/>
              <w:right w:w="80" w:type="dxa"/>
            </w:tcMar>
          </w:tcPr>
          <w:p w14:paraId="485060A5" w14:textId="77777777" w:rsidR="000C6831" w:rsidRDefault="00E15023">
            <w:r>
              <w:rPr>
                <w:color w:val="000000"/>
                <w:sz w:val="17"/>
                <w:szCs w:val="17"/>
              </w:rPr>
              <w:t>None of the four papers distinguish correlational feature importance from causal effect — if extended naively into "recommendations," this risks giving farmers actionable advice that is not causally justified.</w:t>
            </w:r>
          </w:p>
        </w:tc>
        <w:tc>
          <w:tcPr>
            <w:tcW w:w="4000" w:type="dxa"/>
            <w:tcMar>
              <w:top w:w="60" w:type="dxa"/>
              <w:left w:w="80" w:type="dxa"/>
              <w:bottom w:w="60" w:type="dxa"/>
              <w:right w:w="80" w:type="dxa"/>
            </w:tcMar>
          </w:tcPr>
          <w:p w14:paraId="485060A6" w14:textId="77777777" w:rsidR="000C6831" w:rsidRDefault="00E15023">
            <w:r>
              <w:rPr>
                <w:color w:val="000000"/>
                <w:sz w:val="17"/>
                <w:szCs w:val="17"/>
              </w:rPr>
              <w:t>Frames SHAP output explicitly as attribution-based insight, cross-checked against partial-dependence trends and agronomic domain rules before being surfaced as a recommendation — avoiding unjustified causal claims.</w:t>
            </w:r>
          </w:p>
        </w:tc>
      </w:tr>
      <w:tr w:rsidR="000C6831" w14:paraId="485060AB" w14:textId="77777777">
        <w:tc>
          <w:tcPr>
            <w:tcW w:w="1900" w:type="dxa"/>
            <w:tcMar>
              <w:top w:w="60" w:type="dxa"/>
              <w:left w:w="80" w:type="dxa"/>
              <w:bottom w:w="60" w:type="dxa"/>
              <w:right w:w="80" w:type="dxa"/>
            </w:tcMar>
          </w:tcPr>
          <w:p w14:paraId="485060A8" w14:textId="77777777" w:rsidR="000C6831" w:rsidRDefault="00E15023">
            <w:r>
              <w:rPr>
                <w:color w:val="000000"/>
                <w:sz w:val="17"/>
                <w:szCs w:val="17"/>
              </w:rPr>
              <w:t>Technical Limitations</w:t>
            </w:r>
          </w:p>
        </w:tc>
        <w:tc>
          <w:tcPr>
            <w:tcW w:w="4000" w:type="dxa"/>
            <w:tcMar>
              <w:top w:w="60" w:type="dxa"/>
              <w:left w:w="80" w:type="dxa"/>
              <w:bottom w:w="60" w:type="dxa"/>
              <w:right w:w="80" w:type="dxa"/>
            </w:tcMar>
          </w:tcPr>
          <w:p w14:paraId="485060A9" w14:textId="77777777" w:rsidR="000C6831" w:rsidRDefault="00E15023">
            <w:r>
              <w:rPr>
                <w:color w:val="000000"/>
                <w:sz w:val="17"/>
                <w:szCs w:val="17"/>
              </w:rPr>
              <w:t>No paper reports both global and local (per-instance) feature importance; Jhajharia et al. reports only global RF importance.</w:t>
            </w:r>
          </w:p>
        </w:tc>
        <w:tc>
          <w:tcPr>
            <w:tcW w:w="4000" w:type="dxa"/>
            <w:tcMar>
              <w:top w:w="60" w:type="dxa"/>
              <w:left w:w="80" w:type="dxa"/>
              <w:bottom w:w="60" w:type="dxa"/>
              <w:right w:w="80" w:type="dxa"/>
            </w:tcMar>
          </w:tcPr>
          <w:p w14:paraId="485060AA" w14:textId="77777777" w:rsidR="000C6831" w:rsidRDefault="00E15023">
            <w:r>
              <w:rPr>
                <w:color w:val="000000"/>
                <w:sz w:val="17"/>
                <w:szCs w:val="17"/>
              </w:rPr>
              <w:t>SHAP natively supports both global (dataset-level) and local (single-prediction) explanations, satisfying Objective 5 directly.</w:t>
            </w:r>
          </w:p>
        </w:tc>
      </w:tr>
      <w:tr w:rsidR="000C6831" w14:paraId="485060AF" w14:textId="77777777">
        <w:tc>
          <w:tcPr>
            <w:tcW w:w="1900" w:type="dxa"/>
            <w:tcMar>
              <w:top w:w="60" w:type="dxa"/>
              <w:left w:w="80" w:type="dxa"/>
              <w:bottom w:w="60" w:type="dxa"/>
              <w:right w:w="80" w:type="dxa"/>
            </w:tcMar>
          </w:tcPr>
          <w:p w14:paraId="485060AC" w14:textId="77777777" w:rsidR="000C6831" w:rsidRDefault="00E15023">
            <w:r>
              <w:rPr>
                <w:color w:val="000000"/>
                <w:sz w:val="17"/>
                <w:szCs w:val="17"/>
              </w:rPr>
              <w:t>Deployment Challenges</w:t>
            </w:r>
          </w:p>
        </w:tc>
        <w:tc>
          <w:tcPr>
            <w:tcW w:w="4000" w:type="dxa"/>
            <w:tcMar>
              <w:top w:w="60" w:type="dxa"/>
              <w:left w:w="80" w:type="dxa"/>
              <w:bottom w:w="60" w:type="dxa"/>
              <w:right w:w="80" w:type="dxa"/>
            </w:tcMar>
          </w:tcPr>
          <w:p w14:paraId="485060AD" w14:textId="77777777" w:rsidR="000C6831" w:rsidRDefault="00E15023">
            <w:r>
              <w:rPr>
                <w:color w:val="000000"/>
                <w:sz w:val="17"/>
                <w:szCs w:val="17"/>
              </w:rPr>
              <w:t>All four papers remain offline research prototypes; none include a dashboard, API, or farmer-facing interface.</w:t>
            </w:r>
          </w:p>
        </w:tc>
        <w:tc>
          <w:tcPr>
            <w:tcW w:w="4000" w:type="dxa"/>
            <w:tcMar>
              <w:top w:w="60" w:type="dxa"/>
              <w:left w:w="80" w:type="dxa"/>
              <w:bottom w:w="60" w:type="dxa"/>
              <w:right w:w="80" w:type="dxa"/>
            </w:tcMar>
          </w:tcPr>
          <w:p w14:paraId="485060AE" w14:textId="77777777" w:rsidR="000C6831" w:rsidRDefault="00E15023">
            <w:r>
              <w:rPr>
                <w:color w:val="000000"/>
                <w:sz w:val="17"/>
                <w:szCs w:val="17"/>
              </w:rPr>
              <w:t>Delivers an interactive dashboard (prediction, SHAP plots, actual-vs-predicted, residuals) — turning the model into a usable decision-support tool, not just a benchmark result.</w:t>
            </w:r>
          </w:p>
        </w:tc>
      </w:tr>
      <w:tr w:rsidR="000C6831" w14:paraId="485060B3" w14:textId="77777777">
        <w:tc>
          <w:tcPr>
            <w:tcW w:w="1900" w:type="dxa"/>
            <w:tcMar>
              <w:top w:w="60" w:type="dxa"/>
              <w:left w:w="80" w:type="dxa"/>
              <w:bottom w:w="60" w:type="dxa"/>
              <w:right w:w="80" w:type="dxa"/>
            </w:tcMar>
          </w:tcPr>
          <w:p w14:paraId="485060B0" w14:textId="77777777" w:rsidR="000C6831" w:rsidRDefault="00E15023">
            <w:r>
              <w:rPr>
                <w:color w:val="000000"/>
                <w:sz w:val="17"/>
                <w:szCs w:val="17"/>
              </w:rPr>
              <w:t>Explainability Issues</w:t>
            </w:r>
          </w:p>
        </w:tc>
        <w:tc>
          <w:tcPr>
            <w:tcW w:w="4000" w:type="dxa"/>
            <w:tcMar>
              <w:top w:w="60" w:type="dxa"/>
              <w:left w:w="80" w:type="dxa"/>
              <w:bottom w:w="60" w:type="dxa"/>
              <w:right w:w="80" w:type="dxa"/>
            </w:tcMar>
          </w:tcPr>
          <w:p w14:paraId="485060B1" w14:textId="77777777" w:rsidR="000C6831" w:rsidRDefault="00E15023">
            <w:r>
              <w:rPr>
                <w:color w:val="000000"/>
                <w:sz w:val="17"/>
                <w:szCs w:val="17"/>
              </w:rPr>
              <w:t>Khaki &amp; Wang use guided backpropagation (weaker, less standardized than SHAP); Elavarasan &amp; Vincent has no explainability; Jabed &amp; Murad confirms this is a field-wide gap.</w:t>
            </w:r>
          </w:p>
        </w:tc>
        <w:tc>
          <w:tcPr>
            <w:tcW w:w="4000" w:type="dxa"/>
            <w:tcMar>
              <w:top w:w="60" w:type="dxa"/>
              <w:left w:w="80" w:type="dxa"/>
              <w:bottom w:w="60" w:type="dxa"/>
              <w:right w:w="80" w:type="dxa"/>
            </w:tcMar>
          </w:tcPr>
          <w:p w14:paraId="485060B2" w14:textId="77777777" w:rsidR="000C6831" w:rsidRDefault="00E15023">
            <w:r>
              <w:rPr>
                <w:color w:val="000000"/>
                <w:sz w:val="17"/>
                <w:szCs w:val="17"/>
              </w:rPr>
              <w:t>Standardizes on SHAP (a game-theoretically grounded, model-agnostic method) for both tree-based and boosting models, ensuring explanations are theoretically defensible.</w:t>
            </w:r>
          </w:p>
        </w:tc>
      </w:tr>
      <w:tr w:rsidR="000C6831" w14:paraId="485060B7" w14:textId="77777777">
        <w:tc>
          <w:tcPr>
            <w:tcW w:w="1900" w:type="dxa"/>
            <w:tcMar>
              <w:top w:w="60" w:type="dxa"/>
              <w:left w:w="80" w:type="dxa"/>
              <w:bottom w:w="60" w:type="dxa"/>
              <w:right w:w="80" w:type="dxa"/>
            </w:tcMar>
          </w:tcPr>
          <w:p w14:paraId="485060B4" w14:textId="77777777" w:rsidR="000C6831" w:rsidRDefault="00E15023">
            <w:r>
              <w:rPr>
                <w:color w:val="000000"/>
                <w:sz w:val="17"/>
                <w:szCs w:val="17"/>
              </w:rPr>
              <w:t>Generalization Issues</w:t>
            </w:r>
          </w:p>
        </w:tc>
        <w:tc>
          <w:tcPr>
            <w:tcW w:w="4000" w:type="dxa"/>
            <w:tcMar>
              <w:top w:w="60" w:type="dxa"/>
              <w:left w:w="80" w:type="dxa"/>
              <w:bottom w:w="60" w:type="dxa"/>
              <w:right w:w="80" w:type="dxa"/>
            </w:tcMar>
          </w:tcPr>
          <w:p w14:paraId="485060B5" w14:textId="77777777" w:rsidR="000C6831" w:rsidRDefault="00E15023">
            <w:r>
              <w:rPr>
                <w:color w:val="000000"/>
                <w:sz w:val="17"/>
                <w:szCs w:val="17"/>
              </w:rPr>
              <w:t>Every original-research paper is confined to one crop/region (US Corn Belt; Rajasthan; Vellore district, Tamil Nadu).</w:t>
            </w:r>
          </w:p>
        </w:tc>
        <w:tc>
          <w:tcPr>
            <w:tcW w:w="4000" w:type="dxa"/>
            <w:tcMar>
              <w:top w:w="60" w:type="dxa"/>
              <w:left w:w="80" w:type="dxa"/>
              <w:bottom w:w="60" w:type="dxa"/>
              <w:right w:w="80" w:type="dxa"/>
            </w:tcMar>
          </w:tcPr>
          <w:p w14:paraId="485060B6" w14:textId="77777777" w:rsidR="000C6831" w:rsidRDefault="00E15023">
            <w:r>
              <w:rPr>
                <w:color w:val="000000"/>
                <w:sz w:val="17"/>
                <w:szCs w:val="17"/>
              </w:rPr>
              <w:t>Trains and validates across all states, seasons, and crops in the 1997–2020 dataset, with per-crop and per-state performance reporting rather than a single pooled score.</w:t>
            </w:r>
          </w:p>
        </w:tc>
      </w:tr>
    </w:tbl>
    <w:p w14:paraId="485060B8" w14:textId="77777777" w:rsidR="000C6831" w:rsidRDefault="000C6831">
      <w:pPr>
        <w:spacing w:before="160"/>
      </w:pPr>
    </w:p>
    <w:p w14:paraId="485060B9" w14:textId="77777777" w:rsidR="000C6831" w:rsidRDefault="00E15023">
      <w:pPr>
        <w:pStyle w:val="Heading2"/>
        <w:spacing w:before="180" w:after="100"/>
      </w:pPr>
      <w:r>
        <w:rPr>
          <w:b/>
          <w:bCs/>
          <w:color w:val="1F4E79"/>
          <w:sz w:val="23"/>
          <w:szCs w:val="23"/>
        </w:rPr>
        <w:t>Research Gap Statement</w:t>
      </w:r>
    </w:p>
    <w:p w14:paraId="485060BA" w14:textId="77777777" w:rsidR="000C6831" w:rsidRDefault="00E15023">
      <w:pPr>
        <w:spacing w:after="120" w:line="276" w:lineRule="auto"/>
        <w:jc w:val="both"/>
      </w:pPr>
      <w:r>
        <w:rPr>
          <w:sz w:val="21"/>
          <w:szCs w:val="21"/>
        </w:rPr>
        <w:t>No reviewed study — nor, per the systematic review of Jabed and Murad (2024), any study in the broader 2018–2023 literature — integrates (i) a validated multi-algorithm yield prediction pipeline, (ii) theoretically grounded, dual-level (global and local) explainability via SHAP, and (iii) a decision-support layer that converts feature attributions into risk-aware, agronomically sanity-checked recommendations. This three-way integration, evaluated across multiple crops and states rather than one region, constitutes the core research gap this project addresses.</w:t>
      </w:r>
    </w:p>
    <w:p w14:paraId="485060BB" w14:textId="77777777" w:rsidR="000C6831" w:rsidRDefault="00E15023">
      <w:pPr>
        <w:pStyle w:val="Heading1"/>
        <w:spacing w:before="240" w:after="120"/>
      </w:pPr>
      <w:r>
        <w:rPr>
          <w:b/>
          <w:bCs/>
          <w:sz w:val="26"/>
          <w:szCs w:val="26"/>
        </w:rPr>
        <w:t>III. Problem Statement</w:t>
      </w:r>
    </w:p>
    <w:p w14:paraId="485060BC" w14:textId="77777777" w:rsidR="000C6831" w:rsidRDefault="00E15023">
      <w:pPr>
        <w:spacing w:after="120" w:line="276" w:lineRule="auto"/>
        <w:jc w:val="both"/>
      </w:pPr>
      <w:r>
        <w:rPr>
          <w:sz w:val="21"/>
          <w:szCs w:val="21"/>
        </w:rPr>
        <w:t>Crop yield depends on a non-linear interaction of climatic, soil, and agronomic factors that traditional statistical methods struggle to capture, motivating the use of machine learning. However, existing machine-learning yield-prediction systems function as black boxes: they output a number without explaining which factors drove it, leaving farmers and policymakers unable to trust or act on the prediction. A model that cannot say why it predicted a given yield, or what a farmer could change to improve it, has limited practical value regardless of its accuracy. This project addresses that gap by combining accurate yield prediction with explainable, per-farmer reasoning and actionable decision support, directly supporting SDG 2 — Zero Hunger — through more transparent, trustworthy agricultural planning.</w:t>
      </w:r>
    </w:p>
    <w:p w14:paraId="485060BD" w14:textId="77777777" w:rsidR="000C6831" w:rsidRDefault="00E15023">
      <w:pPr>
        <w:pStyle w:val="Heading1"/>
        <w:spacing w:before="240" w:after="120"/>
      </w:pPr>
      <w:r>
        <w:rPr>
          <w:b/>
          <w:bCs/>
          <w:sz w:val="26"/>
          <w:szCs w:val="26"/>
        </w:rPr>
        <w:t>IV. Objectives</w:t>
      </w:r>
    </w:p>
    <w:p w14:paraId="485060BE" w14:textId="77777777" w:rsidR="000C6831" w:rsidRDefault="00E15023">
      <w:pPr>
        <w:pStyle w:val="ListParagraph"/>
        <w:numPr>
          <w:ilvl w:val="0"/>
          <w:numId w:val="1"/>
        </w:numPr>
        <w:spacing w:after="60"/>
      </w:pPr>
      <w:r>
        <w:rPr>
          <w:sz w:val="21"/>
          <w:szCs w:val="21"/>
        </w:rPr>
        <w:t>Develop a robust crop yield prediction model using machine learning.</w:t>
      </w:r>
    </w:p>
    <w:p w14:paraId="485060BF" w14:textId="77777777" w:rsidR="000C6831" w:rsidRDefault="00E15023">
      <w:pPr>
        <w:pStyle w:val="ListParagraph"/>
        <w:numPr>
          <w:ilvl w:val="0"/>
          <w:numId w:val="1"/>
        </w:numPr>
        <w:spacing w:after="60"/>
      </w:pPr>
      <w:r>
        <w:rPr>
          <w:sz w:val="21"/>
          <w:szCs w:val="21"/>
        </w:rPr>
        <w:t>Perform comprehensive data preprocessing and exploratory data analysis.</w:t>
      </w:r>
    </w:p>
    <w:p w14:paraId="485060C0" w14:textId="77777777" w:rsidR="000C6831" w:rsidRDefault="00E15023">
      <w:pPr>
        <w:pStyle w:val="ListParagraph"/>
        <w:numPr>
          <w:ilvl w:val="0"/>
          <w:numId w:val="1"/>
        </w:numPr>
        <w:spacing w:after="60"/>
      </w:pPr>
      <w:r>
        <w:rPr>
          <w:sz w:val="21"/>
          <w:szCs w:val="21"/>
        </w:rPr>
        <w:t>Compare multiple regression algorithms (Random Forest, Gradient Boosting, XGBoost, CatBoost, LightGBM).</w:t>
      </w:r>
    </w:p>
    <w:p w14:paraId="485060C1" w14:textId="77777777" w:rsidR="000C6831" w:rsidRDefault="00E15023">
      <w:pPr>
        <w:pStyle w:val="ListParagraph"/>
        <w:numPr>
          <w:ilvl w:val="0"/>
          <w:numId w:val="1"/>
        </w:numPr>
        <w:spacing w:after="60"/>
      </w:pPr>
      <w:r>
        <w:rPr>
          <w:sz w:val="21"/>
          <w:szCs w:val="21"/>
        </w:rPr>
        <w:t>Select the best-performing model using proper evaluation metrics and cross-validation.</w:t>
      </w:r>
    </w:p>
    <w:p w14:paraId="485060C2" w14:textId="77777777" w:rsidR="000C6831" w:rsidRDefault="00E15023">
      <w:pPr>
        <w:pStyle w:val="ListParagraph"/>
        <w:numPr>
          <w:ilvl w:val="0"/>
          <w:numId w:val="1"/>
        </w:numPr>
        <w:spacing w:after="60"/>
      </w:pPr>
      <w:r>
        <w:rPr>
          <w:sz w:val="21"/>
          <w:szCs w:val="21"/>
        </w:rPr>
        <w:t>Apply Explainable AI (SHAP) to explain every prediction at both global and local levels.</w:t>
      </w:r>
    </w:p>
    <w:p w14:paraId="485060C3" w14:textId="77777777" w:rsidR="000C6831" w:rsidRDefault="00E15023">
      <w:pPr>
        <w:pStyle w:val="ListParagraph"/>
        <w:numPr>
          <w:ilvl w:val="0"/>
          <w:numId w:val="1"/>
        </w:numPr>
        <w:spacing w:after="60"/>
      </w:pPr>
      <w:r>
        <w:rPr>
          <w:sz w:val="21"/>
          <w:szCs w:val="21"/>
        </w:rPr>
        <w:t>Build a Decision Support System that provides risk-aware, actionable recommendations to farmers.</w:t>
      </w:r>
    </w:p>
    <w:p w14:paraId="485060C4" w14:textId="77777777" w:rsidR="000C6831" w:rsidRDefault="00E15023">
      <w:pPr>
        <w:pStyle w:val="ListParagraph"/>
        <w:numPr>
          <w:ilvl w:val="0"/>
          <w:numId w:val="1"/>
        </w:numPr>
        <w:spacing w:after="60"/>
      </w:pPr>
      <w:r>
        <w:rPr>
          <w:sz w:val="21"/>
          <w:szCs w:val="21"/>
        </w:rPr>
        <w:t>Create an easy-to-use dashboard visualizing predictions, explanations, and model diagnostics.</w:t>
      </w:r>
    </w:p>
    <w:p w14:paraId="485060C5" w14:textId="77777777" w:rsidR="000C6831" w:rsidRDefault="00E15023">
      <w:pPr>
        <w:pStyle w:val="Heading1"/>
        <w:spacing w:before="240" w:after="120"/>
      </w:pPr>
      <w:r>
        <w:rPr>
          <w:b/>
          <w:bCs/>
          <w:sz w:val="26"/>
          <w:szCs w:val="26"/>
        </w:rPr>
        <w:lastRenderedPageBreak/>
        <w:t>V. Methodology</w:t>
      </w:r>
    </w:p>
    <w:p w14:paraId="485060C6" w14:textId="77777777" w:rsidR="000C6831" w:rsidRDefault="00E15023">
      <w:pPr>
        <w:spacing w:after="60"/>
      </w:pPr>
      <w:r>
        <w:rPr>
          <w:sz w:val="21"/>
          <w:szCs w:val="21"/>
        </w:rPr>
        <w:t>1. Data Collection — acquire the 1997–2020 Indian crop yield dataset.</w:t>
      </w:r>
    </w:p>
    <w:p w14:paraId="485060C7" w14:textId="77777777" w:rsidR="000C6831" w:rsidRDefault="00E15023">
      <w:pPr>
        <w:spacing w:after="60"/>
      </w:pPr>
      <w:r>
        <w:rPr>
          <w:sz w:val="21"/>
          <w:szCs w:val="21"/>
        </w:rPr>
        <w:t>2. Data Cleaning — handle missing values, remove duplicates, detect outliers, encode categorical variables, scale features.</w:t>
      </w:r>
    </w:p>
    <w:p w14:paraId="485060C8" w14:textId="77777777" w:rsidR="000C6831" w:rsidRDefault="00E15023">
      <w:pPr>
        <w:spacing w:after="60"/>
      </w:pPr>
      <w:r>
        <w:rPr>
          <w:sz w:val="21"/>
          <w:szCs w:val="21"/>
        </w:rPr>
        <w:t>3. Exploratory Data Analysis — distribution, correlation, feature importance, crop-wise, state-wise, and rainfall-wise analysis.</w:t>
      </w:r>
    </w:p>
    <w:p w14:paraId="485060C9" w14:textId="77777777" w:rsidR="000C6831" w:rsidRDefault="00E15023">
      <w:pPr>
        <w:spacing w:after="60"/>
      </w:pPr>
      <w:r>
        <w:rPr>
          <w:sz w:val="21"/>
          <w:szCs w:val="21"/>
        </w:rPr>
        <w:t>4. Feature Engineering — derive agronomically meaningful features (e.g., rainfall-per-season, fertilizer-per-area).</w:t>
      </w:r>
    </w:p>
    <w:p w14:paraId="485060CA" w14:textId="77777777" w:rsidR="000C6831" w:rsidRDefault="00E15023">
      <w:pPr>
        <w:spacing w:after="60"/>
      </w:pPr>
      <w:r>
        <w:rPr>
          <w:sz w:val="21"/>
          <w:szCs w:val="21"/>
        </w:rPr>
        <w:t>5. Model Training — train Random Forest, Gradient Boosting, XGBoost, CatBoost, and LightGBM.</w:t>
      </w:r>
    </w:p>
    <w:p w14:paraId="485060CB" w14:textId="77777777" w:rsidR="000C6831" w:rsidRDefault="00E15023">
      <w:pPr>
        <w:spacing w:after="60"/>
      </w:pPr>
      <w:r>
        <w:rPr>
          <w:sz w:val="21"/>
          <w:szCs w:val="21"/>
        </w:rPr>
        <w:t>6. Hyperparameter Optimization — Grid Search or Optuna-based tuning for each model.</w:t>
      </w:r>
    </w:p>
    <w:p w14:paraId="485060CC" w14:textId="77777777" w:rsidR="000C6831" w:rsidRDefault="00E15023">
      <w:pPr>
        <w:spacing w:after="60"/>
      </w:pPr>
      <w:r>
        <w:rPr>
          <w:sz w:val="21"/>
          <w:szCs w:val="21"/>
        </w:rPr>
        <w:t>7. Model Evaluation — MAE, RMSE, R² Score, k-fold cross-validation.</w:t>
      </w:r>
    </w:p>
    <w:p w14:paraId="485060CD" w14:textId="77777777" w:rsidR="000C6831" w:rsidRDefault="00E15023">
      <w:pPr>
        <w:spacing w:after="60"/>
      </w:pPr>
      <w:r>
        <w:rPr>
          <w:sz w:val="21"/>
          <w:szCs w:val="21"/>
        </w:rPr>
        <w:t>8. Explainable AI — apply SHAP for global and local feature attribution; identify positive and negative contributing factors per prediction.</w:t>
      </w:r>
    </w:p>
    <w:p w14:paraId="485060CE" w14:textId="77777777" w:rsidR="000C6831" w:rsidRDefault="00E15023">
      <w:pPr>
        <w:spacing w:after="60"/>
      </w:pPr>
      <w:r>
        <w:rPr>
          <w:sz w:val="21"/>
          <w:szCs w:val="21"/>
        </w:rPr>
        <w:t>9. Decision Support System — generate predicted yield, confidence/risk level, top influencing factors, and personalized, sanity-checked recommendations.</w:t>
      </w:r>
    </w:p>
    <w:p w14:paraId="485060CF" w14:textId="77777777" w:rsidR="000C6831" w:rsidRDefault="00E15023">
      <w:pPr>
        <w:pStyle w:val="Heading1"/>
        <w:spacing w:before="240" w:after="120"/>
      </w:pPr>
      <w:r>
        <w:rPr>
          <w:b/>
          <w:bCs/>
          <w:sz w:val="26"/>
          <w:szCs w:val="26"/>
        </w:rPr>
        <w:t>VI. Expected System Output</w:t>
      </w:r>
    </w:p>
    <w:p w14:paraId="485060D0" w14:textId="77777777" w:rsidR="000C6831" w:rsidRDefault="00E15023">
      <w:pPr>
        <w:spacing w:after="120" w:line="276" w:lineRule="auto"/>
        <w:jc w:val="both"/>
      </w:pPr>
      <w:r>
        <w:rPr>
          <w:sz w:val="21"/>
          <w:szCs w:val="21"/>
        </w:rPr>
        <w:t>Rather than returning a single number, the system is designed to output a structured decision-support report for each prediction:</w:t>
      </w:r>
    </w:p>
    <w:p w14:paraId="485060D1" w14:textId="77777777" w:rsidR="000C6831" w:rsidRDefault="00E15023">
      <w:pPr>
        <w:pStyle w:val="ListParagraph"/>
        <w:numPr>
          <w:ilvl w:val="0"/>
          <w:numId w:val="1"/>
        </w:numPr>
        <w:spacing w:after="60"/>
      </w:pPr>
      <w:r>
        <w:rPr>
          <w:sz w:val="21"/>
          <w:szCs w:val="21"/>
        </w:rPr>
        <w:t>Prediction — predicted yield, confidence score, risk level.</w:t>
      </w:r>
    </w:p>
    <w:p w14:paraId="485060D2" w14:textId="77777777" w:rsidR="000C6831" w:rsidRDefault="00E15023">
      <w:pPr>
        <w:pStyle w:val="ListParagraph"/>
        <w:numPr>
          <w:ilvl w:val="0"/>
          <w:numId w:val="1"/>
        </w:numPr>
        <w:spacing w:after="60"/>
      </w:pPr>
      <w:r>
        <w:rPr>
          <w:sz w:val="21"/>
          <w:szCs w:val="21"/>
        </w:rPr>
        <w:t>Explainability — top contributing features, separated into positive and negative factors (SHAP-based).</w:t>
      </w:r>
    </w:p>
    <w:p w14:paraId="485060D3" w14:textId="77777777" w:rsidR="000C6831" w:rsidRDefault="00E15023">
      <w:pPr>
        <w:pStyle w:val="ListParagraph"/>
        <w:numPr>
          <w:ilvl w:val="0"/>
          <w:numId w:val="1"/>
        </w:numPr>
        <w:spacing w:after="60"/>
      </w:pPr>
      <w:r>
        <w:rPr>
          <w:sz w:val="21"/>
          <w:szCs w:val="21"/>
        </w:rPr>
        <w:t>Decision Support — recommendations, possible improvements, and suggested farming practices, framed as attribution-based insight rather than guaranteed causal effect.</w:t>
      </w:r>
    </w:p>
    <w:p w14:paraId="485060D4" w14:textId="77777777" w:rsidR="000C6831" w:rsidRDefault="00E15023">
      <w:pPr>
        <w:pStyle w:val="ListParagraph"/>
        <w:numPr>
          <w:ilvl w:val="0"/>
          <w:numId w:val="1"/>
        </w:numPr>
        <w:spacing w:after="60"/>
      </w:pPr>
      <w:r>
        <w:rPr>
          <w:sz w:val="21"/>
          <w:szCs w:val="21"/>
        </w:rPr>
        <w:t>Visualization — SHAP summary plot, feature importance plot, actual-vs-predicted plot, residual plot.</w:t>
      </w:r>
    </w:p>
    <w:p w14:paraId="485060D5" w14:textId="77777777" w:rsidR="000C6831" w:rsidRDefault="00E15023">
      <w:pPr>
        <w:pStyle w:val="Heading1"/>
        <w:spacing w:before="240" w:after="120"/>
      </w:pPr>
      <w:r>
        <w:rPr>
          <w:b/>
          <w:bCs/>
          <w:sz w:val="26"/>
          <w:szCs w:val="26"/>
        </w:rPr>
        <w:t>VII. Dataset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0C6831" w14:paraId="485060D8" w14:textId="77777777">
        <w:trPr>
          <w:tblHeader/>
        </w:trPr>
        <w:tc>
          <w:tcPr>
            <w:tcW w:w="2400" w:type="dxa"/>
            <w:shd w:val="clear" w:color="auto" w:fill="1F4E79"/>
            <w:tcMar>
              <w:top w:w="60" w:type="dxa"/>
              <w:left w:w="80" w:type="dxa"/>
              <w:bottom w:w="60" w:type="dxa"/>
              <w:right w:w="80" w:type="dxa"/>
            </w:tcMar>
          </w:tcPr>
          <w:p w14:paraId="485060D6" w14:textId="77777777" w:rsidR="000C6831" w:rsidRDefault="00E15023">
            <w:r>
              <w:rPr>
                <w:b/>
                <w:bCs/>
                <w:color w:val="FFFFFF"/>
                <w:sz w:val="18"/>
                <w:szCs w:val="18"/>
              </w:rPr>
              <w:t>Field</w:t>
            </w:r>
          </w:p>
        </w:tc>
        <w:tc>
          <w:tcPr>
            <w:tcW w:w="7300" w:type="dxa"/>
            <w:shd w:val="clear" w:color="auto" w:fill="1F4E79"/>
            <w:tcMar>
              <w:top w:w="60" w:type="dxa"/>
              <w:left w:w="80" w:type="dxa"/>
              <w:bottom w:w="60" w:type="dxa"/>
              <w:right w:w="80" w:type="dxa"/>
            </w:tcMar>
          </w:tcPr>
          <w:p w14:paraId="485060D7" w14:textId="77777777" w:rsidR="000C6831" w:rsidRDefault="00E15023">
            <w:r>
              <w:rPr>
                <w:b/>
                <w:bCs/>
                <w:color w:val="FFFFFF"/>
                <w:sz w:val="18"/>
                <w:szCs w:val="18"/>
              </w:rPr>
              <w:t>Description</w:t>
            </w:r>
          </w:p>
        </w:tc>
      </w:tr>
      <w:tr w:rsidR="000C6831" w14:paraId="485060DB" w14:textId="77777777">
        <w:tc>
          <w:tcPr>
            <w:tcW w:w="2400" w:type="dxa"/>
            <w:tcMar>
              <w:top w:w="60" w:type="dxa"/>
              <w:left w:w="80" w:type="dxa"/>
              <w:bottom w:w="60" w:type="dxa"/>
              <w:right w:w="80" w:type="dxa"/>
            </w:tcMar>
          </w:tcPr>
          <w:p w14:paraId="485060D9" w14:textId="77777777" w:rsidR="000C6831" w:rsidRDefault="00E15023">
            <w:r>
              <w:rPr>
                <w:color w:val="000000"/>
                <w:sz w:val="17"/>
                <w:szCs w:val="17"/>
              </w:rPr>
              <w:t>Dataset Name</w:t>
            </w:r>
          </w:p>
        </w:tc>
        <w:tc>
          <w:tcPr>
            <w:tcW w:w="7300" w:type="dxa"/>
            <w:tcMar>
              <w:top w:w="60" w:type="dxa"/>
              <w:left w:w="80" w:type="dxa"/>
              <w:bottom w:w="60" w:type="dxa"/>
              <w:right w:w="80" w:type="dxa"/>
            </w:tcMar>
          </w:tcPr>
          <w:p w14:paraId="485060DA" w14:textId="77777777" w:rsidR="000C6831" w:rsidRDefault="00E15023">
            <w:r>
              <w:rPr>
                <w:color w:val="000000"/>
                <w:sz w:val="17"/>
                <w:szCs w:val="17"/>
              </w:rPr>
              <w:t>Agricultural Crop Yield in Indian States Dataset</w:t>
            </w:r>
          </w:p>
        </w:tc>
      </w:tr>
      <w:tr w:rsidR="000C6831" w14:paraId="485060DE" w14:textId="77777777">
        <w:tc>
          <w:tcPr>
            <w:tcW w:w="2400" w:type="dxa"/>
            <w:tcMar>
              <w:top w:w="60" w:type="dxa"/>
              <w:left w:w="80" w:type="dxa"/>
              <w:bottom w:w="60" w:type="dxa"/>
              <w:right w:w="80" w:type="dxa"/>
            </w:tcMar>
          </w:tcPr>
          <w:p w14:paraId="485060DC" w14:textId="77777777" w:rsidR="000C6831" w:rsidRDefault="00E15023">
            <w:r>
              <w:rPr>
                <w:color w:val="000000"/>
                <w:sz w:val="17"/>
                <w:szCs w:val="17"/>
              </w:rPr>
              <w:t>Source</w:t>
            </w:r>
          </w:p>
        </w:tc>
        <w:tc>
          <w:tcPr>
            <w:tcW w:w="7300" w:type="dxa"/>
            <w:tcMar>
              <w:top w:w="60" w:type="dxa"/>
              <w:left w:w="80" w:type="dxa"/>
              <w:bottom w:w="60" w:type="dxa"/>
              <w:right w:w="80" w:type="dxa"/>
            </w:tcMar>
          </w:tcPr>
          <w:p w14:paraId="485060DD" w14:textId="77777777" w:rsidR="000C6831" w:rsidRDefault="00E15023">
            <w:r>
              <w:rPr>
                <w:color w:val="000000"/>
                <w:sz w:val="17"/>
                <w:szCs w:val="17"/>
              </w:rPr>
              <w:t>Kaggle</w:t>
            </w:r>
          </w:p>
        </w:tc>
      </w:tr>
      <w:tr w:rsidR="000C6831" w14:paraId="485060E1" w14:textId="77777777">
        <w:tc>
          <w:tcPr>
            <w:tcW w:w="2400" w:type="dxa"/>
            <w:tcMar>
              <w:top w:w="60" w:type="dxa"/>
              <w:left w:w="80" w:type="dxa"/>
              <w:bottom w:w="60" w:type="dxa"/>
              <w:right w:w="80" w:type="dxa"/>
            </w:tcMar>
          </w:tcPr>
          <w:p w14:paraId="485060DF" w14:textId="77777777" w:rsidR="000C6831" w:rsidRDefault="00E15023">
            <w:r>
              <w:rPr>
                <w:color w:val="000000"/>
                <w:sz w:val="17"/>
                <w:szCs w:val="17"/>
              </w:rPr>
              <w:t>Time Period</w:t>
            </w:r>
          </w:p>
        </w:tc>
        <w:tc>
          <w:tcPr>
            <w:tcW w:w="7300" w:type="dxa"/>
            <w:tcMar>
              <w:top w:w="60" w:type="dxa"/>
              <w:left w:w="80" w:type="dxa"/>
              <w:bottom w:w="60" w:type="dxa"/>
              <w:right w:w="80" w:type="dxa"/>
            </w:tcMar>
          </w:tcPr>
          <w:p w14:paraId="485060E0" w14:textId="77777777" w:rsidR="000C6831" w:rsidRDefault="00E15023">
            <w:r>
              <w:rPr>
                <w:color w:val="000000"/>
                <w:sz w:val="17"/>
                <w:szCs w:val="17"/>
              </w:rPr>
              <w:t>1997–2020</w:t>
            </w:r>
          </w:p>
        </w:tc>
      </w:tr>
      <w:tr w:rsidR="000C6831" w14:paraId="485060E4" w14:textId="77777777">
        <w:tc>
          <w:tcPr>
            <w:tcW w:w="2400" w:type="dxa"/>
            <w:tcMar>
              <w:top w:w="60" w:type="dxa"/>
              <w:left w:w="80" w:type="dxa"/>
              <w:bottom w:w="60" w:type="dxa"/>
              <w:right w:w="80" w:type="dxa"/>
            </w:tcMar>
          </w:tcPr>
          <w:p w14:paraId="485060E2" w14:textId="77777777" w:rsidR="000C6831" w:rsidRDefault="00E15023">
            <w:r>
              <w:rPr>
                <w:color w:val="000000"/>
                <w:sz w:val="17"/>
                <w:szCs w:val="17"/>
              </w:rPr>
              <w:t>Features</w:t>
            </w:r>
          </w:p>
        </w:tc>
        <w:tc>
          <w:tcPr>
            <w:tcW w:w="7300" w:type="dxa"/>
            <w:tcMar>
              <w:top w:w="60" w:type="dxa"/>
              <w:left w:w="80" w:type="dxa"/>
              <w:bottom w:w="60" w:type="dxa"/>
              <w:right w:w="80" w:type="dxa"/>
            </w:tcMar>
          </w:tcPr>
          <w:p w14:paraId="485060E3" w14:textId="77777777" w:rsidR="000C6831" w:rsidRDefault="00E15023">
            <w:r>
              <w:rPr>
                <w:color w:val="000000"/>
                <w:sz w:val="17"/>
                <w:szCs w:val="17"/>
              </w:rPr>
              <w:t>Crop, Crop Year, Season, State, Area, Production, Annual Rainfall, Fertilizer, Pesticide</w:t>
            </w:r>
          </w:p>
        </w:tc>
      </w:tr>
      <w:tr w:rsidR="000C6831" w14:paraId="485060E7" w14:textId="77777777">
        <w:tc>
          <w:tcPr>
            <w:tcW w:w="2400" w:type="dxa"/>
            <w:tcMar>
              <w:top w:w="60" w:type="dxa"/>
              <w:left w:w="80" w:type="dxa"/>
              <w:bottom w:w="60" w:type="dxa"/>
              <w:right w:w="80" w:type="dxa"/>
            </w:tcMar>
          </w:tcPr>
          <w:p w14:paraId="485060E5" w14:textId="77777777" w:rsidR="000C6831" w:rsidRDefault="00E15023">
            <w:r>
              <w:rPr>
                <w:color w:val="000000"/>
                <w:sz w:val="17"/>
                <w:szCs w:val="17"/>
              </w:rPr>
              <w:t>Target Variable</w:t>
            </w:r>
          </w:p>
        </w:tc>
        <w:tc>
          <w:tcPr>
            <w:tcW w:w="7300" w:type="dxa"/>
            <w:tcMar>
              <w:top w:w="60" w:type="dxa"/>
              <w:left w:w="80" w:type="dxa"/>
              <w:bottom w:w="60" w:type="dxa"/>
              <w:right w:w="80" w:type="dxa"/>
            </w:tcMar>
          </w:tcPr>
          <w:p w14:paraId="485060E6" w14:textId="77777777" w:rsidR="000C6831" w:rsidRDefault="00E15023">
            <w:r>
              <w:rPr>
                <w:color w:val="000000"/>
                <w:sz w:val="17"/>
                <w:szCs w:val="17"/>
              </w:rPr>
              <w:t>Yield</w:t>
            </w:r>
          </w:p>
        </w:tc>
      </w:tr>
      <w:tr w:rsidR="000C6831" w14:paraId="485060EA" w14:textId="77777777">
        <w:tc>
          <w:tcPr>
            <w:tcW w:w="2400" w:type="dxa"/>
            <w:tcMar>
              <w:top w:w="60" w:type="dxa"/>
              <w:left w:w="80" w:type="dxa"/>
              <w:bottom w:w="60" w:type="dxa"/>
              <w:right w:w="80" w:type="dxa"/>
            </w:tcMar>
          </w:tcPr>
          <w:p w14:paraId="485060E8" w14:textId="77777777" w:rsidR="000C6831" w:rsidRDefault="00E15023">
            <w:r>
              <w:rPr>
                <w:color w:val="000000"/>
                <w:sz w:val="17"/>
                <w:szCs w:val="17"/>
              </w:rPr>
              <w:t>Expected Preprocessing</w:t>
            </w:r>
          </w:p>
        </w:tc>
        <w:tc>
          <w:tcPr>
            <w:tcW w:w="7300" w:type="dxa"/>
            <w:tcMar>
              <w:top w:w="60" w:type="dxa"/>
              <w:left w:w="80" w:type="dxa"/>
              <w:bottom w:w="60" w:type="dxa"/>
              <w:right w:w="80" w:type="dxa"/>
            </w:tcMar>
          </w:tcPr>
          <w:p w14:paraId="485060E9" w14:textId="77777777" w:rsidR="000C6831" w:rsidRDefault="00E15023">
            <w:r>
              <w:rPr>
                <w:color w:val="000000"/>
                <w:sz w:val="17"/>
                <w:szCs w:val="17"/>
              </w:rPr>
              <w:t>Missing-value handling, duplicate removal, outlier detection, encoding, feature scaling, feature engineering, train–test split, cross-validation</w:t>
            </w:r>
          </w:p>
        </w:tc>
      </w:tr>
    </w:tbl>
    <w:p w14:paraId="485060EB" w14:textId="77777777" w:rsidR="000C6831" w:rsidRDefault="000C6831">
      <w:pPr>
        <w:spacing w:before="160"/>
      </w:pPr>
    </w:p>
    <w:p w14:paraId="485060EC" w14:textId="77777777" w:rsidR="000C6831" w:rsidRDefault="00E15023">
      <w:pPr>
        <w:pStyle w:val="Heading1"/>
        <w:spacing w:before="240" w:after="120"/>
      </w:pPr>
      <w:r>
        <w:rPr>
          <w:b/>
          <w:bCs/>
          <w:sz w:val="26"/>
          <w:szCs w:val="26"/>
        </w:rPr>
        <w:t>VIII. Evaluation Metrics</w:t>
      </w:r>
    </w:p>
    <w:p w14:paraId="485060ED" w14:textId="77777777" w:rsidR="000C6831" w:rsidRDefault="00E15023">
      <w:pPr>
        <w:spacing w:after="120" w:line="276" w:lineRule="auto"/>
        <w:jc w:val="both"/>
      </w:pPr>
      <w:r>
        <w:rPr>
          <w:sz w:val="21"/>
          <w:szCs w:val="21"/>
        </w:rPr>
        <w:t>Mean Absolute Error (MAE) reports the average magnitude of prediction error in the same units as yield. Root Mean Squared Error (RMSE) penalizes larger errors more heavily, which matters because large yield misestimates disproportionately affect food-security and price-stabilization planning. R² Score quantifies the proportion of yield variance explained by the model across diverse crops, seasons, and states. Beyond point-accuracy, SHAP values are validated against partial-dependence trends to confirm that explanations are stable and directionally consistent — a check the reviewed literature does not perform — before any explanation is surfaced to a farmer as a recommendation.</w:t>
      </w:r>
    </w:p>
    <w:sectPr w:rsidR="000C683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F0C6C"/>
    <w:multiLevelType w:val="hybridMultilevel"/>
    <w:tmpl w:val="11D0DED4"/>
    <w:lvl w:ilvl="0" w:tplc="2634033E">
      <w:start w:val="1"/>
      <w:numFmt w:val="bullet"/>
      <w:lvlText w:val="●"/>
      <w:lvlJc w:val="left"/>
      <w:pPr>
        <w:ind w:left="720" w:hanging="360"/>
      </w:pPr>
    </w:lvl>
    <w:lvl w:ilvl="1" w:tplc="A97C6A04">
      <w:start w:val="1"/>
      <w:numFmt w:val="bullet"/>
      <w:lvlText w:val="○"/>
      <w:lvlJc w:val="left"/>
      <w:pPr>
        <w:ind w:left="1440" w:hanging="360"/>
      </w:pPr>
    </w:lvl>
    <w:lvl w:ilvl="2" w:tplc="B61ABBD6">
      <w:start w:val="1"/>
      <w:numFmt w:val="bullet"/>
      <w:lvlText w:val="■"/>
      <w:lvlJc w:val="left"/>
      <w:pPr>
        <w:ind w:left="2160" w:hanging="360"/>
      </w:pPr>
    </w:lvl>
    <w:lvl w:ilvl="3" w:tplc="A01CBDA8">
      <w:start w:val="1"/>
      <w:numFmt w:val="bullet"/>
      <w:lvlText w:val="●"/>
      <w:lvlJc w:val="left"/>
      <w:pPr>
        <w:ind w:left="2880" w:hanging="360"/>
      </w:pPr>
    </w:lvl>
    <w:lvl w:ilvl="4" w:tplc="73C60396">
      <w:start w:val="1"/>
      <w:numFmt w:val="bullet"/>
      <w:lvlText w:val="○"/>
      <w:lvlJc w:val="left"/>
      <w:pPr>
        <w:ind w:left="3600" w:hanging="360"/>
      </w:pPr>
    </w:lvl>
    <w:lvl w:ilvl="5" w:tplc="DC72AB20">
      <w:start w:val="1"/>
      <w:numFmt w:val="bullet"/>
      <w:lvlText w:val="■"/>
      <w:lvlJc w:val="left"/>
      <w:pPr>
        <w:ind w:left="4320" w:hanging="360"/>
      </w:pPr>
    </w:lvl>
    <w:lvl w:ilvl="6" w:tplc="6072811E">
      <w:start w:val="1"/>
      <w:numFmt w:val="bullet"/>
      <w:lvlText w:val="●"/>
      <w:lvlJc w:val="left"/>
      <w:pPr>
        <w:ind w:left="5040" w:hanging="360"/>
      </w:pPr>
    </w:lvl>
    <w:lvl w:ilvl="7" w:tplc="EF8A0FAE">
      <w:start w:val="1"/>
      <w:numFmt w:val="bullet"/>
      <w:lvlText w:val="●"/>
      <w:lvlJc w:val="left"/>
      <w:pPr>
        <w:ind w:left="5760" w:hanging="360"/>
      </w:pPr>
    </w:lvl>
    <w:lvl w:ilvl="8" w:tplc="F83E03D2">
      <w:start w:val="1"/>
      <w:numFmt w:val="bullet"/>
      <w:lvlText w:val="●"/>
      <w:lvlJc w:val="left"/>
      <w:pPr>
        <w:ind w:left="6480" w:hanging="360"/>
      </w:pPr>
    </w:lvl>
  </w:abstractNum>
  <w:num w:numId="1" w16cid:durableId="20433596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831"/>
    <w:rsid w:val="000C6831"/>
    <w:rsid w:val="002948F2"/>
    <w:rsid w:val="00445623"/>
    <w:rsid w:val="00567562"/>
    <w:rsid w:val="00832E99"/>
    <w:rsid w:val="00E15023"/>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0606E"/>
  <w15:docId w15:val="{7D79DB95-8737-4C44-93D3-85A9EA00F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1560</Words>
  <Characters>8893</Characters>
  <Application>Microsoft Office Word</Application>
  <DocSecurity>0</DocSecurity>
  <Lines>74</Lines>
  <Paragraphs>20</Paragraphs>
  <ScaleCrop>false</ScaleCrop>
  <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karthickeyan .M</cp:lastModifiedBy>
  <cp:revision>3</cp:revision>
  <dcterms:created xsi:type="dcterms:W3CDTF">2026-07-15T23:04:00Z</dcterms:created>
  <dcterms:modified xsi:type="dcterms:W3CDTF">2026-07-24T07:46:00Z</dcterms:modified>
</cp:coreProperties>
</file>