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bottom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638"/>
      </w:tblGrid>
      <w:tr w:rsidR="00DE60DE" w14:paraId="55B49153" w14:textId="77777777" w:rsidTr="00E728B1">
        <w:trPr>
          <w:trHeight w:val="2835"/>
        </w:trPr>
        <w:tc>
          <w:tcPr>
            <w:tcW w:w="9638" w:type="dxa"/>
          </w:tcPr>
          <w:p w14:paraId="3F0248ED" w14:textId="77777777" w:rsidR="00DE60DE" w:rsidRDefault="00DE60DE" w:rsidP="00702A7E"/>
        </w:tc>
      </w:tr>
      <w:tr w:rsidR="00DE60DE" w14:paraId="7F52C5B0" w14:textId="77777777" w:rsidTr="003E0A16">
        <w:trPr>
          <w:trHeight w:val="6066"/>
        </w:trPr>
        <w:tc>
          <w:tcPr>
            <w:tcW w:w="9638" w:type="dxa"/>
          </w:tcPr>
          <w:p w14:paraId="041D4E3B" w14:textId="77777777" w:rsidR="00DE60DE" w:rsidRPr="00944D57" w:rsidRDefault="00DE60DE" w:rsidP="00DE60DE">
            <w:pPr>
              <w:pStyle w:val="Subtitle"/>
            </w:pPr>
            <w:r>
              <w:fldChar w:fldCharType="begin"/>
            </w:r>
            <w:r>
              <w:instrText xml:space="preserve"> MACROBUTTON  AcceptAllChangesInDoc Document type </w:instrText>
            </w:r>
            <w:r>
              <w:fldChar w:fldCharType="end"/>
            </w:r>
          </w:p>
          <w:sdt>
            <w:sdtPr>
              <w:alias w:val="Title"/>
              <w:tag w:val="Title"/>
              <w:id w:val="1653328826"/>
              <w:placeholder>
                <w:docPart w:val="DB458E9C4BAE473FAAF5D63304686574"/>
              </w:placeholder>
            </w:sdtPr>
            <w:sdtEndPr/>
            <w:sdtContent>
              <w:p w14:paraId="734EDE0F" w14:textId="54C45954" w:rsidR="00DE60DE" w:rsidRPr="00CC6757" w:rsidRDefault="00F313C4" w:rsidP="00B86F31">
                <w:pPr>
                  <w:pStyle w:val="Title"/>
                </w:pPr>
                <w:r>
                  <w:t xml:space="preserve">FCA </w:t>
                </w:r>
                <w:r w:rsidR="004253DD">
                  <w:t xml:space="preserve">PSD </w:t>
                </w:r>
                <w:r>
                  <w:t>Reporting</w:t>
                </w:r>
              </w:p>
            </w:sdtContent>
          </w:sdt>
          <w:p w14:paraId="173270F9" w14:textId="39284E77" w:rsidR="00DE60DE" w:rsidRPr="004053F9" w:rsidRDefault="00CA3E79" w:rsidP="00DE60DE">
            <w:pPr>
              <w:pStyle w:val="Subtitle"/>
            </w:pPr>
            <w:r>
              <w:t>Barclays</w:t>
            </w:r>
          </w:p>
          <w:p w14:paraId="0B380635" w14:textId="37872BE5" w:rsidR="00DE60DE" w:rsidRDefault="00B25277" w:rsidP="00702A7E">
            <w:r>
              <w:t>INTERNAL ONLY</w:t>
            </w:r>
          </w:p>
        </w:tc>
      </w:tr>
      <w:tr w:rsidR="00DE60DE" w14:paraId="601917B9" w14:textId="77777777" w:rsidTr="003E0A16">
        <w:trPr>
          <w:trHeight w:val="1361"/>
        </w:trPr>
        <w:tc>
          <w:tcPr>
            <w:tcW w:w="9638" w:type="dxa"/>
          </w:tcPr>
          <w:p w14:paraId="2576F81C" w14:textId="77777777" w:rsidR="00DE60DE" w:rsidRDefault="00DE60DE" w:rsidP="00702A7E"/>
        </w:tc>
      </w:tr>
      <w:tr w:rsidR="00DE60DE" w14:paraId="2149342A" w14:textId="77777777" w:rsidTr="00AC2178">
        <w:tc>
          <w:tcPr>
            <w:tcW w:w="9638" w:type="dxa"/>
          </w:tcPr>
          <w:p w14:paraId="3DAFEDF9" w14:textId="233DD2B9" w:rsidR="00DE60DE" w:rsidRDefault="00DE60DE" w:rsidP="00DE60DE">
            <w:pPr>
              <w:pStyle w:val="Subtitle"/>
            </w:pPr>
            <w:r>
              <w:fldChar w:fldCharType="begin"/>
            </w:r>
            <w:r>
              <w:instrText xml:space="preserve"> DATE  \@ "d MMMM yyyy"  \* MERGEFORMAT </w:instrText>
            </w:r>
            <w:r>
              <w:fldChar w:fldCharType="separate"/>
            </w:r>
            <w:r w:rsidR="000B25ED">
              <w:rPr>
                <w:noProof/>
              </w:rPr>
              <w:t>27 January 2026</w:t>
            </w:r>
            <w:r>
              <w:fldChar w:fldCharType="end"/>
            </w:r>
            <w:r>
              <w:t xml:space="preserve"> | Document Version </w:t>
            </w:r>
            <w:r w:rsidR="00FA6DFC">
              <w:t>0.1</w:t>
            </w:r>
          </w:p>
        </w:tc>
      </w:tr>
      <w:tr w:rsidR="00DE60DE" w14:paraId="3D2DF1A2" w14:textId="77777777" w:rsidTr="00AC2178">
        <w:tc>
          <w:tcPr>
            <w:tcW w:w="9638" w:type="dxa"/>
          </w:tcPr>
          <w:p w14:paraId="1062E669" w14:textId="236F6128" w:rsidR="00DE60DE" w:rsidRDefault="007D511D" w:rsidP="007D511D">
            <w:pPr>
              <w:pStyle w:val="Subtitle"/>
            </w:pPr>
            <w:r>
              <w:t>Vijay Rangari</w:t>
            </w:r>
          </w:p>
        </w:tc>
      </w:tr>
      <w:tr w:rsidR="00DE60DE" w14:paraId="3BCDE335" w14:textId="77777777" w:rsidTr="00AC2178">
        <w:tc>
          <w:tcPr>
            <w:tcW w:w="9638" w:type="dxa"/>
          </w:tcPr>
          <w:p w14:paraId="269BA321" w14:textId="77777777" w:rsidR="00DE60DE" w:rsidRDefault="00DE60DE" w:rsidP="00702A7E"/>
        </w:tc>
      </w:tr>
    </w:tbl>
    <w:p w14:paraId="1439F608" w14:textId="4A974D39" w:rsidR="00824EC5" w:rsidRDefault="00824EC5" w:rsidP="00E55EA1">
      <w:pPr>
        <w:sectPr w:rsidR="00824EC5" w:rsidSect="00E728B1">
          <w:headerReference w:type="even" r:id="rId11"/>
          <w:headerReference w:type="default" r:id="rId12"/>
          <w:footerReference w:type="even" r:id="rId13"/>
          <w:footerReference w:type="default" r:id="rId14"/>
          <w:headerReference w:type="first" r:id="rId15"/>
          <w:footerReference w:type="first" r:id="rId16"/>
          <w:pgSz w:w="11906" w:h="16838"/>
          <w:pgMar w:top="1702" w:right="1134" w:bottom="1134" w:left="1134" w:header="709" w:footer="709" w:gutter="0"/>
          <w:cols w:space="708"/>
          <w:titlePg/>
          <w:docGrid w:linePitch="360"/>
        </w:sectPr>
      </w:pPr>
    </w:p>
    <w:p w14:paraId="1F41A787" w14:textId="6C98688A" w:rsidR="00D03EB2" w:rsidRPr="00B602A4" w:rsidRDefault="00E63379" w:rsidP="00B602A4">
      <w:pPr>
        <w:pStyle w:val="TOCHeading"/>
      </w:pPr>
      <w:r>
        <w:lastRenderedPageBreak/>
        <w:t>C</w:t>
      </w:r>
      <w:r w:rsidR="00D03EB2" w:rsidRPr="00B602A4">
        <w:t>ontents</w:t>
      </w:r>
    </w:p>
    <w:bookmarkStart w:id="0" w:name="UAFtemp"/>
    <w:bookmarkEnd w:id="0"/>
    <w:p w14:paraId="5A0E02E6" w14:textId="3AE87C59" w:rsidR="00342C6F" w:rsidRDefault="004125F9">
      <w:pPr>
        <w:pStyle w:val="TOC1"/>
        <w:rPr>
          <w:b w:val="0"/>
          <w:color w:val="auto"/>
          <w:sz w:val="24"/>
          <w:szCs w:val="24"/>
          <w:lang w:val="en-GB" w:eastAsia="en-GB"/>
        </w:rPr>
      </w:pPr>
      <w:r>
        <w:rPr>
          <w:color w:val="0072BC" w:themeColor="accent2"/>
        </w:rPr>
        <w:fldChar w:fldCharType="begin"/>
      </w:r>
      <w:r>
        <w:rPr>
          <w:color w:val="0072BC" w:themeColor="accent2"/>
        </w:rPr>
        <w:instrText xml:space="preserve"> TOC \o "2-3" \h \z \t "Heading 1,1,Appendix Heading 1,1,NTT Attachment,1,NTT Flush Heading,1" </w:instrText>
      </w:r>
      <w:r>
        <w:rPr>
          <w:color w:val="0072BC" w:themeColor="accent2"/>
        </w:rPr>
        <w:fldChar w:fldCharType="separate"/>
      </w:r>
      <w:hyperlink w:anchor="_Toc220409436" w:history="1">
        <w:r w:rsidR="00342C6F" w:rsidRPr="00900DE9">
          <w:rPr>
            <w:rStyle w:val="Hyperlink"/>
          </w:rPr>
          <w:t>1.</w:t>
        </w:r>
        <w:r w:rsidR="00342C6F">
          <w:rPr>
            <w:b w:val="0"/>
            <w:color w:val="auto"/>
            <w:sz w:val="24"/>
            <w:szCs w:val="24"/>
            <w:lang w:val="en-GB" w:eastAsia="en-GB"/>
          </w:rPr>
          <w:tab/>
        </w:r>
        <w:r w:rsidR="00342C6F" w:rsidRPr="00900DE9">
          <w:rPr>
            <w:rStyle w:val="Hyperlink"/>
          </w:rPr>
          <w:t>Overview</w:t>
        </w:r>
        <w:r w:rsidR="00342C6F">
          <w:rPr>
            <w:webHidden/>
          </w:rPr>
          <w:tab/>
        </w:r>
        <w:r w:rsidR="00342C6F">
          <w:rPr>
            <w:webHidden/>
          </w:rPr>
          <w:fldChar w:fldCharType="begin"/>
        </w:r>
        <w:r w:rsidR="00342C6F">
          <w:rPr>
            <w:webHidden/>
          </w:rPr>
          <w:instrText xml:space="preserve"> PAGEREF _Toc220409436 \h </w:instrText>
        </w:r>
        <w:r w:rsidR="00342C6F">
          <w:rPr>
            <w:webHidden/>
          </w:rPr>
        </w:r>
        <w:r w:rsidR="00342C6F">
          <w:rPr>
            <w:webHidden/>
          </w:rPr>
          <w:fldChar w:fldCharType="separate"/>
        </w:r>
        <w:r w:rsidR="00342C6F">
          <w:rPr>
            <w:webHidden/>
          </w:rPr>
          <w:t>4</w:t>
        </w:r>
        <w:r w:rsidR="00342C6F">
          <w:rPr>
            <w:webHidden/>
          </w:rPr>
          <w:fldChar w:fldCharType="end"/>
        </w:r>
      </w:hyperlink>
    </w:p>
    <w:p w14:paraId="66920626" w14:textId="3C5991DA" w:rsidR="00342C6F" w:rsidRDefault="00342C6F">
      <w:pPr>
        <w:pStyle w:val="TOC2"/>
        <w:rPr>
          <w:sz w:val="24"/>
          <w:szCs w:val="24"/>
          <w:lang w:val="en-GB" w:eastAsia="en-GB"/>
        </w:rPr>
      </w:pPr>
      <w:hyperlink w:anchor="_Toc220409437" w:history="1">
        <w:r w:rsidRPr="00900DE9">
          <w:rPr>
            <w:rStyle w:val="Hyperlink"/>
          </w:rPr>
          <w:t>1.1.</w:t>
        </w:r>
        <w:r>
          <w:rPr>
            <w:sz w:val="24"/>
            <w:szCs w:val="24"/>
            <w:lang w:val="en-GB" w:eastAsia="en-GB"/>
          </w:rPr>
          <w:tab/>
        </w:r>
        <w:r w:rsidRPr="00900DE9">
          <w:rPr>
            <w:rStyle w:val="Hyperlink"/>
          </w:rPr>
          <w:t>Supporting Documents/Links</w:t>
        </w:r>
        <w:r>
          <w:rPr>
            <w:webHidden/>
          </w:rPr>
          <w:tab/>
        </w:r>
        <w:r>
          <w:rPr>
            <w:webHidden/>
          </w:rPr>
          <w:fldChar w:fldCharType="begin"/>
        </w:r>
        <w:r>
          <w:rPr>
            <w:webHidden/>
          </w:rPr>
          <w:instrText xml:space="preserve"> PAGEREF _Toc220409437 \h </w:instrText>
        </w:r>
        <w:r>
          <w:rPr>
            <w:webHidden/>
          </w:rPr>
        </w:r>
        <w:r>
          <w:rPr>
            <w:webHidden/>
          </w:rPr>
          <w:fldChar w:fldCharType="separate"/>
        </w:r>
        <w:r>
          <w:rPr>
            <w:webHidden/>
          </w:rPr>
          <w:t>4</w:t>
        </w:r>
        <w:r>
          <w:rPr>
            <w:webHidden/>
          </w:rPr>
          <w:fldChar w:fldCharType="end"/>
        </w:r>
      </w:hyperlink>
    </w:p>
    <w:p w14:paraId="0B02BC6B" w14:textId="6A4B7C41" w:rsidR="00342C6F" w:rsidRDefault="00342C6F">
      <w:pPr>
        <w:pStyle w:val="TOC2"/>
        <w:rPr>
          <w:sz w:val="24"/>
          <w:szCs w:val="24"/>
          <w:lang w:val="en-GB" w:eastAsia="en-GB"/>
        </w:rPr>
      </w:pPr>
      <w:hyperlink w:anchor="_Toc220409438" w:history="1">
        <w:r w:rsidRPr="00900DE9">
          <w:rPr>
            <w:rStyle w:val="Hyperlink"/>
          </w:rPr>
          <w:t>1.2.</w:t>
        </w:r>
        <w:r>
          <w:rPr>
            <w:sz w:val="24"/>
            <w:szCs w:val="24"/>
            <w:lang w:val="en-GB" w:eastAsia="en-GB"/>
          </w:rPr>
          <w:tab/>
        </w:r>
        <w:r w:rsidRPr="00900DE9">
          <w:rPr>
            <w:rStyle w:val="Hyperlink"/>
          </w:rPr>
          <w:t>Credit agreement PSD data elements v1.2</w:t>
        </w:r>
        <w:r>
          <w:rPr>
            <w:webHidden/>
          </w:rPr>
          <w:tab/>
        </w:r>
        <w:r>
          <w:rPr>
            <w:webHidden/>
          </w:rPr>
          <w:fldChar w:fldCharType="begin"/>
        </w:r>
        <w:r>
          <w:rPr>
            <w:webHidden/>
          </w:rPr>
          <w:instrText xml:space="preserve"> PAGEREF _Toc220409438 \h </w:instrText>
        </w:r>
        <w:r>
          <w:rPr>
            <w:webHidden/>
          </w:rPr>
        </w:r>
        <w:r>
          <w:rPr>
            <w:webHidden/>
          </w:rPr>
          <w:fldChar w:fldCharType="separate"/>
        </w:r>
        <w:r>
          <w:rPr>
            <w:webHidden/>
          </w:rPr>
          <w:t>4</w:t>
        </w:r>
        <w:r>
          <w:rPr>
            <w:webHidden/>
          </w:rPr>
          <w:fldChar w:fldCharType="end"/>
        </w:r>
      </w:hyperlink>
    </w:p>
    <w:p w14:paraId="03031BD5" w14:textId="04420024" w:rsidR="00342C6F" w:rsidRDefault="00342C6F">
      <w:pPr>
        <w:pStyle w:val="TOC1"/>
        <w:rPr>
          <w:b w:val="0"/>
          <w:color w:val="auto"/>
          <w:sz w:val="24"/>
          <w:szCs w:val="24"/>
          <w:lang w:val="en-GB" w:eastAsia="en-GB"/>
        </w:rPr>
      </w:pPr>
      <w:hyperlink w:anchor="_Toc220409439" w:history="1">
        <w:r w:rsidRPr="00900DE9">
          <w:rPr>
            <w:rStyle w:val="Hyperlink"/>
          </w:rPr>
          <w:t>2.</w:t>
        </w:r>
        <w:r>
          <w:rPr>
            <w:b w:val="0"/>
            <w:color w:val="auto"/>
            <w:sz w:val="24"/>
            <w:szCs w:val="24"/>
            <w:lang w:val="en-GB" w:eastAsia="en-GB"/>
          </w:rPr>
          <w:tab/>
        </w:r>
        <w:r w:rsidRPr="00900DE9">
          <w:rPr>
            <w:rStyle w:val="Hyperlink"/>
          </w:rPr>
          <w:t>PSD006 – Short Term Loans</w:t>
        </w:r>
        <w:r>
          <w:rPr>
            <w:webHidden/>
          </w:rPr>
          <w:tab/>
        </w:r>
        <w:r>
          <w:rPr>
            <w:webHidden/>
          </w:rPr>
          <w:fldChar w:fldCharType="begin"/>
        </w:r>
        <w:r>
          <w:rPr>
            <w:webHidden/>
          </w:rPr>
          <w:instrText xml:space="preserve"> PAGEREF _Toc220409439 \h </w:instrText>
        </w:r>
        <w:r>
          <w:rPr>
            <w:webHidden/>
          </w:rPr>
        </w:r>
        <w:r>
          <w:rPr>
            <w:webHidden/>
          </w:rPr>
          <w:fldChar w:fldCharType="separate"/>
        </w:r>
        <w:r>
          <w:rPr>
            <w:webHidden/>
          </w:rPr>
          <w:t>5</w:t>
        </w:r>
        <w:r>
          <w:rPr>
            <w:webHidden/>
          </w:rPr>
          <w:fldChar w:fldCharType="end"/>
        </w:r>
      </w:hyperlink>
    </w:p>
    <w:p w14:paraId="294F6E61" w14:textId="2F706FC8" w:rsidR="00342C6F" w:rsidRDefault="00342C6F">
      <w:pPr>
        <w:pStyle w:val="TOC1"/>
        <w:rPr>
          <w:b w:val="0"/>
          <w:color w:val="auto"/>
          <w:sz w:val="24"/>
          <w:szCs w:val="24"/>
          <w:lang w:val="en-GB" w:eastAsia="en-GB"/>
        </w:rPr>
      </w:pPr>
      <w:hyperlink w:anchor="_Toc220409440" w:history="1">
        <w:r w:rsidRPr="00900DE9">
          <w:rPr>
            <w:rStyle w:val="Hyperlink"/>
          </w:rPr>
          <w:t>3.</w:t>
        </w:r>
        <w:r>
          <w:rPr>
            <w:b w:val="0"/>
            <w:color w:val="auto"/>
            <w:sz w:val="24"/>
            <w:szCs w:val="24"/>
            <w:lang w:val="en-GB" w:eastAsia="en-GB"/>
          </w:rPr>
          <w:tab/>
        </w:r>
        <w:r w:rsidRPr="00900DE9">
          <w:rPr>
            <w:rStyle w:val="Hyperlink"/>
          </w:rPr>
          <w:t>PSD008 – Credit Agreement Sales</w:t>
        </w:r>
        <w:r>
          <w:rPr>
            <w:webHidden/>
          </w:rPr>
          <w:tab/>
        </w:r>
        <w:r>
          <w:rPr>
            <w:webHidden/>
          </w:rPr>
          <w:fldChar w:fldCharType="begin"/>
        </w:r>
        <w:r>
          <w:rPr>
            <w:webHidden/>
          </w:rPr>
          <w:instrText xml:space="preserve"> PAGEREF _Toc220409440 \h </w:instrText>
        </w:r>
        <w:r>
          <w:rPr>
            <w:webHidden/>
          </w:rPr>
        </w:r>
        <w:r>
          <w:rPr>
            <w:webHidden/>
          </w:rPr>
          <w:fldChar w:fldCharType="separate"/>
        </w:r>
        <w:r>
          <w:rPr>
            <w:webHidden/>
          </w:rPr>
          <w:t>8</w:t>
        </w:r>
        <w:r>
          <w:rPr>
            <w:webHidden/>
          </w:rPr>
          <w:fldChar w:fldCharType="end"/>
        </w:r>
      </w:hyperlink>
    </w:p>
    <w:p w14:paraId="674A5B53" w14:textId="634E7643" w:rsidR="00342C6F" w:rsidRDefault="00342C6F">
      <w:pPr>
        <w:pStyle w:val="TOC1"/>
        <w:rPr>
          <w:b w:val="0"/>
          <w:color w:val="auto"/>
          <w:sz w:val="24"/>
          <w:szCs w:val="24"/>
          <w:lang w:val="en-GB" w:eastAsia="en-GB"/>
        </w:rPr>
      </w:pPr>
      <w:hyperlink w:anchor="_Toc220409441" w:history="1">
        <w:r w:rsidRPr="00900DE9">
          <w:rPr>
            <w:rStyle w:val="Hyperlink"/>
          </w:rPr>
          <w:t>4.</w:t>
        </w:r>
        <w:r>
          <w:rPr>
            <w:b w:val="0"/>
            <w:color w:val="auto"/>
            <w:sz w:val="24"/>
            <w:szCs w:val="24"/>
            <w:lang w:val="en-GB" w:eastAsia="en-GB"/>
          </w:rPr>
          <w:tab/>
        </w:r>
        <w:r w:rsidRPr="00900DE9">
          <w:rPr>
            <w:rStyle w:val="Hyperlink"/>
          </w:rPr>
          <w:t>User Stories</w:t>
        </w:r>
        <w:r>
          <w:rPr>
            <w:webHidden/>
          </w:rPr>
          <w:tab/>
        </w:r>
        <w:r>
          <w:rPr>
            <w:webHidden/>
          </w:rPr>
          <w:fldChar w:fldCharType="begin"/>
        </w:r>
        <w:r>
          <w:rPr>
            <w:webHidden/>
          </w:rPr>
          <w:instrText xml:space="preserve"> PAGEREF _Toc220409441 \h </w:instrText>
        </w:r>
        <w:r>
          <w:rPr>
            <w:webHidden/>
          </w:rPr>
        </w:r>
        <w:r>
          <w:rPr>
            <w:webHidden/>
          </w:rPr>
          <w:fldChar w:fldCharType="separate"/>
        </w:r>
        <w:r>
          <w:rPr>
            <w:webHidden/>
          </w:rPr>
          <w:t>76</w:t>
        </w:r>
        <w:r>
          <w:rPr>
            <w:webHidden/>
          </w:rPr>
          <w:fldChar w:fldCharType="end"/>
        </w:r>
      </w:hyperlink>
    </w:p>
    <w:p w14:paraId="2A9E7910" w14:textId="486DEAF3" w:rsidR="00342C6F" w:rsidRDefault="00342C6F">
      <w:pPr>
        <w:pStyle w:val="TOC2"/>
        <w:rPr>
          <w:sz w:val="24"/>
          <w:szCs w:val="24"/>
          <w:lang w:val="en-GB" w:eastAsia="en-GB"/>
        </w:rPr>
      </w:pPr>
      <w:hyperlink w:anchor="_Toc220409442" w:history="1">
        <w:r w:rsidRPr="00900DE9">
          <w:rPr>
            <w:rStyle w:val="Hyperlink"/>
          </w:rPr>
          <w:t>4.1.</w:t>
        </w:r>
        <w:r>
          <w:rPr>
            <w:sz w:val="24"/>
            <w:szCs w:val="24"/>
            <w:lang w:val="en-GB" w:eastAsia="en-GB"/>
          </w:rPr>
          <w:tab/>
        </w:r>
        <w:r w:rsidRPr="00900DE9">
          <w:rPr>
            <w:rStyle w:val="Hyperlink"/>
          </w:rPr>
          <w:t>Reg Reporting Analyst</w:t>
        </w:r>
        <w:r>
          <w:rPr>
            <w:webHidden/>
          </w:rPr>
          <w:tab/>
        </w:r>
        <w:r>
          <w:rPr>
            <w:webHidden/>
          </w:rPr>
          <w:fldChar w:fldCharType="begin"/>
        </w:r>
        <w:r>
          <w:rPr>
            <w:webHidden/>
          </w:rPr>
          <w:instrText xml:space="preserve"> PAGEREF _Toc220409442 \h </w:instrText>
        </w:r>
        <w:r>
          <w:rPr>
            <w:webHidden/>
          </w:rPr>
        </w:r>
        <w:r>
          <w:rPr>
            <w:webHidden/>
          </w:rPr>
          <w:fldChar w:fldCharType="separate"/>
        </w:r>
        <w:r>
          <w:rPr>
            <w:webHidden/>
          </w:rPr>
          <w:t>76</w:t>
        </w:r>
        <w:r>
          <w:rPr>
            <w:webHidden/>
          </w:rPr>
          <w:fldChar w:fldCharType="end"/>
        </w:r>
      </w:hyperlink>
    </w:p>
    <w:p w14:paraId="1C972299" w14:textId="68DB1F03" w:rsidR="00342C6F" w:rsidRDefault="00342C6F">
      <w:pPr>
        <w:pStyle w:val="TOC2"/>
        <w:rPr>
          <w:sz w:val="24"/>
          <w:szCs w:val="24"/>
          <w:lang w:val="en-GB" w:eastAsia="en-GB"/>
        </w:rPr>
      </w:pPr>
      <w:hyperlink w:anchor="_Toc220409443" w:history="1">
        <w:r w:rsidRPr="00900DE9">
          <w:rPr>
            <w:rStyle w:val="Hyperlink"/>
          </w:rPr>
          <w:t>4.2.</w:t>
        </w:r>
        <w:r>
          <w:rPr>
            <w:sz w:val="24"/>
            <w:szCs w:val="24"/>
            <w:lang w:val="en-GB" w:eastAsia="en-GB"/>
          </w:rPr>
          <w:tab/>
        </w:r>
        <w:r w:rsidRPr="00900DE9">
          <w:rPr>
            <w:rStyle w:val="Hyperlink"/>
          </w:rPr>
          <w:t>Business Analyst</w:t>
        </w:r>
        <w:r>
          <w:rPr>
            <w:webHidden/>
          </w:rPr>
          <w:tab/>
        </w:r>
        <w:r>
          <w:rPr>
            <w:webHidden/>
          </w:rPr>
          <w:fldChar w:fldCharType="begin"/>
        </w:r>
        <w:r>
          <w:rPr>
            <w:webHidden/>
          </w:rPr>
          <w:instrText xml:space="preserve"> PAGEREF _Toc220409443 \h </w:instrText>
        </w:r>
        <w:r>
          <w:rPr>
            <w:webHidden/>
          </w:rPr>
        </w:r>
        <w:r>
          <w:rPr>
            <w:webHidden/>
          </w:rPr>
          <w:fldChar w:fldCharType="separate"/>
        </w:r>
        <w:r>
          <w:rPr>
            <w:webHidden/>
          </w:rPr>
          <w:t>76</w:t>
        </w:r>
        <w:r>
          <w:rPr>
            <w:webHidden/>
          </w:rPr>
          <w:fldChar w:fldCharType="end"/>
        </w:r>
      </w:hyperlink>
    </w:p>
    <w:p w14:paraId="6D16FB81" w14:textId="27B37BAA" w:rsidR="00342C6F" w:rsidRDefault="00342C6F">
      <w:pPr>
        <w:pStyle w:val="TOC2"/>
        <w:rPr>
          <w:sz w:val="24"/>
          <w:szCs w:val="24"/>
          <w:lang w:val="en-GB" w:eastAsia="en-GB"/>
        </w:rPr>
      </w:pPr>
      <w:hyperlink w:anchor="_Toc220409444" w:history="1">
        <w:r w:rsidRPr="00900DE9">
          <w:rPr>
            <w:rStyle w:val="Hyperlink"/>
          </w:rPr>
          <w:t>4.3.</w:t>
        </w:r>
        <w:r>
          <w:rPr>
            <w:sz w:val="24"/>
            <w:szCs w:val="24"/>
            <w:lang w:val="en-GB" w:eastAsia="en-GB"/>
          </w:rPr>
          <w:tab/>
        </w:r>
        <w:r w:rsidRPr="00900DE9">
          <w:rPr>
            <w:rStyle w:val="Hyperlink"/>
          </w:rPr>
          <w:t>Developer</w:t>
        </w:r>
        <w:r>
          <w:rPr>
            <w:webHidden/>
          </w:rPr>
          <w:tab/>
        </w:r>
        <w:r>
          <w:rPr>
            <w:webHidden/>
          </w:rPr>
          <w:fldChar w:fldCharType="begin"/>
        </w:r>
        <w:r>
          <w:rPr>
            <w:webHidden/>
          </w:rPr>
          <w:instrText xml:space="preserve"> PAGEREF _Toc220409444 \h </w:instrText>
        </w:r>
        <w:r>
          <w:rPr>
            <w:webHidden/>
          </w:rPr>
        </w:r>
        <w:r>
          <w:rPr>
            <w:webHidden/>
          </w:rPr>
          <w:fldChar w:fldCharType="separate"/>
        </w:r>
        <w:r>
          <w:rPr>
            <w:webHidden/>
          </w:rPr>
          <w:t>76</w:t>
        </w:r>
        <w:r>
          <w:rPr>
            <w:webHidden/>
          </w:rPr>
          <w:fldChar w:fldCharType="end"/>
        </w:r>
      </w:hyperlink>
    </w:p>
    <w:p w14:paraId="4E2D1678" w14:textId="25BB7F59" w:rsidR="005B4891" w:rsidRPr="00077BDC" w:rsidRDefault="004125F9" w:rsidP="00D419B9">
      <w:pPr>
        <w:pStyle w:val="TOC1"/>
        <w:rPr>
          <w:b w:val="0"/>
          <w:color w:val="0072BC" w:themeColor="accent2"/>
        </w:rPr>
      </w:pPr>
      <w:r>
        <w:rPr>
          <w:color w:val="0072BC" w:themeColor="accent2"/>
        </w:rPr>
        <w:fldChar w:fldCharType="end"/>
      </w:r>
    </w:p>
    <w:p w14:paraId="1B2409E4" w14:textId="77777777" w:rsidR="005B4891" w:rsidRPr="003A4083" w:rsidRDefault="005B4891" w:rsidP="003A4083">
      <w:pPr>
        <w:pStyle w:val="BodyText"/>
      </w:pPr>
      <w:r>
        <w:br w:type="page"/>
      </w:r>
    </w:p>
    <w:p w14:paraId="42B5DA45" w14:textId="3BED2838" w:rsidR="00742376" w:rsidRDefault="00742376" w:rsidP="00C12906">
      <w:pPr>
        <w:pStyle w:val="Heading4"/>
      </w:pPr>
      <w:r>
        <w:lastRenderedPageBreak/>
        <w:t>List of abbreviations</w:t>
      </w:r>
    </w:p>
    <w:tbl>
      <w:tblPr>
        <w:tblStyle w:val="NTTFutureBluetable"/>
        <w:tblW w:w="0" w:type="auto"/>
        <w:tblLook w:val="0620" w:firstRow="1" w:lastRow="0" w:firstColumn="0" w:lastColumn="0" w:noHBand="1" w:noVBand="1"/>
      </w:tblPr>
      <w:tblGrid>
        <w:gridCol w:w="1838"/>
        <w:gridCol w:w="7790"/>
      </w:tblGrid>
      <w:tr w:rsidR="00742376" w14:paraId="70F286CD" w14:textId="77777777" w:rsidTr="003528AD">
        <w:trPr>
          <w:cnfStyle w:val="100000000000" w:firstRow="1" w:lastRow="0" w:firstColumn="0" w:lastColumn="0" w:oddVBand="0" w:evenVBand="0" w:oddHBand="0" w:evenHBand="0" w:firstRowFirstColumn="0" w:firstRowLastColumn="0" w:lastRowFirstColumn="0" w:lastRowLastColumn="0"/>
        </w:trPr>
        <w:tc>
          <w:tcPr>
            <w:tcW w:w="1838" w:type="dxa"/>
          </w:tcPr>
          <w:p w14:paraId="59932F2E" w14:textId="5F1A0A81" w:rsidR="00742376" w:rsidRDefault="00742376" w:rsidP="008F4C7B">
            <w:pPr>
              <w:pStyle w:val="NTTTableWhiteHeader"/>
            </w:pPr>
            <w:r w:rsidRPr="00742376">
              <w:t>Abbreviation</w:t>
            </w:r>
          </w:p>
        </w:tc>
        <w:tc>
          <w:tcPr>
            <w:tcW w:w="7790" w:type="dxa"/>
          </w:tcPr>
          <w:p w14:paraId="7E85E015" w14:textId="5536992C" w:rsidR="00742376" w:rsidRDefault="00742376" w:rsidP="008F4C7B">
            <w:pPr>
              <w:pStyle w:val="NTTTableWhiteHeader"/>
            </w:pPr>
            <w:r w:rsidRPr="00742376">
              <w:t>Meaning</w:t>
            </w:r>
          </w:p>
        </w:tc>
      </w:tr>
      <w:tr w:rsidR="00742376" w14:paraId="78EA3344" w14:textId="77777777" w:rsidTr="003528AD">
        <w:tc>
          <w:tcPr>
            <w:tcW w:w="1838" w:type="dxa"/>
          </w:tcPr>
          <w:p w14:paraId="232A6C5F" w14:textId="481D7F32" w:rsidR="00742376" w:rsidRDefault="004253DD" w:rsidP="008F4C7B">
            <w:pPr>
              <w:pStyle w:val="NTTTableBodyText"/>
            </w:pPr>
            <w:r>
              <w:t>PSD</w:t>
            </w:r>
          </w:p>
        </w:tc>
        <w:tc>
          <w:tcPr>
            <w:tcW w:w="7790" w:type="dxa"/>
          </w:tcPr>
          <w:p w14:paraId="2D8C42C4" w14:textId="77C84733" w:rsidR="00742376" w:rsidRDefault="004253DD" w:rsidP="008F4C7B">
            <w:pPr>
              <w:pStyle w:val="NTTTableBodyText"/>
            </w:pPr>
            <w:r>
              <w:t>Product Sales Data</w:t>
            </w:r>
          </w:p>
        </w:tc>
      </w:tr>
      <w:tr w:rsidR="00742376" w14:paraId="4A99A34B" w14:textId="77777777" w:rsidTr="003528AD">
        <w:tc>
          <w:tcPr>
            <w:tcW w:w="1838" w:type="dxa"/>
          </w:tcPr>
          <w:p w14:paraId="4BBD9E48" w14:textId="77777777" w:rsidR="00742376" w:rsidRDefault="00742376" w:rsidP="008F4C7B">
            <w:pPr>
              <w:pStyle w:val="NTTTableBodyText"/>
            </w:pPr>
          </w:p>
        </w:tc>
        <w:tc>
          <w:tcPr>
            <w:tcW w:w="7790" w:type="dxa"/>
          </w:tcPr>
          <w:p w14:paraId="446DFD42" w14:textId="77777777" w:rsidR="00742376" w:rsidRDefault="00742376" w:rsidP="008F4C7B">
            <w:pPr>
              <w:pStyle w:val="NTTTableBodyText"/>
            </w:pPr>
          </w:p>
        </w:tc>
      </w:tr>
      <w:tr w:rsidR="00742376" w14:paraId="04C10C29" w14:textId="77777777" w:rsidTr="003528AD">
        <w:tc>
          <w:tcPr>
            <w:tcW w:w="1838" w:type="dxa"/>
          </w:tcPr>
          <w:p w14:paraId="031A57AE" w14:textId="77777777" w:rsidR="00742376" w:rsidRDefault="00742376" w:rsidP="008F4C7B">
            <w:pPr>
              <w:pStyle w:val="NTTTableBodyText"/>
            </w:pPr>
          </w:p>
        </w:tc>
        <w:tc>
          <w:tcPr>
            <w:tcW w:w="7790" w:type="dxa"/>
          </w:tcPr>
          <w:p w14:paraId="24A2631D" w14:textId="77777777" w:rsidR="00742376" w:rsidRDefault="00742376" w:rsidP="008F4C7B">
            <w:pPr>
              <w:pStyle w:val="NTTTableBodyText"/>
            </w:pPr>
          </w:p>
        </w:tc>
      </w:tr>
      <w:tr w:rsidR="00742376" w14:paraId="2894D7FB" w14:textId="77777777" w:rsidTr="003528AD">
        <w:tc>
          <w:tcPr>
            <w:tcW w:w="1838" w:type="dxa"/>
          </w:tcPr>
          <w:p w14:paraId="7CFC22FC" w14:textId="77777777" w:rsidR="00742376" w:rsidRDefault="00742376" w:rsidP="008F4C7B">
            <w:pPr>
              <w:pStyle w:val="NTTTableBodyText"/>
            </w:pPr>
          </w:p>
        </w:tc>
        <w:tc>
          <w:tcPr>
            <w:tcW w:w="7790" w:type="dxa"/>
          </w:tcPr>
          <w:p w14:paraId="6FD7102F" w14:textId="77777777" w:rsidR="00742376" w:rsidRDefault="00742376" w:rsidP="008F4C7B">
            <w:pPr>
              <w:pStyle w:val="NTTTableBodyText"/>
            </w:pPr>
          </w:p>
        </w:tc>
      </w:tr>
      <w:tr w:rsidR="00742376" w14:paraId="59129D1B" w14:textId="77777777" w:rsidTr="003528AD">
        <w:tc>
          <w:tcPr>
            <w:tcW w:w="1838" w:type="dxa"/>
          </w:tcPr>
          <w:p w14:paraId="712E8A3A" w14:textId="77777777" w:rsidR="00742376" w:rsidRDefault="00742376" w:rsidP="008F4C7B">
            <w:pPr>
              <w:pStyle w:val="NTTTableBodyText"/>
            </w:pPr>
          </w:p>
        </w:tc>
        <w:tc>
          <w:tcPr>
            <w:tcW w:w="7790" w:type="dxa"/>
          </w:tcPr>
          <w:p w14:paraId="2179CF4E" w14:textId="77777777" w:rsidR="00742376" w:rsidRDefault="00742376" w:rsidP="008F4C7B">
            <w:pPr>
              <w:pStyle w:val="NTTTableBodyText"/>
            </w:pPr>
          </w:p>
        </w:tc>
      </w:tr>
      <w:tr w:rsidR="00742376" w14:paraId="3BD6FEB2" w14:textId="77777777" w:rsidTr="003528AD">
        <w:tc>
          <w:tcPr>
            <w:tcW w:w="1838" w:type="dxa"/>
          </w:tcPr>
          <w:p w14:paraId="3A21F05F" w14:textId="77777777" w:rsidR="00742376" w:rsidRDefault="00742376" w:rsidP="008F4C7B">
            <w:pPr>
              <w:pStyle w:val="NTTTableBodyText"/>
            </w:pPr>
          </w:p>
        </w:tc>
        <w:tc>
          <w:tcPr>
            <w:tcW w:w="7790" w:type="dxa"/>
          </w:tcPr>
          <w:p w14:paraId="430F4501" w14:textId="77777777" w:rsidR="00742376" w:rsidRDefault="00742376" w:rsidP="008F4C7B">
            <w:pPr>
              <w:pStyle w:val="NTTTableBodyText"/>
            </w:pPr>
          </w:p>
        </w:tc>
      </w:tr>
      <w:tr w:rsidR="00742376" w14:paraId="760BCF88" w14:textId="77777777" w:rsidTr="003528AD">
        <w:tc>
          <w:tcPr>
            <w:tcW w:w="1838" w:type="dxa"/>
          </w:tcPr>
          <w:p w14:paraId="41F5C982" w14:textId="77777777" w:rsidR="00742376" w:rsidRDefault="00742376" w:rsidP="008F4C7B">
            <w:pPr>
              <w:pStyle w:val="NTTTableBodyText"/>
            </w:pPr>
          </w:p>
        </w:tc>
        <w:tc>
          <w:tcPr>
            <w:tcW w:w="7790" w:type="dxa"/>
          </w:tcPr>
          <w:p w14:paraId="0D4047B6" w14:textId="77777777" w:rsidR="00742376" w:rsidRDefault="00742376" w:rsidP="008F4C7B">
            <w:pPr>
              <w:pStyle w:val="NTTTableBodyText"/>
            </w:pPr>
          </w:p>
        </w:tc>
      </w:tr>
    </w:tbl>
    <w:p w14:paraId="496CD783" w14:textId="71556A6D" w:rsidR="002E7929" w:rsidRDefault="002E7929" w:rsidP="001F3950">
      <w:pPr>
        <w:pStyle w:val="NTTHistoryHeading"/>
      </w:pPr>
      <w:r>
        <w:t>Document history</w:t>
      </w:r>
    </w:p>
    <w:tbl>
      <w:tblPr>
        <w:tblStyle w:val="NTTFutureBluetable"/>
        <w:tblW w:w="9631" w:type="dxa"/>
        <w:tblLayout w:type="fixed"/>
        <w:tblLook w:val="0620" w:firstRow="1" w:lastRow="0" w:firstColumn="0" w:lastColumn="0" w:noHBand="1" w:noVBand="1"/>
      </w:tblPr>
      <w:tblGrid>
        <w:gridCol w:w="798"/>
        <w:gridCol w:w="2168"/>
        <w:gridCol w:w="4564"/>
        <w:gridCol w:w="2101"/>
      </w:tblGrid>
      <w:tr w:rsidR="002E7929" w:rsidRPr="002E7929" w14:paraId="19B6487F" w14:textId="77777777" w:rsidTr="002E7929">
        <w:trPr>
          <w:cnfStyle w:val="100000000000" w:firstRow="1" w:lastRow="0" w:firstColumn="0" w:lastColumn="0" w:oddVBand="0" w:evenVBand="0" w:oddHBand="0" w:evenHBand="0" w:firstRowFirstColumn="0" w:firstRowLastColumn="0" w:lastRowFirstColumn="0" w:lastRowLastColumn="0"/>
        </w:trPr>
        <w:tc>
          <w:tcPr>
            <w:tcW w:w="798" w:type="dxa"/>
          </w:tcPr>
          <w:p w14:paraId="693FFE1E" w14:textId="77777777" w:rsidR="002E7929" w:rsidRPr="002E7929" w:rsidRDefault="002E7929" w:rsidP="002E7929">
            <w:pPr>
              <w:pStyle w:val="NTTTableWhiteHeader"/>
            </w:pPr>
            <w:r w:rsidRPr="002E7929">
              <w:t>Issue</w:t>
            </w:r>
          </w:p>
        </w:tc>
        <w:tc>
          <w:tcPr>
            <w:tcW w:w="2168" w:type="dxa"/>
          </w:tcPr>
          <w:p w14:paraId="5704C1BB" w14:textId="77777777" w:rsidR="002E7929" w:rsidRPr="002E7929" w:rsidRDefault="002E7929" w:rsidP="002E7929">
            <w:pPr>
              <w:pStyle w:val="NTTTableWhiteHeader"/>
            </w:pPr>
            <w:r w:rsidRPr="002E7929">
              <w:t>Date</w:t>
            </w:r>
          </w:p>
        </w:tc>
        <w:tc>
          <w:tcPr>
            <w:tcW w:w="4564" w:type="dxa"/>
          </w:tcPr>
          <w:p w14:paraId="6C8904F0" w14:textId="77777777" w:rsidR="002E7929" w:rsidRPr="002E7929" w:rsidRDefault="002E7929" w:rsidP="002E7929">
            <w:pPr>
              <w:pStyle w:val="NTTTableWhiteHeader"/>
            </w:pPr>
            <w:r w:rsidRPr="002E7929">
              <w:t>Comments</w:t>
            </w:r>
          </w:p>
        </w:tc>
        <w:tc>
          <w:tcPr>
            <w:tcW w:w="2101" w:type="dxa"/>
          </w:tcPr>
          <w:p w14:paraId="5F8F5B81" w14:textId="77777777" w:rsidR="002E7929" w:rsidRPr="002E7929" w:rsidRDefault="002E7929" w:rsidP="002E7929">
            <w:pPr>
              <w:pStyle w:val="NTTTableWhiteHeader"/>
            </w:pPr>
            <w:r w:rsidRPr="002E7929">
              <w:t>Pages Affected</w:t>
            </w:r>
          </w:p>
        </w:tc>
      </w:tr>
      <w:tr w:rsidR="002E7929" w:rsidRPr="002E7929" w14:paraId="5FFA235B" w14:textId="77777777" w:rsidTr="002E7929">
        <w:tc>
          <w:tcPr>
            <w:tcW w:w="798" w:type="dxa"/>
          </w:tcPr>
          <w:p w14:paraId="0107E172" w14:textId="7B49169A" w:rsidR="002E7929" w:rsidRPr="002E7929" w:rsidRDefault="00427C4B" w:rsidP="00FD6AC1">
            <w:pPr>
              <w:pStyle w:val="NTTTableBodyText"/>
            </w:pPr>
            <w:r>
              <w:t>0.1</w:t>
            </w:r>
          </w:p>
        </w:tc>
        <w:tc>
          <w:tcPr>
            <w:tcW w:w="2168" w:type="dxa"/>
          </w:tcPr>
          <w:p w14:paraId="26607376" w14:textId="77777777" w:rsidR="002E7929" w:rsidRPr="002E7929" w:rsidRDefault="002E7929" w:rsidP="00FD6AC1">
            <w:pPr>
              <w:pStyle w:val="NTTTableBodyText"/>
            </w:pPr>
          </w:p>
        </w:tc>
        <w:tc>
          <w:tcPr>
            <w:tcW w:w="4564" w:type="dxa"/>
          </w:tcPr>
          <w:p w14:paraId="5D3A2D50" w14:textId="192349AB" w:rsidR="002E7929" w:rsidRPr="002E7929" w:rsidRDefault="00427C4B" w:rsidP="00FD6AC1">
            <w:pPr>
              <w:pStyle w:val="NTTTableBodyText"/>
            </w:pPr>
            <w:r>
              <w:t>Draft</w:t>
            </w:r>
          </w:p>
        </w:tc>
        <w:tc>
          <w:tcPr>
            <w:tcW w:w="2101" w:type="dxa"/>
          </w:tcPr>
          <w:p w14:paraId="1BE94B4A" w14:textId="77777777" w:rsidR="002E7929" w:rsidRPr="002E7929" w:rsidRDefault="002E7929" w:rsidP="00FD6AC1">
            <w:pPr>
              <w:pStyle w:val="NTTTableBodyText"/>
            </w:pPr>
            <w:r w:rsidRPr="002E7929">
              <w:t>All</w:t>
            </w:r>
          </w:p>
        </w:tc>
      </w:tr>
      <w:tr w:rsidR="002E7929" w14:paraId="31DADFB6" w14:textId="77777777" w:rsidTr="002E7929">
        <w:tc>
          <w:tcPr>
            <w:tcW w:w="798" w:type="dxa"/>
          </w:tcPr>
          <w:p w14:paraId="1A2B5338" w14:textId="1516D490" w:rsidR="002E7929" w:rsidRDefault="00427C4B" w:rsidP="00FD6AC1">
            <w:pPr>
              <w:pStyle w:val="NTTTableBodyText"/>
            </w:pPr>
            <w:r>
              <w:t>1</w:t>
            </w:r>
            <w:r w:rsidR="002E7929" w:rsidRPr="002E7929">
              <w:t>.0</w:t>
            </w:r>
          </w:p>
        </w:tc>
        <w:tc>
          <w:tcPr>
            <w:tcW w:w="2168" w:type="dxa"/>
          </w:tcPr>
          <w:p w14:paraId="0B245A2C" w14:textId="77777777" w:rsidR="002E7929" w:rsidRDefault="002E7929" w:rsidP="00FD6AC1">
            <w:pPr>
              <w:pStyle w:val="NTTTableBodyText"/>
            </w:pPr>
          </w:p>
        </w:tc>
        <w:tc>
          <w:tcPr>
            <w:tcW w:w="4564" w:type="dxa"/>
          </w:tcPr>
          <w:p w14:paraId="0CA400C3" w14:textId="77777777" w:rsidR="002E7929" w:rsidRDefault="002E7929" w:rsidP="00FD6AC1">
            <w:pPr>
              <w:pStyle w:val="NTTTableBodyText"/>
            </w:pPr>
          </w:p>
        </w:tc>
        <w:tc>
          <w:tcPr>
            <w:tcW w:w="2101" w:type="dxa"/>
          </w:tcPr>
          <w:p w14:paraId="0ABDE3DA" w14:textId="77777777" w:rsidR="002E7929" w:rsidRDefault="002E7929" w:rsidP="00FD6AC1">
            <w:pPr>
              <w:pStyle w:val="NTTTableBodyText"/>
            </w:pPr>
          </w:p>
        </w:tc>
      </w:tr>
    </w:tbl>
    <w:p w14:paraId="6F649E24" w14:textId="09F0D0A7" w:rsidR="00D03EB2" w:rsidRPr="00A651FB" w:rsidRDefault="00B25277" w:rsidP="00507AF6">
      <w:pPr>
        <w:pStyle w:val="Heading1"/>
        <w:numPr>
          <w:ilvl w:val="0"/>
          <w:numId w:val="24"/>
        </w:numPr>
      </w:pPr>
      <w:bookmarkStart w:id="1" w:name="_Toc145071779"/>
      <w:bookmarkStart w:id="2" w:name="_Ref145074135"/>
      <w:bookmarkStart w:id="3" w:name="_Toc145074488"/>
      <w:bookmarkStart w:id="4" w:name="_Toc145074493"/>
      <w:bookmarkStart w:id="5" w:name="_Ref145075954"/>
      <w:bookmarkStart w:id="6" w:name="_Toc220409436"/>
      <w:r>
        <w:lastRenderedPageBreak/>
        <w:t>Overview</w:t>
      </w:r>
      <w:bookmarkEnd w:id="1"/>
      <w:bookmarkEnd w:id="2"/>
      <w:bookmarkEnd w:id="3"/>
      <w:bookmarkEnd w:id="4"/>
      <w:bookmarkEnd w:id="5"/>
      <w:bookmarkEnd w:id="6"/>
      <w:r w:rsidR="00327041" w:rsidRPr="00A651FB">
        <w:t xml:space="preserve"> </w:t>
      </w:r>
    </w:p>
    <w:p w14:paraId="3EA3E7D7" w14:textId="71BEEEA7" w:rsidR="00041570" w:rsidRDefault="00431624" w:rsidP="00007E75">
      <w:pPr>
        <w:pStyle w:val="BodyText"/>
      </w:pPr>
      <w:r w:rsidRPr="001F3950">
        <w:rPr>
          <w:highlight w:val="green"/>
        </w:rPr>
        <w:fldChar w:fldCharType="begin"/>
      </w:r>
      <w:r w:rsidRPr="001F3950">
        <w:rPr>
          <w:highlight w:val="green"/>
        </w:rPr>
        <w:instrText xml:space="preserve"> DOCPROPERTY "Client"  \* MERGEFORMAT </w:instrText>
      </w:r>
      <w:r w:rsidRPr="001F3950">
        <w:rPr>
          <w:highlight w:val="green"/>
        </w:rPr>
        <w:fldChar w:fldCharType="end"/>
      </w:r>
      <w:r w:rsidR="00166225">
        <w:t xml:space="preserve">The aim of this document is to capture </w:t>
      </w:r>
      <w:r w:rsidR="005E1C68">
        <w:t>a</w:t>
      </w:r>
      <w:r w:rsidR="00EE40F2">
        <w:t>t least 1</w:t>
      </w:r>
      <w:r w:rsidR="00166225">
        <w:t xml:space="preserve"> Use Case for consideration to create a Demo of </w:t>
      </w:r>
      <w:r w:rsidR="00B25E2C">
        <w:t xml:space="preserve">an </w:t>
      </w:r>
      <w:r w:rsidR="00166225">
        <w:t>FCA</w:t>
      </w:r>
      <w:r w:rsidR="00B25E2C">
        <w:t xml:space="preserve"> </w:t>
      </w:r>
      <w:r w:rsidR="00FD599B">
        <w:t xml:space="preserve">Compliance </w:t>
      </w:r>
      <w:proofErr w:type="gramStart"/>
      <w:r w:rsidR="00B25E2C">
        <w:t>required</w:t>
      </w:r>
      <w:proofErr w:type="gramEnd"/>
      <w:r w:rsidR="00B25E2C">
        <w:t xml:space="preserve"> </w:t>
      </w:r>
      <w:r w:rsidR="00FD599B">
        <w:t xml:space="preserve">Product Sales Data </w:t>
      </w:r>
      <w:r w:rsidR="00B25E2C">
        <w:t>Report</w:t>
      </w:r>
      <w:r w:rsidR="00166225">
        <w:t xml:space="preserve"> </w:t>
      </w:r>
      <w:r w:rsidR="005E1C68">
        <w:t>(</w:t>
      </w:r>
      <w:r w:rsidR="00166225">
        <w:t>PS</w:t>
      </w:r>
      <w:r w:rsidR="00F26C4F">
        <w:t>D</w:t>
      </w:r>
      <w:r w:rsidR="005E1C68">
        <w:t xml:space="preserve"> Report)</w:t>
      </w:r>
      <w:r w:rsidR="00041570" w:rsidRPr="001F3950">
        <w:t>.</w:t>
      </w:r>
    </w:p>
    <w:p w14:paraId="687F635B" w14:textId="3F3C64D2" w:rsidR="00FC6B3C" w:rsidRPr="00E26FD7" w:rsidRDefault="00E742A4" w:rsidP="00007E75">
      <w:pPr>
        <w:pStyle w:val="BodyText"/>
        <w:rPr>
          <w:b/>
          <w:bCs/>
        </w:rPr>
      </w:pPr>
      <w:r w:rsidRPr="00E26FD7">
        <w:rPr>
          <w:b/>
          <w:bCs/>
        </w:rPr>
        <w:t>For the purposes of this Demo, t</w:t>
      </w:r>
      <w:r w:rsidR="00FC6B3C" w:rsidRPr="00E26FD7">
        <w:rPr>
          <w:b/>
          <w:bCs/>
        </w:rPr>
        <w:t xml:space="preserve">he output format </w:t>
      </w:r>
      <w:r w:rsidRPr="00E26FD7">
        <w:rPr>
          <w:b/>
          <w:bCs/>
        </w:rPr>
        <w:t>will</w:t>
      </w:r>
      <w:r w:rsidR="00FC6B3C" w:rsidRPr="00E26FD7">
        <w:rPr>
          <w:b/>
          <w:bCs/>
        </w:rPr>
        <w:t xml:space="preserve"> be a .CSV file in compliance with the </w:t>
      </w:r>
      <w:r w:rsidRPr="00E26FD7">
        <w:rPr>
          <w:b/>
          <w:bCs/>
        </w:rPr>
        <w:t>Requirements captured in this document.</w:t>
      </w:r>
    </w:p>
    <w:p w14:paraId="74A020C8" w14:textId="062517B5" w:rsidR="00D03EB2" w:rsidRDefault="005E1C68" w:rsidP="00507AF6">
      <w:pPr>
        <w:pStyle w:val="Heading2"/>
        <w:tabs>
          <w:tab w:val="clear" w:pos="850"/>
        </w:tabs>
      </w:pPr>
      <w:bookmarkStart w:id="7" w:name="_Toc220409437"/>
      <w:r>
        <w:t>Supporting Documents/Links</w:t>
      </w:r>
      <w:bookmarkEnd w:id="7"/>
      <w:r w:rsidR="0093724C">
        <w:t xml:space="preserve"> </w:t>
      </w:r>
    </w:p>
    <w:p w14:paraId="0C31717A" w14:textId="6CD8BACB" w:rsidR="00FB2FD0" w:rsidRDefault="00FD599B" w:rsidP="00251212">
      <w:pPr>
        <w:pStyle w:val="NTTFlushBullet1"/>
      </w:pPr>
      <w:r>
        <w:t>FCA PS</w:t>
      </w:r>
      <w:r w:rsidR="004253DD">
        <w:t>Ds</w:t>
      </w:r>
      <w:r>
        <w:t xml:space="preserve">: </w:t>
      </w:r>
      <w:hyperlink r:id="rId17" w:history="1">
        <w:r w:rsidR="004B3EB1" w:rsidRPr="004B3EB1">
          <w:rPr>
            <w:rStyle w:val="Hyperlink"/>
            <w:lang w:val="en-US"/>
          </w:rPr>
          <w:t>Product sales data reporting | FCA</w:t>
        </w:r>
      </w:hyperlink>
    </w:p>
    <w:p w14:paraId="5C388991" w14:textId="34C28CAB" w:rsidR="004B3EB1" w:rsidRDefault="00B56470" w:rsidP="00251212">
      <w:pPr>
        <w:pStyle w:val="NTTFlushBullet1"/>
      </w:pPr>
      <w:hyperlink r:id="rId18" w:history="1">
        <w:r w:rsidRPr="00B56470">
          <w:rPr>
            <w:rStyle w:val="Hyperlink"/>
            <w:lang w:val="en-US"/>
          </w:rPr>
          <w:t>UK Mortgage Product Dataset</w:t>
        </w:r>
      </w:hyperlink>
    </w:p>
    <w:p w14:paraId="18396C6F" w14:textId="02539704" w:rsidR="003E0376" w:rsidRDefault="00CA50A0" w:rsidP="00B5720D">
      <w:pPr>
        <w:pStyle w:val="NTTFlushBullet1"/>
      </w:pPr>
      <w:hyperlink r:id="rId19" w:history="1">
        <w:r w:rsidRPr="008B296D">
          <w:rPr>
            <w:rStyle w:val="Hyperlink"/>
          </w:rPr>
          <w:t>https://www.fca.org.uk/publication/consumer-credit-information/credit-agreement-psd-data-elements.xlsx</w:t>
        </w:r>
      </w:hyperlink>
    </w:p>
    <w:p w14:paraId="2879CAA7" w14:textId="77777777" w:rsidR="00B5720D" w:rsidRDefault="00B5720D" w:rsidP="00B5720D">
      <w:pPr>
        <w:pStyle w:val="NTTFlushBullet1"/>
        <w:numPr>
          <w:ilvl w:val="0"/>
          <w:numId w:val="0"/>
        </w:numPr>
        <w:ind w:left="397" w:hanging="397"/>
      </w:pPr>
    </w:p>
    <w:p w14:paraId="0BE44B41" w14:textId="5E3C74A4" w:rsidR="00F63F02" w:rsidRDefault="006D4CB0" w:rsidP="00F63F02">
      <w:pPr>
        <w:pStyle w:val="Heading2"/>
        <w:tabs>
          <w:tab w:val="clear" w:pos="850"/>
        </w:tabs>
      </w:pPr>
      <w:bookmarkStart w:id="8" w:name="_Toc220409438"/>
      <w:r w:rsidRPr="006D4CB0">
        <w:t>Credit agreement PSD data elements v1.2</w:t>
      </w:r>
      <w:bookmarkEnd w:id="8"/>
      <w:r w:rsidR="00F63F02">
        <w:t xml:space="preserve"> </w:t>
      </w:r>
    </w:p>
    <w:p w14:paraId="740463D8" w14:textId="77777777" w:rsidR="00042F81" w:rsidRDefault="00042F81" w:rsidP="00042F81">
      <w:pPr>
        <w:pStyle w:val="NTTFlushBullet1"/>
        <w:numPr>
          <w:ilvl w:val="0"/>
          <w:numId w:val="0"/>
        </w:numPr>
        <w:ind w:left="397" w:hanging="397"/>
      </w:pPr>
      <w:r>
        <w:t>Product sales data – credit agreements</w:t>
      </w:r>
    </w:p>
    <w:p w14:paraId="67774E7A" w14:textId="77777777" w:rsidR="00042F81" w:rsidRDefault="00042F81" w:rsidP="00042F81">
      <w:pPr>
        <w:pStyle w:val="NTTFlushBullet1"/>
        <w:numPr>
          <w:ilvl w:val="0"/>
          <w:numId w:val="0"/>
        </w:numPr>
        <w:ind w:left="397" w:hanging="397"/>
      </w:pPr>
    </w:p>
    <w:p w14:paraId="19B5F74A" w14:textId="2BFFF48C" w:rsidR="00042F81" w:rsidRDefault="00042F81" w:rsidP="00024736">
      <w:pPr>
        <w:pStyle w:val="NTTFlushBullet1"/>
      </w:pPr>
      <w:r>
        <w:t>The tables also include our preferred approach for how to report data elements for which the firm does not currently hold the information, or the firm is currently unable to report the information. This is not Handbook Guidance and does not replace the requirements set out in the annex. It is not expected that the preferred approaches are reviewed in full. They are intended to be used when a firm is unable to report specific data elements.</w:t>
      </w:r>
    </w:p>
    <w:p w14:paraId="74DC9E62" w14:textId="77777777" w:rsidR="00042F81" w:rsidRDefault="00042F81" w:rsidP="00042F81">
      <w:pPr>
        <w:pStyle w:val="NTTFlushBullet1"/>
      </w:pPr>
      <w:r>
        <w:t>We understand that the complexities of the PSD reports mean that certain information may never be available for certain credit agreements, and that system changes to report certain data elements may not be ready for a firm’s first reporting period. These preferred approaches are to help firms submit the information that is available within the reporting deadlines. However, it should not be inferred that these preferred approaches can be used more generally. We will monitor the use of these preferred approaches and contact firms when we have concerns.</w:t>
      </w:r>
    </w:p>
    <w:p w14:paraId="10F05598" w14:textId="26967FFE" w:rsidR="00042F81" w:rsidRDefault="00042F81" w:rsidP="00024736">
      <w:pPr>
        <w:pStyle w:val="NTTFlushBullet1"/>
      </w:pPr>
      <w:r>
        <w:t>There are four 'preferred approach types' set out for the data elements:</w:t>
      </w:r>
    </w:p>
    <w:p w14:paraId="6F105A1E" w14:textId="77777777" w:rsidR="00042F81" w:rsidRDefault="00042F81" w:rsidP="00024736">
      <w:pPr>
        <w:pStyle w:val="NTTFlushBullet2"/>
        <w:ind w:left="567" w:hanging="283"/>
      </w:pPr>
      <w:r>
        <w:t>Reported value must be meaningful</w:t>
      </w:r>
    </w:p>
    <w:p w14:paraId="75664600" w14:textId="4CFC16DB" w:rsidR="00042F81" w:rsidRDefault="00042F81" w:rsidP="00024736">
      <w:pPr>
        <w:pStyle w:val="NTTFlushBullet2"/>
        <w:numPr>
          <w:ilvl w:val="0"/>
          <w:numId w:val="0"/>
        </w:numPr>
        <w:ind w:left="567"/>
      </w:pPr>
      <w:r>
        <w:t>These data elements must be reported with meaningful information, as set out in the Handbook.</w:t>
      </w:r>
    </w:p>
    <w:p w14:paraId="6F9861B0" w14:textId="77777777" w:rsidR="00042F81" w:rsidRDefault="00042F81" w:rsidP="00024736">
      <w:pPr>
        <w:pStyle w:val="NTTFlushBullet2"/>
        <w:ind w:left="567" w:hanging="283"/>
      </w:pPr>
      <w:r>
        <w:t>Fixed date; Fixed list option; Fixed number; Fixed string; Fixed yes/no</w:t>
      </w:r>
    </w:p>
    <w:p w14:paraId="4ABC6409" w14:textId="1F081DC0" w:rsidR="00042F81" w:rsidRDefault="00042F81" w:rsidP="00EB6BC5">
      <w:pPr>
        <w:pStyle w:val="NTTFlushBullet2"/>
        <w:numPr>
          <w:ilvl w:val="0"/>
          <w:numId w:val="0"/>
        </w:numPr>
        <w:ind w:left="567"/>
      </w:pPr>
      <w:r>
        <w:t>When the information for these data elements cannot be accurately reported the fixed value provided should be used.</w:t>
      </w:r>
    </w:p>
    <w:p w14:paraId="385690A0" w14:textId="77777777" w:rsidR="00042F81" w:rsidRDefault="00042F81" w:rsidP="00024736">
      <w:pPr>
        <w:pStyle w:val="NTTFlushBullet2"/>
        <w:ind w:left="567" w:hanging="283"/>
      </w:pPr>
      <w:r>
        <w:t>Related data element indicates information is not relevant or unavailable</w:t>
      </w:r>
    </w:p>
    <w:p w14:paraId="0256D5FA" w14:textId="5728C414" w:rsidR="00042F81" w:rsidRDefault="00042F81" w:rsidP="00EB6BC5">
      <w:pPr>
        <w:pStyle w:val="NTTFlushBullet2"/>
        <w:numPr>
          <w:ilvl w:val="0"/>
          <w:numId w:val="0"/>
        </w:numPr>
        <w:ind w:left="567"/>
      </w:pPr>
      <w:r>
        <w:t>For these target data elements there is a separate related data element which includes an option that indicates that the information is not relevant or available for the target data element. Selecting this option will have the effect that the target data element must not be reported.</w:t>
      </w:r>
    </w:p>
    <w:p w14:paraId="585B88E6" w14:textId="77777777" w:rsidR="00042F81" w:rsidRDefault="00042F81" w:rsidP="00024736">
      <w:pPr>
        <w:pStyle w:val="NTTFlushBullet2"/>
        <w:ind w:left="567" w:hanging="283"/>
      </w:pPr>
      <w:r>
        <w:t>Case dependent</w:t>
      </w:r>
    </w:p>
    <w:p w14:paraId="4A9FB86C" w14:textId="77777777" w:rsidR="00042F81" w:rsidRDefault="00042F81" w:rsidP="00EB6BC5">
      <w:pPr>
        <w:pStyle w:val="NTTFlushBullet2"/>
        <w:numPr>
          <w:ilvl w:val="0"/>
          <w:numId w:val="0"/>
        </w:numPr>
        <w:ind w:left="567"/>
      </w:pPr>
      <w:r>
        <w:t>There are at least two cases for what value should be reported for these data elements when the information cannot be accurately reported. These cases and the related values are provided.</w:t>
      </w:r>
    </w:p>
    <w:p w14:paraId="6C72E20C" w14:textId="77777777" w:rsidR="00042F81" w:rsidRDefault="00042F81" w:rsidP="00EB6BC5">
      <w:pPr>
        <w:pStyle w:val="NTTFlushBullet1"/>
        <w:numPr>
          <w:ilvl w:val="0"/>
          <w:numId w:val="0"/>
        </w:numPr>
        <w:ind w:left="397" w:hanging="397"/>
      </w:pPr>
    </w:p>
    <w:p w14:paraId="5027A9CB" w14:textId="44008112" w:rsidR="00F63F02" w:rsidRDefault="00042F81" w:rsidP="00EB6BC5">
      <w:pPr>
        <w:pStyle w:val="NTTFlushBullet1"/>
        <w:numPr>
          <w:ilvl w:val="0"/>
          <w:numId w:val="0"/>
        </w:numPr>
        <w:ind w:firstLine="29"/>
      </w:pPr>
      <w:r>
        <w:t>In each case the preferred approach assumes that the data element must be reported based on the</w:t>
      </w:r>
      <w:r w:rsidR="00EB6BC5">
        <w:t xml:space="preserve"> </w:t>
      </w:r>
      <w:r>
        <w:t>validations set out in the data definition.</w:t>
      </w:r>
    </w:p>
    <w:p w14:paraId="60539641" w14:textId="77777777" w:rsidR="00B5720D" w:rsidRDefault="00B5720D" w:rsidP="00B5720D">
      <w:pPr>
        <w:pStyle w:val="NTTFlushBullet1"/>
        <w:numPr>
          <w:ilvl w:val="0"/>
          <w:numId w:val="0"/>
        </w:numPr>
        <w:ind w:left="397" w:hanging="397"/>
      </w:pPr>
    </w:p>
    <w:p w14:paraId="196EEB35" w14:textId="18759639" w:rsidR="00B5720D" w:rsidRPr="00A651FB" w:rsidRDefault="00E16CBC" w:rsidP="00B5720D">
      <w:pPr>
        <w:pStyle w:val="Heading1"/>
        <w:numPr>
          <w:ilvl w:val="0"/>
          <w:numId w:val="24"/>
        </w:numPr>
      </w:pPr>
      <w:bookmarkStart w:id="9" w:name="_Toc220409439"/>
      <w:r>
        <w:lastRenderedPageBreak/>
        <w:t>PSD</w:t>
      </w:r>
      <w:r w:rsidR="00844AFC">
        <w:t>00</w:t>
      </w:r>
      <w:r>
        <w:t>6 – Short Term Loans</w:t>
      </w:r>
      <w:bookmarkEnd w:id="9"/>
      <w:r w:rsidR="00B5720D" w:rsidRPr="00A651FB">
        <w:t xml:space="preserve"> </w:t>
      </w:r>
    </w:p>
    <w:p w14:paraId="4F421051" w14:textId="4D79E9D8" w:rsidR="00B5720D" w:rsidRDefault="00B5720D" w:rsidP="00B5720D">
      <w:pPr>
        <w:pStyle w:val="BodyText"/>
      </w:pPr>
      <w:r w:rsidRPr="001F3950">
        <w:rPr>
          <w:highlight w:val="green"/>
        </w:rPr>
        <w:fldChar w:fldCharType="begin"/>
      </w:r>
      <w:r w:rsidRPr="001F3950">
        <w:rPr>
          <w:highlight w:val="green"/>
        </w:rPr>
        <w:instrText xml:space="preserve"> DOCPROPERTY "Client"  \* MERGEFORMAT </w:instrText>
      </w:r>
      <w:r w:rsidRPr="001F3950">
        <w:rPr>
          <w:highlight w:val="green"/>
        </w:rPr>
        <w:fldChar w:fldCharType="end"/>
      </w:r>
      <w:r>
        <w:t>Th</w:t>
      </w:r>
      <w:r w:rsidR="00B376C2">
        <w:t>e following Fields</w:t>
      </w:r>
      <w:r w:rsidR="00E917B4">
        <w:t xml:space="preserve"> must be submitted in the format prescribed below:</w:t>
      </w:r>
    </w:p>
    <w:p w14:paraId="79116C62" w14:textId="77777777" w:rsidR="00E917B4" w:rsidRDefault="00E917B4" w:rsidP="00B5720D">
      <w:pPr>
        <w:pStyle w:val="BodyText"/>
      </w:pPr>
    </w:p>
    <w:tbl>
      <w:tblPr>
        <w:tblStyle w:val="GridTable1Light-Accent2"/>
        <w:tblW w:w="0" w:type="auto"/>
        <w:tblLook w:val="04A0" w:firstRow="1" w:lastRow="0" w:firstColumn="1" w:lastColumn="0" w:noHBand="0" w:noVBand="1"/>
      </w:tblPr>
      <w:tblGrid>
        <w:gridCol w:w="1129"/>
        <w:gridCol w:w="2410"/>
        <w:gridCol w:w="2126"/>
        <w:gridCol w:w="3963"/>
      </w:tblGrid>
      <w:tr w:rsidR="00311DB1" w14:paraId="40E76871" w14:textId="77777777" w:rsidTr="008549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8A60632" w14:textId="3AB3558E" w:rsidR="00311DB1" w:rsidRDefault="00311DB1" w:rsidP="00844AFC">
            <w:pPr>
              <w:pStyle w:val="BodyText"/>
            </w:pPr>
            <w:r>
              <w:t>Ref</w:t>
            </w:r>
          </w:p>
        </w:tc>
        <w:tc>
          <w:tcPr>
            <w:tcW w:w="2410" w:type="dxa"/>
          </w:tcPr>
          <w:p w14:paraId="74489A4E" w14:textId="4806FFE3" w:rsidR="00311DB1" w:rsidRDefault="00665B34" w:rsidP="00844AFC">
            <w:pPr>
              <w:pStyle w:val="BodyText"/>
              <w:cnfStyle w:val="100000000000" w:firstRow="1" w:lastRow="0" w:firstColumn="0" w:lastColumn="0" w:oddVBand="0" w:evenVBand="0" w:oddHBand="0" w:evenHBand="0" w:firstRowFirstColumn="0" w:firstRowLastColumn="0" w:lastRowFirstColumn="0" w:lastRowLastColumn="0"/>
            </w:pPr>
            <w:r>
              <w:t>Field</w:t>
            </w:r>
          </w:p>
        </w:tc>
        <w:tc>
          <w:tcPr>
            <w:tcW w:w="2126" w:type="dxa"/>
          </w:tcPr>
          <w:p w14:paraId="2054A2FD" w14:textId="51D6E70E" w:rsidR="00311DB1" w:rsidRDefault="00665B34" w:rsidP="00844AFC">
            <w:pPr>
              <w:pStyle w:val="BodyText"/>
              <w:cnfStyle w:val="100000000000" w:firstRow="1" w:lastRow="0" w:firstColumn="0" w:lastColumn="0" w:oddVBand="0" w:evenVBand="0" w:oddHBand="0" w:evenHBand="0" w:firstRowFirstColumn="0" w:firstRowLastColumn="0" w:lastRowFirstColumn="0" w:lastRowLastColumn="0"/>
            </w:pPr>
            <w:r>
              <w:t>Code</w:t>
            </w:r>
          </w:p>
        </w:tc>
        <w:tc>
          <w:tcPr>
            <w:tcW w:w="3963" w:type="dxa"/>
          </w:tcPr>
          <w:p w14:paraId="69FD991A" w14:textId="5D126131" w:rsidR="00311DB1" w:rsidRDefault="00665B34" w:rsidP="00844AFC">
            <w:pPr>
              <w:pStyle w:val="BodyText"/>
              <w:cnfStyle w:val="100000000000" w:firstRow="1" w:lastRow="0" w:firstColumn="0" w:lastColumn="0" w:oddVBand="0" w:evenVBand="0" w:oddHBand="0" w:evenHBand="0" w:firstRowFirstColumn="0" w:firstRowLastColumn="0" w:lastRowFirstColumn="0" w:lastRowLastColumn="0"/>
            </w:pPr>
            <w:r>
              <w:t>Notes</w:t>
            </w:r>
          </w:p>
        </w:tc>
      </w:tr>
      <w:tr w:rsidR="00403854" w14:paraId="3B7CE66B"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089E8368" w14:textId="2118A40B" w:rsidR="00403854" w:rsidRDefault="00403854" w:rsidP="00403854">
            <w:pPr>
              <w:pStyle w:val="BodyText"/>
            </w:pPr>
            <w:r w:rsidRPr="008B214E">
              <w:t>n/a</w:t>
            </w:r>
          </w:p>
        </w:tc>
        <w:tc>
          <w:tcPr>
            <w:tcW w:w="2410" w:type="dxa"/>
          </w:tcPr>
          <w:p w14:paraId="4423E3C7" w14:textId="2D8FC06E" w:rsidR="00403854" w:rsidRDefault="00403854" w:rsidP="00403854">
            <w:pPr>
              <w:pStyle w:val="BodyText"/>
              <w:cnfStyle w:val="000000000000" w:firstRow="0" w:lastRow="0" w:firstColumn="0" w:lastColumn="0" w:oddVBand="0" w:evenVBand="0" w:oddHBand="0" w:evenHBand="0" w:firstRowFirstColumn="0" w:firstRowLastColumn="0" w:lastRowFirstColumn="0" w:lastRowLastColumn="0"/>
            </w:pPr>
            <w:r w:rsidRPr="009218B7">
              <w:t>Reference number of product provider</w:t>
            </w:r>
          </w:p>
        </w:tc>
        <w:tc>
          <w:tcPr>
            <w:tcW w:w="2126" w:type="dxa"/>
          </w:tcPr>
          <w:p w14:paraId="2FE62F92" w14:textId="7ED5FF51" w:rsidR="00403854" w:rsidRDefault="00403854" w:rsidP="00403854">
            <w:pPr>
              <w:pStyle w:val="BodyText"/>
              <w:cnfStyle w:val="000000000000" w:firstRow="0" w:lastRow="0" w:firstColumn="0" w:lastColumn="0" w:oddVBand="0" w:evenVBand="0" w:oddHBand="0" w:evenHBand="0" w:firstRowFirstColumn="0" w:firstRowLastColumn="0" w:lastRowFirstColumn="0" w:lastRowLastColumn="0"/>
            </w:pPr>
            <w:r w:rsidRPr="009218B7">
              <w:t>6 or 7 digit number</w:t>
            </w:r>
          </w:p>
        </w:tc>
        <w:tc>
          <w:tcPr>
            <w:tcW w:w="3963" w:type="dxa"/>
          </w:tcPr>
          <w:p w14:paraId="020F3A77" w14:textId="0A9E63C4" w:rsidR="008549F7" w:rsidRDefault="008549F7" w:rsidP="008549F7">
            <w:pPr>
              <w:pStyle w:val="BodyText"/>
              <w:cnfStyle w:val="000000000000" w:firstRow="0" w:lastRow="0" w:firstColumn="0" w:lastColumn="0" w:oddVBand="0" w:evenVBand="0" w:oddHBand="0" w:evenHBand="0" w:firstRowFirstColumn="0" w:firstRowLastColumn="0" w:lastRowFirstColumn="0" w:lastRowLastColumn="0"/>
            </w:pPr>
            <w:r>
              <w:t>"This field must contain the firm reference number of the firm providing the data report.</w:t>
            </w:r>
          </w:p>
          <w:p w14:paraId="2CBBCB8F" w14:textId="1D428907" w:rsidR="00403854" w:rsidRDefault="008549F7" w:rsidP="008549F7">
            <w:pPr>
              <w:pStyle w:val="BodyText"/>
              <w:cnfStyle w:val="000000000000" w:firstRow="0" w:lastRow="0" w:firstColumn="0" w:lastColumn="0" w:oddVBand="0" w:evenVBand="0" w:oddHBand="0" w:evenHBand="0" w:firstRowFirstColumn="0" w:firstRowLastColumn="0" w:lastRowFirstColumn="0" w:lastRowLastColumn="0"/>
            </w:pPr>
            <w:r>
              <w:t>Where a firm which is a P2P platform operator submits a report in relation to a home finance product in line with SUP 16.11.8-AR, the reference number of the product provider is the reference number of the P2P platform operator."</w:t>
            </w:r>
          </w:p>
        </w:tc>
      </w:tr>
      <w:tr w:rsidR="00851754" w14:paraId="7BD2AE6D"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41A07CEC" w14:textId="4959FDA8" w:rsidR="00851754" w:rsidRDefault="00851754" w:rsidP="00851754">
            <w:pPr>
              <w:pStyle w:val="BodyText"/>
            </w:pPr>
            <w:r w:rsidRPr="008B214E">
              <w:t>1A</w:t>
            </w:r>
          </w:p>
        </w:tc>
        <w:tc>
          <w:tcPr>
            <w:tcW w:w="2410" w:type="dxa"/>
          </w:tcPr>
          <w:p w14:paraId="44E552B5" w14:textId="7F0679A0"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8B757D">
              <w:t>Transaction reference (regulated mortgage contracts and relevant regulated credit agreements only)</w:t>
            </w:r>
          </w:p>
        </w:tc>
        <w:tc>
          <w:tcPr>
            <w:tcW w:w="2126" w:type="dxa"/>
          </w:tcPr>
          <w:p w14:paraId="2CA2D5F4" w14:textId="3674EEE1"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8B757D">
              <w:t>Numeric / Alphanumeric</w:t>
            </w:r>
          </w:p>
        </w:tc>
        <w:tc>
          <w:tcPr>
            <w:tcW w:w="3963" w:type="dxa"/>
          </w:tcPr>
          <w:p w14:paraId="7DF6B034" w14:textId="3EFCFC0A"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8B757D">
              <w:t>"A unique reference for the transaction, internal to the reporting firm, that will enable the firm to provide the FCA with more information concerning the transaction if required, e.g. the account number, application number etc.</w:t>
            </w:r>
          </w:p>
        </w:tc>
      </w:tr>
      <w:tr w:rsidR="00851754" w14:paraId="48349DFA"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5C7A8F65" w14:textId="14E69CB0" w:rsidR="00851754" w:rsidRDefault="00851754" w:rsidP="00851754">
            <w:pPr>
              <w:pStyle w:val="BodyText"/>
            </w:pPr>
            <w:r w:rsidRPr="001F3B1F">
              <w:t>4A</w:t>
            </w:r>
          </w:p>
        </w:tc>
        <w:tc>
          <w:tcPr>
            <w:tcW w:w="2410" w:type="dxa"/>
          </w:tcPr>
          <w:p w14:paraId="64DC0303" w14:textId="6E15B765"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1F3B1F">
              <w:t>Loan amount</w:t>
            </w:r>
          </w:p>
        </w:tc>
        <w:tc>
          <w:tcPr>
            <w:tcW w:w="2126" w:type="dxa"/>
          </w:tcPr>
          <w:p w14:paraId="676C6474" w14:textId="52298504"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1F3B1F">
              <w:t>Numeric £</w:t>
            </w:r>
          </w:p>
        </w:tc>
        <w:tc>
          <w:tcPr>
            <w:tcW w:w="3963" w:type="dxa"/>
          </w:tcPr>
          <w:p w14:paraId="4456923A" w14:textId="1DE0D6E0"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1F3B1F">
              <w:t>Provide the total amount of credit (i.e. the total sum made available under the loan)</w:t>
            </w:r>
          </w:p>
        </w:tc>
      </w:tr>
      <w:tr w:rsidR="00851754" w14:paraId="6B188C64"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259D50AB" w14:textId="55A022D8" w:rsidR="00851754" w:rsidRDefault="00851754" w:rsidP="00851754">
            <w:pPr>
              <w:pStyle w:val="BodyText"/>
            </w:pPr>
            <w:r w:rsidRPr="001F3B1F">
              <w:t>3A</w:t>
            </w:r>
          </w:p>
        </w:tc>
        <w:tc>
          <w:tcPr>
            <w:tcW w:w="2410" w:type="dxa"/>
          </w:tcPr>
          <w:p w14:paraId="1F2C8996" w14:textId="7B659FA4"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1F3B1F">
              <w:t>Transaction date</w:t>
            </w:r>
          </w:p>
        </w:tc>
        <w:tc>
          <w:tcPr>
            <w:tcW w:w="2126" w:type="dxa"/>
          </w:tcPr>
          <w:p w14:paraId="0AA714B0" w14:textId="04AA5B5B"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1F3B1F">
              <w:t>DD/MM/YYYY</w:t>
            </w:r>
          </w:p>
        </w:tc>
        <w:tc>
          <w:tcPr>
            <w:tcW w:w="3963" w:type="dxa"/>
          </w:tcPr>
          <w:p w14:paraId="46D16B92" w14:textId="167F6071"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1F3B1F">
              <w:t>Provide the date of the transaction</w:t>
            </w:r>
          </w:p>
        </w:tc>
      </w:tr>
      <w:tr w:rsidR="00851754" w14:paraId="6AC33B8D"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27CEB5B1" w14:textId="2FA3933D" w:rsidR="00851754" w:rsidRDefault="00851754" w:rsidP="00851754">
            <w:pPr>
              <w:pStyle w:val="BodyText"/>
            </w:pPr>
            <w:r w:rsidRPr="001F3B1F">
              <w:t>5A</w:t>
            </w:r>
          </w:p>
        </w:tc>
        <w:tc>
          <w:tcPr>
            <w:tcW w:w="2410" w:type="dxa"/>
          </w:tcPr>
          <w:p w14:paraId="401D075D" w14:textId="315449E0"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1F3B1F">
              <w:t>Loan type</w:t>
            </w:r>
          </w:p>
        </w:tc>
        <w:tc>
          <w:tcPr>
            <w:tcW w:w="2126" w:type="dxa"/>
          </w:tcPr>
          <w:p w14:paraId="34B0603D" w14:textId="09A2F17E"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r w:rsidRPr="001F3B1F">
              <w:t>"HCST = High-Cost Short-Term Loan</w:t>
            </w:r>
          </w:p>
        </w:tc>
        <w:tc>
          <w:tcPr>
            <w:tcW w:w="3963" w:type="dxa"/>
          </w:tcPr>
          <w:p w14:paraId="6D68DBC0" w14:textId="77777777" w:rsidR="00851754" w:rsidRDefault="00851754" w:rsidP="00851754">
            <w:pPr>
              <w:pStyle w:val="BodyText"/>
              <w:cnfStyle w:val="000000000000" w:firstRow="0" w:lastRow="0" w:firstColumn="0" w:lastColumn="0" w:oddVBand="0" w:evenVBand="0" w:oddHBand="0" w:evenHBand="0" w:firstRowFirstColumn="0" w:firstRowLastColumn="0" w:lastRowFirstColumn="0" w:lastRowLastColumn="0"/>
            </w:pPr>
          </w:p>
        </w:tc>
      </w:tr>
      <w:tr w:rsidR="00926A31" w14:paraId="7C6936DF"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51906AFB" w14:textId="5E71180D" w:rsidR="00926A31" w:rsidRPr="001F3B1F" w:rsidRDefault="00926A31" w:rsidP="00926A31">
            <w:pPr>
              <w:pStyle w:val="BodyText"/>
            </w:pPr>
            <w:r w:rsidRPr="00924558">
              <w:t>6A</w:t>
            </w:r>
          </w:p>
        </w:tc>
        <w:tc>
          <w:tcPr>
            <w:tcW w:w="2410" w:type="dxa"/>
          </w:tcPr>
          <w:p w14:paraId="2C64F26E" w14:textId="33B48B4E" w:rsidR="00926A31" w:rsidRPr="001F3B1F" w:rsidRDefault="00926A31" w:rsidP="00926A31">
            <w:pPr>
              <w:pStyle w:val="BodyText"/>
              <w:cnfStyle w:val="000000000000" w:firstRow="0" w:lastRow="0" w:firstColumn="0" w:lastColumn="0" w:oddVBand="0" w:evenVBand="0" w:oddHBand="0" w:evenHBand="0" w:firstRowFirstColumn="0" w:firstRowLastColumn="0" w:lastRowFirstColumn="0" w:lastRowLastColumn="0"/>
            </w:pPr>
            <w:r w:rsidRPr="00924558">
              <w:t>APR</w:t>
            </w:r>
          </w:p>
        </w:tc>
        <w:tc>
          <w:tcPr>
            <w:tcW w:w="2126" w:type="dxa"/>
          </w:tcPr>
          <w:p w14:paraId="37B5383C" w14:textId="30510E59" w:rsidR="00926A31" w:rsidRPr="001F3B1F" w:rsidRDefault="00926A31" w:rsidP="00926A31">
            <w:pPr>
              <w:pStyle w:val="BodyText"/>
              <w:cnfStyle w:val="000000000000" w:firstRow="0" w:lastRow="0" w:firstColumn="0" w:lastColumn="0" w:oddVBand="0" w:evenVBand="0" w:oddHBand="0" w:evenHBand="0" w:firstRowFirstColumn="0" w:firstRowLastColumn="0" w:lastRowFirstColumn="0" w:lastRowLastColumn="0"/>
            </w:pPr>
            <w:r w:rsidRPr="00924558">
              <w:t>Numeric % 2dp</w:t>
            </w:r>
          </w:p>
        </w:tc>
        <w:tc>
          <w:tcPr>
            <w:tcW w:w="3963" w:type="dxa"/>
          </w:tcPr>
          <w:p w14:paraId="3E3B1A35" w14:textId="30A02C19" w:rsidR="00926A31" w:rsidRDefault="00926A31" w:rsidP="00926A31">
            <w:pPr>
              <w:pStyle w:val="BodyText"/>
              <w:cnfStyle w:val="000000000000" w:firstRow="0" w:lastRow="0" w:firstColumn="0" w:lastColumn="0" w:oddVBand="0" w:evenVBand="0" w:oddHBand="0" w:evenHBand="0" w:firstRowFirstColumn="0" w:firstRowLastColumn="0" w:lastRowFirstColumn="0" w:lastRowLastColumn="0"/>
            </w:pPr>
            <w:r w:rsidRPr="00924558">
              <w:t>Provide the annual percentage rate of charge in relation to the credit agreement calculated in accordance with CONC App 1.2 in the Consumer Credit sourcebook. Where a firm calculates the APR to one decimal place, it should add a further zero in the APR reporting field.</w:t>
            </w:r>
          </w:p>
        </w:tc>
      </w:tr>
      <w:tr w:rsidR="00926A31" w14:paraId="33FDB560"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52DA3EC1" w14:textId="0BC884AA" w:rsidR="00926A31" w:rsidRPr="001F3B1F" w:rsidRDefault="00926A31" w:rsidP="00926A31">
            <w:pPr>
              <w:pStyle w:val="BodyText"/>
            </w:pPr>
            <w:r w:rsidRPr="00924558">
              <w:t>7A</w:t>
            </w:r>
          </w:p>
        </w:tc>
        <w:tc>
          <w:tcPr>
            <w:tcW w:w="2410" w:type="dxa"/>
          </w:tcPr>
          <w:p w14:paraId="19A6570B" w14:textId="26962F79" w:rsidR="00926A31" w:rsidRPr="001F3B1F" w:rsidRDefault="00926A31" w:rsidP="00926A31">
            <w:pPr>
              <w:pStyle w:val="BodyText"/>
              <w:cnfStyle w:val="000000000000" w:firstRow="0" w:lastRow="0" w:firstColumn="0" w:lastColumn="0" w:oddVBand="0" w:evenVBand="0" w:oddHBand="0" w:evenHBand="0" w:firstRowFirstColumn="0" w:firstRowLastColumn="0" w:lastRowFirstColumn="0" w:lastRowLastColumn="0"/>
            </w:pPr>
            <w:r w:rsidRPr="00924558">
              <w:t>Arrangement fee</w:t>
            </w:r>
          </w:p>
        </w:tc>
        <w:tc>
          <w:tcPr>
            <w:tcW w:w="2126" w:type="dxa"/>
          </w:tcPr>
          <w:p w14:paraId="1D660E2D" w14:textId="6AA7F3E5" w:rsidR="00926A31" w:rsidRPr="001F3B1F" w:rsidRDefault="00926A31" w:rsidP="00926A31">
            <w:pPr>
              <w:pStyle w:val="BodyText"/>
              <w:cnfStyle w:val="000000000000" w:firstRow="0" w:lastRow="0" w:firstColumn="0" w:lastColumn="0" w:oddVBand="0" w:evenVBand="0" w:oddHBand="0" w:evenHBand="0" w:firstRowFirstColumn="0" w:firstRowLastColumn="0" w:lastRowFirstColumn="0" w:lastRowLastColumn="0"/>
            </w:pPr>
            <w:r w:rsidRPr="00924558">
              <w:t>Numeric £</w:t>
            </w:r>
          </w:p>
        </w:tc>
        <w:tc>
          <w:tcPr>
            <w:tcW w:w="3963" w:type="dxa"/>
          </w:tcPr>
          <w:p w14:paraId="6F3A8B44" w14:textId="48448836" w:rsidR="00926A31" w:rsidRDefault="00926A31" w:rsidP="00926A31">
            <w:pPr>
              <w:pStyle w:val="BodyText"/>
              <w:cnfStyle w:val="000000000000" w:firstRow="0" w:lastRow="0" w:firstColumn="0" w:lastColumn="0" w:oddVBand="0" w:evenVBand="0" w:oddHBand="0" w:evenHBand="0" w:firstRowFirstColumn="0" w:firstRowLastColumn="0" w:lastRowFirstColumn="0" w:lastRowLastColumn="0"/>
            </w:pPr>
            <w:r w:rsidRPr="00924558">
              <w:t>Provide the amount of any arrangement fee that is payable in relation to the loan in addition to interest or a fixed charge in lieu of interest</w:t>
            </w:r>
          </w:p>
        </w:tc>
      </w:tr>
      <w:tr w:rsidR="00926A31" w14:paraId="020D97BD"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5CECC850" w14:textId="082A484D" w:rsidR="00926A31" w:rsidRPr="001F3B1F" w:rsidRDefault="00926A31" w:rsidP="00926A31">
            <w:pPr>
              <w:pStyle w:val="BodyText"/>
            </w:pPr>
            <w:r w:rsidRPr="00924558">
              <w:lastRenderedPageBreak/>
              <w:t>8A</w:t>
            </w:r>
          </w:p>
        </w:tc>
        <w:tc>
          <w:tcPr>
            <w:tcW w:w="2410" w:type="dxa"/>
          </w:tcPr>
          <w:p w14:paraId="02CD79F6" w14:textId="59246CCA" w:rsidR="00926A31" w:rsidRPr="001F3B1F" w:rsidRDefault="00926A31" w:rsidP="00926A31">
            <w:pPr>
              <w:pStyle w:val="BodyText"/>
              <w:cnfStyle w:val="000000000000" w:firstRow="0" w:lastRow="0" w:firstColumn="0" w:lastColumn="0" w:oddVBand="0" w:evenVBand="0" w:oddHBand="0" w:evenHBand="0" w:firstRowFirstColumn="0" w:firstRowLastColumn="0" w:lastRowFirstColumn="0" w:lastRowLastColumn="0"/>
            </w:pPr>
            <w:r w:rsidRPr="00924558">
              <w:t>Total amount payable</w:t>
            </w:r>
          </w:p>
        </w:tc>
        <w:tc>
          <w:tcPr>
            <w:tcW w:w="2126" w:type="dxa"/>
          </w:tcPr>
          <w:p w14:paraId="1FCC7E21" w14:textId="656E71C6" w:rsidR="00926A31" w:rsidRPr="001F3B1F" w:rsidRDefault="00926A31" w:rsidP="00926A31">
            <w:pPr>
              <w:pStyle w:val="BodyText"/>
              <w:cnfStyle w:val="000000000000" w:firstRow="0" w:lastRow="0" w:firstColumn="0" w:lastColumn="0" w:oddVBand="0" w:evenVBand="0" w:oddHBand="0" w:evenHBand="0" w:firstRowFirstColumn="0" w:firstRowLastColumn="0" w:lastRowFirstColumn="0" w:lastRowLastColumn="0"/>
            </w:pPr>
            <w:r w:rsidRPr="00924558">
              <w:t>Numeric £</w:t>
            </w:r>
          </w:p>
        </w:tc>
        <w:tc>
          <w:tcPr>
            <w:tcW w:w="3963" w:type="dxa"/>
          </w:tcPr>
          <w:p w14:paraId="030F6E78" w14:textId="590FA473" w:rsidR="00926A31" w:rsidRDefault="00926A31" w:rsidP="00926A31">
            <w:pPr>
              <w:pStyle w:val="BodyText"/>
              <w:cnfStyle w:val="000000000000" w:firstRow="0" w:lastRow="0" w:firstColumn="0" w:lastColumn="0" w:oddVBand="0" w:evenVBand="0" w:oddHBand="0" w:evenHBand="0" w:firstRowFirstColumn="0" w:firstRowLastColumn="0" w:lastRowFirstColumn="0" w:lastRowLastColumn="0"/>
            </w:pPr>
            <w:r w:rsidRPr="00924558">
              <w:t>The total amount payable by the borrower being the sum of the total amount of credit and the total charge for credit payable under the agreement, as well as any advance payment</w:t>
            </w:r>
          </w:p>
        </w:tc>
      </w:tr>
      <w:tr w:rsidR="00D32A2F" w14:paraId="230B5DA8"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07A157F2" w14:textId="4824C2B8" w:rsidR="00D32A2F" w:rsidRPr="001F3B1F" w:rsidRDefault="00D32A2F" w:rsidP="00D32A2F">
            <w:pPr>
              <w:pStyle w:val="BodyText"/>
            </w:pPr>
            <w:r w:rsidRPr="00924558">
              <w:t>9A</w:t>
            </w:r>
          </w:p>
        </w:tc>
        <w:tc>
          <w:tcPr>
            <w:tcW w:w="2410" w:type="dxa"/>
          </w:tcPr>
          <w:p w14:paraId="53B79A8E" w14:textId="454ED8BF" w:rsidR="00D32A2F" w:rsidRPr="001F3B1F" w:rsidRDefault="00D32A2F" w:rsidP="00D32A2F">
            <w:pPr>
              <w:pStyle w:val="BodyText"/>
              <w:cnfStyle w:val="000000000000" w:firstRow="0" w:lastRow="0" w:firstColumn="0" w:lastColumn="0" w:oddVBand="0" w:evenVBand="0" w:oddHBand="0" w:evenHBand="0" w:firstRowFirstColumn="0" w:firstRowLastColumn="0" w:lastRowFirstColumn="0" w:lastRowLastColumn="0"/>
            </w:pPr>
            <w:r w:rsidRPr="00924558">
              <w:t>Rollover</w:t>
            </w:r>
          </w:p>
        </w:tc>
        <w:tc>
          <w:tcPr>
            <w:tcW w:w="2126" w:type="dxa"/>
          </w:tcPr>
          <w:p w14:paraId="13A25217" w14:textId="77777777" w:rsidR="00D32A2F" w:rsidRDefault="00D32A2F" w:rsidP="00D32A2F">
            <w:pPr>
              <w:pStyle w:val="BodyText"/>
              <w:cnfStyle w:val="000000000000" w:firstRow="0" w:lastRow="0" w:firstColumn="0" w:lastColumn="0" w:oddVBand="0" w:evenVBand="0" w:oddHBand="0" w:evenHBand="0" w:firstRowFirstColumn="0" w:firstRowLastColumn="0" w:lastRowFirstColumn="0" w:lastRowLastColumn="0"/>
            </w:pPr>
            <w:r>
              <w:t>"Y = yes</w:t>
            </w:r>
          </w:p>
          <w:p w14:paraId="45B129E7" w14:textId="049F2927" w:rsidR="00D32A2F" w:rsidRPr="001F3B1F" w:rsidRDefault="00D32A2F" w:rsidP="00D32A2F">
            <w:pPr>
              <w:pStyle w:val="BodyText"/>
              <w:cnfStyle w:val="000000000000" w:firstRow="0" w:lastRow="0" w:firstColumn="0" w:lastColumn="0" w:oddVBand="0" w:evenVBand="0" w:oddHBand="0" w:evenHBand="0" w:firstRowFirstColumn="0" w:firstRowLastColumn="0" w:lastRowFirstColumn="0" w:lastRowLastColumn="0"/>
            </w:pPr>
            <w:r>
              <w:t>N = no"</w:t>
            </w:r>
            <w:r>
              <w:tab/>
            </w:r>
          </w:p>
        </w:tc>
        <w:tc>
          <w:tcPr>
            <w:tcW w:w="3963" w:type="dxa"/>
          </w:tcPr>
          <w:p w14:paraId="38A16779" w14:textId="0366FA37" w:rsidR="00D32A2F" w:rsidRDefault="00D32A2F" w:rsidP="00D32A2F">
            <w:pPr>
              <w:pStyle w:val="BodyText"/>
              <w:cnfStyle w:val="000000000000" w:firstRow="0" w:lastRow="0" w:firstColumn="0" w:lastColumn="0" w:oddVBand="0" w:evenVBand="0" w:oddHBand="0" w:evenHBand="0" w:firstRowFirstColumn="0" w:firstRowLastColumn="0" w:lastRowFirstColumn="0" w:lastRowLastColumn="0"/>
            </w:pPr>
            <w:r>
              <w:t>Indicate if the loan is rolled over from a previous loan. For this purpose, a loan is rolled over if the period over which loan repayments are to be made has been extended, or if the due date for any loan repayment has been moved to a later date, whether by means of an agreement that replaces, varies or supplements an earlier loan or otherwise (excluding any forbearance by the lender where the firm does not receive any consideration in connection with the rollover and the effect is that no interest or other charges (other than where a charge is a reasonable estimate of the cost of the additional administration required as a result of the customer having rolled over the agreement) accrue from the date of the rollover).</w:t>
            </w:r>
          </w:p>
        </w:tc>
      </w:tr>
      <w:tr w:rsidR="003E5EAC" w14:paraId="147F1FA2"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4DEC543B" w14:textId="32DD6817" w:rsidR="003E5EAC" w:rsidRPr="001F3B1F" w:rsidRDefault="003E5EAC" w:rsidP="003E5EAC">
            <w:pPr>
              <w:pStyle w:val="BodyText"/>
            </w:pPr>
            <w:r w:rsidRPr="000D0EAB">
              <w:t>10A</w:t>
            </w:r>
          </w:p>
        </w:tc>
        <w:tc>
          <w:tcPr>
            <w:tcW w:w="2410" w:type="dxa"/>
          </w:tcPr>
          <w:p w14:paraId="7E684AA0" w14:textId="72EF0C8D" w:rsidR="003E5EAC" w:rsidRPr="001F3B1F" w:rsidRDefault="003E5EAC" w:rsidP="003E5EAC">
            <w:pPr>
              <w:pStyle w:val="BodyText"/>
              <w:cnfStyle w:val="000000000000" w:firstRow="0" w:lastRow="0" w:firstColumn="0" w:lastColumn="0" w:oddVBand="0" w:evenVBand="0" w:oddHBand="0" w:evenHBand="0" w:firstRowFirstColumn="0" w:firstRowLastColumn="0" w:lastRowFirstColumn="0" w:lastRowLastColumn="0"/>
            </w:pPr>
            <w:r w:rsidRPr="000D0EAB">
              <w:t>Order of rollover</w:t>
            </w:r>
          </w:p>
        </w:tc>
        <w:tc>
          <w:tcPr>
            <w:tcW w:w="2126" w:type="dxa"/>
          </w:tcPr>
          <w:p w14:paraId="0203CB3F" w14:textId="57C16107" w:rsidR="003E5EAC" w:rsidRPr="001F3B1F" w:rsidRDefault="003E5EAC" w:rsidP="003E5EAC">
            <w:pPr>
              <w:pStyle w:val="BodyText"/>
              <w:cnfStyle w:val="000000000000" w:firstRow="0" w:lastRow="0" w:firstColumn="0" w:lastColumn="0" w:oddVBand="0" w:evenVBand="0" w:oddHBand="0" w:evenHBand="0" w:firstRowFirstColumn="0" w:firstRowLastColumn="0" w:lastRowFirstColumn="0" w:lastRowLastColumn="0"/>
            </w:pPr>
            <w:r w:rsidRPr="000D0EAB">
              <w:t>Numeric integer</w:t>
            </w:r>
          </w:p>
        </w:tc>
        <w:tc>
          <w:tcPr>
            <w:tcW w:w="3963" w:type="dxa"/>
          </w:tcPr>
          <w:p w14:paraId="6698F1BF" w14:textId="30B42149" w:rsidR="003E5EAC" w:rsidRDefault="003E5EAC" w:rsidP="003E5EAC">
            <w:pPr>
              <w:pStyle w:val="BodyText"/>
              <w:cnfStyle w:val="000000000000" w:firstRow="0" w:lastRow="0" w:firstColumn="0" w:lastColumn="0" w:oddVBand="0" w:evenVBand="0" w:oddHBand="0" w:evenHBand="0" w:firstRowFirstColumn="0" w:firstRowLastColumn="0" w:lastRowFirstColumn="0" w:lastRowLastColumn="0"/>
            </w:pPr>
            <w:r w:rsidRPr="000D0EAB">
              <w:t>Indicate how many times the same original loan has been rolled over</w:t>
            </w:r>
          </w:p>
        </w:tc>
      </w:tr>
      <w:tr w:rsidR="003E5EAC" w14:paraId="4D5B6D9F"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69C84D53" w14:textId="096DBBE6" w:rsidR="003E5EAC" w:rsidRPr="001F3B1F" w:rsidRDefault="003E5EAC" w:rsidP="003E5EAC">
            <w:pPr>
              <w:pStyle w:val="BodyText"/>
            </w:pPr>
            <w:r w:rsidRPr="000D0EAB">
              <w:t>11A</w:t>
            </w:r>
          </w:p>
        </w:tc>
        <w:tc>
          <w:tcPr>
            <w:tcW w:w="2410" w:type="dxa"/>
          </w:tcPr>
          <w:p w14:paraId="444B4A09" w14:textId="51CE19E1" w:rsidR="003E5EAC" w:rsidRPr="001F3B1F" w:rsidRDefault="003E5EAC" w:rsidP="003E5EAC">
            <w:pPr>
              <w:pStyle w:val="BodyText"/>
              <w:cnfStyle w:val="000000000000" w:firstRow="0" w:lastRow="0" w:firstColumn="0" w:lastColumn="0" w:oddVBand="0" w:evenVBand="0" w:oddHBand="0" w:evenHBand="0" w:firstRowFirstColumn="0" w:firstRowLastColumn="0" w:lastRowFirstColumn="0" w:lastRowLastColumn="0"/>
            </w:pPr>
            <w:r w:rsidRPr="000D0EAB">
              <w:t>Length of term</w:t>
            </w:r>
          </w:p>
        </w:tc>
        <w:tc>
          <w:tcPr>
            <w:tcW w:w="2126" w:type="dxa"/>
          </w:tcPr>
          <w:p w14:paraId="17640FCB" w14:textId="6AC3B6D6" w:rsidR="003E5EAC" w:rsidRPr="001F3B1F" w:rsidRDefault="003E5EAC" w:rsidP="003E5EAC">
            <w:pPr>
              <w:pStyle w:val="BodyText"/>
              <w:cnfStyle w:val="000000000000" w:firstRow="0" w:lastRow="0" w:firstColumn="0" w:lastColumn="0" w:oddVBand="0" w:evenVBand="0" w:oddHBand="0" w:evenHBand="0" w:firstRowFirstColumn="0" w:firstRowLastColumn="0" w:lastRowFirstColumn="0" w:lastRowLastColumn="0"/>
            </w:pPr>
            <w:r w:rsidRPr="000D0EAB">
              <w:t>Numeric integer</w:t>
            </w:r>
          </w:p>
        </w:tc>
        <w:tc>
          <w:tcPr>
            <w:tcW w:w="3963" w:type="dxa"/>
          </w:tcPr>
          <w:p w14:paraId="74BE8E06" w14:textId="714A115F" w:rsidR="003E5EAC" w:rsidRDefault="003E5EAC" w:rsidP="003E5EAC">
            <w:pPr>
              <w:pStyle w:val="BodyText"/>
              <w:cnfStyle w:val="000000000000" w:firstRow="0" w:lastRow="0" w:firstColumn="0" w:lastColumn="0" w:oddVBand="0" w:evenVBand="0" w:oddHBand="0" w:evenHBand="0" w:firstRowFirstColumn="0" w:firstRowLastColumn="0" w:lastRowFirstColumn="0" w:lastRowLastColumn="0"/>
            </w:pPr>
            <w:r w:rsidRPr="000D0EAB">
              <w:t>Provide the length of the agreed loan period in days</w:t>
            </w:r>
          </w:p>
        </w:tc>
      </w:tr>
      <w:tr w:rsidR="003E5EAC" w14:paraId="34FB2D97"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2BD1E7E4" w14:textId="41895D5A" w:rsidR="003E5EAC" w:rsidRPr="001F3B1F" w:rsidRDefault="003E5EAC" w:rsidP="003E5EAC">
            <w:pPr>
              <w:pStyle w:val="BodyText"/>
            </w:pPr>
            <w:r w:rsidRPr="000D0EAB">
              <w:t>12A</w:t>
            </w:r>
          </w:p>
        </w:tc>
        <w:tc>
          <w:tcPr>
            <w:tcW w:w="2410" w:type="dxa"/>
          </w:tcPr>
          <w:p w14:paraId="2EB9D080" w14:textId="4DCF18A4" w:rsidR="003E5EAC" w:rsidRPr="001F3B1F" w:rsidRDefault="003E5EAC" w:rsidP="003E5EAC">
            <w:pPr>
              <w:pStyle w:val="BodyText"/>
              <w:cnfStyle w:val="000000000000" w:firstRow="0" w:lastRow="0" w:firstColumn="0" w:lastColumn="0" w:oddVBand="0" w:evenVBand="0" w:oddHBand="0" w:evenHBand="0" w:firstRowFirstColumn="0" w:firstRowLastColumn="0" w:lastRowFirstColumn="0" w:lastRowLastColumn="0"/>
            </w:pPr>
            <w:r w:rsidRPr="000D0EAB">
              <w:t>Reason for loan</w:t>
            </w:r>
          </w:p>
        </w:tc>
        <w:tc>
          <w:tcPr>
            <w:tcW w:w="2126" w:type="dxa"/>
          </w:tcPr>
          <w:p w14:paraId="23DD9835" w14:textId="77777777" w:rsidR="00826544" w:rsidRDefault="00826544" w:rsidP="00826544">
            <w:pPr>
              <w:pStyle w:val="BodyText"/>
              <w:cnfStyle w:val="000000000000" w:firstRow="0" w:lastRow="0" w:firstColumn="0" w:lastColumn="0" w:oddVBand="0" w:evenVBand="0" w:oddHBand="0" w:evenHBand="0" w:firstRowFirstColumn="0" w:firstRowLastColumn="0" w:lastRowFirstColumn="0" w:lastRowLastColumn="0"/>
            </w:pPr>
            <w:r>
              <w:t>"S = subsistence</w:t>
            </w:r>
          </w:p>
          <w:p w14:paraId="0724E127" w14:textId="77777777" w:rsidR="00826544" w:rsidRDefault="00826544" w:rsidP="00826544">
            <w:pPr>
              <w:pStyle w:val="BodyText"/>
              <w:cnfStyle w:val="000000000000" w:firstRow="0" w:lastRow="0" w:firstColumn="0" w:lastColumn="0" w:oddVBand="0" w:evenVBand="0" w:oddHBand="0" w:evenHBand="0" w:firstRowFirstColumn="0" w:firstRowLastColumn="0" w:lastRowFirstColumn="0" w:lastRowLastColumn="0"/>
            </w:pPr>
            <w:r>
              <w:t>P = one off purchase</w:t>
            </w:r>
          </w:p>
          <w:p w14:paraId="29807A98" w14:textId="2CDE5BFA" w:rsidR="003E5EAC" w:rsidRPr="001F3B1F" w:rsidRDefault="00826544" w:rsidP="00826544">
            <w:pPr>
              <w:pStyle w:val="BodyText"/>
              <w:cnfStyle w:val="000000000000" w:firstRow="0" w:lastRow="0" w:firstColumn="0" w:lastColumn="0" w:oddVBand="0" w:evenVBand="0" w:oddHBand="0" w:evenHBand="0" w:firstRowFirstColumn="0" w:firstRowLastColumn="0" w:lastRowFirstColumn="0" w:lastRowLastColumn="0"/>
            </w:pPr>
            <w:r>
              <w:t>O = other"</w:t>
            </w:r>
          </w:p>
        </w:tc>
        <w:tc>
          <w:tcPr>
            <w:tcW w:w="3963" w:type="dxa"/>
          </w:tcPr>
          <w:p w14:paraId="40EBE69F" w14:textId="4D8B6836" w:rsidR="003E5EAC" w:rsidRDefault="00826544" w:rsidP="003E5EAC">
            <w:pPr>
              <w:pStyle w:val="BodyText"/>
              <w:cnfStyle w:val="000000000000" w:firstRow="0" w:lastRow="0" w:firstColumn="0" w:lastColumn="0" w:oddVBand="0" w:evenVBand="0" w:oddHBand="0" w:evenHBand="0" w:firstRowFirstColumn="0" w:firstRowLastColumn="0" w:lastRowFirstColumn="0" w:lastRowLastColumn="0"/>
            </w:pPr>
            <w:r w:rsidRPr="00826544">
              <w:t>Select only one code to indicate the reason for the loan.</w:t>
            </w:r>
          </w:p>
        </w:tc>
      </w:tr>
      <w:tr w:rsidR="000C496F" w14:paraId="44C1E77B"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64822888" w14:textId="791EB1B4" w:rsidR="000C496F" w:rsidRPr="001F3B1F" w:rsidRDefault="000C496F" w:rsidP="000C496F">
            <w:pPr>
              <w:pStyle w:val="BodyText"/>
            </w:pPr>
            <w:r w:rsidRPr="008908BC">
              <w:t>13A</w:t>
            </w:r>
          </w:p>
        </w:tc>
        <w:tc>
          <w:tcPr>
            <w:tcW w:w="2410" w:type="dxa"/>
          </w:tcPr>
          <w:p w14:paraId="7059C497" w14:textId="29944D1D" w:rsidR="000C496F" w:rsidRPr="001F3B1F" w:rsidRDefault="000C496F" w:rsidP="000C496F">
            <w:pPr>
              <w:pStyle w:val="BodyText"/>
              <w:cnfStyle w:val="000000000000" w:firstRow="0" w:lastRow="0" w:firstColumn="0" w:lastColumn="0" w:oddVBand="0" w:evenVBand="0" w:oddHBand="0" w:evenHBand="0" w:firstRowFirstColumn="0" w:firstRowLastColumn="0" w:lastRowFirstColumn="0" w:lastRowLastColumn="0"/>
            </w:pPr>
            <w:r w:rsidRPr="008908BC">
              <w:t>Date of birth of borrower</w:t>
            </w:r>
          </w:p>
        </w:tc>
        <w:tc>
          <w:tcPr>
            <w:tcW w:w="2126" w:type="dxa"/>
          </w:tcPr>
          <w:p w14:paraId="3ED7D73B" w14:textId="395F1BCA" w:rsidR="000C496F" w:rsidRPr="001F3B1F" w:rsidRDefault="000C496F" w:rsidP="000C496F">
            <w:pPr>
              <w:pStyle w:val="BodyText"/>
              <w:cnfStyle w:val="000000000000" w:firstRow="0" w:lastRow="0" w:firstColumn="0" w:lastColumn="0" w:oddVBand="0" w:evenVBand="0" w:oddHBand="0" w:evenHBand="0" w:firstRowFirstColumn="0" w:firstRowLastColumn="0" w:lastRowFirstColumn="0" w:lastRowLastColumn="0"/>
            </w:pPr>
            <w:r w:rsidRPr="008908BC">
              <w:t>DD/MM/YYYY</w:t>
            </w:r>
          </w:p>
        </w:tc>
        <w:tc>
          <w:tcPr>
            <w:tcW w:w="3963" w:type="dxa"/>
          </w:tcPr>
          <w:p w14:paraId="7968CE5E" w14:textId="77777777" w:rsidR="000C496F" w:rsidRDefault="000C496F" w:rsidP="000C496F">
            <w:pPr>
              <w:pStyle w:val="BodyText"/>
              <w:cnfStyle w:val="000000000000" w:firstRow="0" w:lastRow="0" w:firstColumn="0" w:lastColumn="0" w:oddVBand="0" w:evenVBand="0" w:oddHBand="0" w:evenHBand="0" w:firstRowFirstColumn="0" w:firstRowLastColumn="0" w:lastRowFirstColumn="0" w:lastRowLastColumn="0"/>
            </w:pPr>
          </w:p>
        </w:tc>
      </w:tr>
      <w:tr w:rsidR="000C496F" w14:paraId="3AE7D2CA"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1560F55E" w14:textId="58626731" w:rsidR="000C496F" w:rsidRPr="001F3B1F" w:rsidRDefault="000C496F" w:rsidP="000C496F">
            <w:pPr>
              <w:pStyle w:val="BodyText"/>
            </w:pPr>
            <w:r w:rsidRPr="001F641C">
              <w:t>14A</w:t>
            </w:r>
          </w:p>
        </w:tc>
        <w:tc>
          <w:tcPr>
            <w:tcW w:w="2410" w:type="dxa"/>
          </w:tcPr>
          <w:p w14:paraId="43B1D736" w14:textId="521DA58E" w:rsidR="000C496F" w:rsidRPr="001F3B1F" w:rsidRDefault="000C496F" w:rsidP="000C496F">
            <w:pPr>
              <w:pStyle w:val="BodyText"/>
              <w:cnfStyle w:val="000000000000" w:firstRow="0" w:lastRow="0" w:firstColumn="0" w:lastColumn="0" w:oddVBand="0" w:evenVBand="0" w:oddHBand="0" w:evenHBand="0" w:firstRowFirstColumn="0" w:firstRowLastColumn="0" w:lastRowFirstColumn="0" w:lastRowLastColumn="0"/>
            </w:pPr>
            <w:r w:rsidRPr="001F641C">
              <w:t>Post code of borrower</w:t>
            </w:r>
          </w:p>
        </w:tc>
        <w:tc>
          <w:tcPr>
            <w:tcW w:w="2126" w:type="dxa"/>
          </w:tcPr>
          <w:p w14:paraId="189A1813" w14:textId="566521DC" w:rsidR="000C496F" w:rsidRPr="001F3B1F" w:rsidRDefault="000C496F" w:rsidP="000C496F">
            <w:pPr>
              <w:pStyle w:val="BodyText"/>
              <w:cnfStyle w:val="000000000000" w:firstRow="0" w:lastRow="0" w:firstColumn="0" w:lastColumn="0" w:oddVBand="0" w:evenVBand="0" w:oddHBand="0" w:evenHBand="0" w:firstRowFirstColumn="0" w:firstRowLastColumn="0" w:lastRowFirstColumn="0" w:lastRowLastColumn="0"/>
            </w:pPr>
            <w:r w:rsidRPr="001F641C">
              <w:t>e.g. XY45 6XX</w:t>
            </w:r>
          </w:p>
        </w:tc>
        <w:tc>
          <w:tcPr>
            <w:tcW w:w="3963" w:type="dxa"/>
          </w:tcPr>
          <w:p w14:paraId="6A9A4221" w14:textId="00D0D6A2" w:rsidR="000C496F" w:rsidRDefault="000C496F" w:rsidP="000C496F">
            <w:pPr>
              <w:pStyle w:val="BodyText"/>
              <w:cnfStyle w:val="000000000000" w:firstRow="0" w:lastRow="0" w:firstColumn="0" w:lastColumn="0" w:oddVBand="0" w:evenVBand="0" w:oddHBand="0" w:evenHBand="0" w:firstRowFirstColumn="0" w:firstRowLastColumn="0" w:lastRowFirstColumn="0" w:lastRowLastColumn="0"/>
            </w:pPr>
            <w:r w:rsidRPr="001F641C">
              <w:t>Provide the post code of the main place of residence of the borrower</w:t>
            </w:r>
          </w:p>
        </w:tc>
      </w:tr>
      <w:tr w:rsidR="000C496F" w14:paraId="26285F58"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492729C2" w14:textId="66C6B2EE" w:rsidR="000C496F" w:rsidRPr="001F3B1F" w:rsidRDefault="000C496F" w:rsidP="000C496F">
            <w:pPr>
              <w:pStyle w:val="BodyText"/>
            </w:pPr>
            <w:r w:rsidRPr="001F641C">
              <w:t>15A</w:t>
            </w:r>
          </w:p>
        </w:tc>
        <w:tc>
          <w:tcPr>
            <w:tcW w:w="2410" w:type="dxa"/>
          </w:tcPr>
          <w:p w14:paraId="7E79D92E" w14:textId="6FCB497F" w:rsidR="000C496F" w:rsidRPr="001F3B1F" w:rsidRDefault="000C496F" w:rsidP="000C496F">
            <w:pPr>
              <w:pStyle w:val="BodyText"/>
              <w:cnfStyle w:val="000000000000" w:firstRow="0" w:lastRow="0" w:firstColumn="0" w:lastColumn="0" w:oddVBand="0" w:evenVBand="0" w:oddHBand="0" w:evenHBand="0" w:firstRowFirstColumn="0" w:firstRowLastColumn="0" w:lastRowFirstColumn="0" w:lastRowLastColumn="0"/>
            </w:pPr>
            <w:r w:rsidRPr="001F641C">
              <w:t>Monthly income of borrower</w:t>
            </w:r>
          </w:p>
        </w:tc>
        <w:tc>
          <w:tcPr>
            <w:tcW w:w="2126" w:type="dxa"/>
          </w:tcPr>
          <w:p w14:paraId="238DB485" w14:textId="64CF8E29" w:rsidR="000C496F" w:rsidRPr="001F3B1F" w:rsidRDefault="000C496F" w:rsidP="000C496F">
            <w:pPr>
              <w:pStyle w:val="BodyText"/>
              <w:cnfStyle w:val="000000000000" w:firstRow="0" w:lastRow="0" w:firstColumn="0" w:lastColumn="0" w:oddVBand="0" w:evenVBand="0" w:oddHBand="0" w:evenHBand="0" w:firstRowFirstColumn="0" w:firstRowLastColumn="0" w:lastRowFirstColumn="0" w:lastRowLastColumn="0"/>
            </w:pPr>
            <w:r w:rsidRPr="001F641C">
              <w:t>Numeric £</w:t>
            </w:r>
          </w:p>
        </w:tc>
        <w:tc>
          <w:tcPr>
            <w:tcW w:w="3963" w:type="dxa"/>
          </w:tcPr>
          <w:p w14:paraId="0E532112" w14:textId="098DB302" w:rsidR="000C496F" w:rsidRDefault="000C496F" w:rsidP="000C496F">
            <w:pPr>
              <w:pStyle w:val="BodyText"/>
              <w:cnfStyle w:val="000000000000" w:firstRow="0" w:lastRow="0" w:firstColumn="0" w:lastColumn="0" w:oddVBand="0" w:evenVBand="0" w:oddHBand="0" w:evenHBand="0" w:firstRowFirstColumn="0" w:firstRowLastColumn="0" w:lastRowFirstColumn="0" w:lastRowLastColumn="0"/>
            </w:pPr>
            <w:r w:rsidRPr="001F641C">
              <w:t>Provide monthly income after tax of borrower</w:t>
            </w:r>
          </w:p>
        </w:tc>
      </w:tr>
      <w:tr w:rsidR="00ED48B9" w14:paraId="77F7830C"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64CC7116" w14:textId="36E42313" w:rsidR="00ED48B9" w:rsidRPr="001F3B1F" w:rsidRDefault="00ED48B9" w:rsidP="00ED48B9">
            <w:pPr>
              <w:pStyle w:val="BodyText"/>
            </w:pPr>
            <w:r w:rsidRPr="00D57EC5">
              <w:lastRenderedPageBreak/>
              <w:t>16A</w:t>
            </w:r>
          </w:p>
        </w:tc>
        <w:tc>
          <w:tcPr>
            <w:tcW w:w="2410" w:type="dxa"/>
          </w:tcPr>
          <w:p w14:paraId="121B4AF6" w14:textId="692251FD" w:rsidR="00ED48B9" w:rsidRPr="001F3B1F" w:rsidRDefault="00ED48B9" w:rsidP="00ED48B9">
            <w:pPr>
              <w:pStyle w:val="BodyText"/>
              <w:cnfStyle w:val="000000000000" w:firstRow="0" w:lastRow="0" w:firstColumn="0" w:lastColumn="0" w:oddVBand="0" w:evenVBand="0" w:oddHBand="0" w:evenHBand="0" w:firstRowFirstColumn="0" w:firstRowLastColumn="0" w:lastRowFirstColumn="0" w:lastRowLastColumn="0"/>
            </w:pPr>
            <w:r w:rsidRPr="00D57EC5">
              <w:t>Marital status of borrower</w:t>
            </w:r>
          </w:p>
        </w:tc>
        <w:tc>
          <w:tcPr>
            <w:tcW w:w="2126" w:type="dxa"/>
          </w:tcPr>
          <w:p w14:paraId="7B804446" w14:textId="77777777" w:rsidR="00ED48B9" w:rsidRDefault="00ED48B9" w:rsidP="00ED48B9">
            <w:pPr>
              <w:pStyle w:val="BodyText"/>
              <w:cnfStyle w:val="000000000000" w:firstRow="0" w:lastRow="0" w:firstColumn="0" w:lastColumn="0" w:oddVBand="0" w:evenVBand="0" w:oddHBand="0" w:evenHBand="0" w:firstRowFirstColumn="0" w:firstRowLastColumn="0" w:lastRowFirstColumn="0" w:lastRowLastColumn="0"/>
            </w:pPr>
            <w:r>
              <w:t>"M = married</w:t>
            </w:r>
          </w:p>
          <w:p w14:paraId="02C8190F" w14:textId="77777777" w:rsidR="00ED48B9" w:rsidRDefault="00ED48B9" w:rsidP="00ED48B9">
            <w:pPr>
              <w:pStyle w:val="BodyText"/>
              <w:cnfStyle w:val="000000000000" w:firstRow="0" w:lastRow="0" w:firstColumn="0" w:lastColumn="0" w:oddVBand="0" w:evenVBand="0" w:oddHBand="0" w:evenHBand="0" w:firstRowFirstColumn="0" w:firstRowLastColumn="0" w:lastRowFirstColumn="0" w:lastRowLastColumn="0"/>
            </w:pPr>
            <w:r>
              <w:t>S = single</w:t>
            </w:r>
          </w:p>
          <w:p w14:paraId="51761004" w14:textId="77777777" w:rsidR="00ED48B9" w:rsidRDefault="00ED48B9" w:rsidP="00ED48B9">
            <w:pPr>
              <w:pStyle w:val="BodyText"/>
              <w:cnfStyle w:val="000000000000" w:firstRow="0" w:lastRow="0" w:firstColumn="0" w:lastColumn="0" w:oddVBand="0" w:evenVBand="0" w:oddHBand="0" w:evenHBand="0" w:firstRowFirstColumn="0" w:firstRowLastColumn="0" w:lastRowFirstColumn="0" w:lastRowLastColumn="0"/>
            </w:pPr>
            <w:r>
              <w:t>D = divorced</w:t>
            </w:r>
          </w:p>
          <w:p w14:paraId="395152CE" w14:textId="77777777" w:rsidR="00ED48B9" w:rsidRDefault="00ED48B9" w:rsidP="00ED48B9">
            <w:pPr>
              <w:pStyle w:val="BodyText"/>
              <w:cnfStyle w:val="000000000000" w:firstRow="0" w:lastRow="0" w:firstColumn="0" w:lastColumn="0" w:oddVBand="0" w:evenVBand="0" w:oddHBand="0" w:evenHBand="0" w:firstRowFirstColumn="0" w:firstRowLastColumn="0" w:lastRowFirstColumn="0" w:lastRowLastColumn="0"/>
            </w:pPr>
            <w:r>
              <w:t>W = widowed</w:t>
            </w:r>
          </w:p>
          <w:p w14:paraId="7FE28226" w14:textId="77777777" w:rsidR="00ED48B9" w:rsidRDefault="00ED48B9" w:rsidP="00ED48B9">
            <w:pPr>
              <w:pStyle w:val="BodyText"/>
              <w:cnfStyle w:val="000000000000" w:firstRow="0" w:lastRow="0" w:firstColumn="0" w:lastColumn="0" w:oddVBand="0" w:evenVBand="0" w:oddHBand="0" w:evenHBand="0" w:firstRowFirstColumn="0" w:firstRowLastColumn="0" w:lastRowFirstColumn="0" w:lastRowLastColumn="0"/>
            </w:pPr>
            <w:r>
              <w:t>L = living together</w:t>
            </w:r>
          </w:p>
          <w:p w14:paraId="2FA7D96D" w14:textId="77777777" w:rsidR="00ED48B9" w:rsidRDefault="00ED48B9" w:rsidP="00ED48B9">
            <w:pPr>
              <w:pStyle w:val="BodyText"/>
              <w:cnfStyle w:val="000000000000" w:firstRow="0" w:lastRow="0" w:firstColumn="0" w:lastColumn="0" w:oddVBand="0" w:evenVBand="0" w:oddHBand="0" w:evenHBand="0" w:firstRowFirstColumn="0" w:firstRowLastColumn="0" w:lastRowFirstColumn="0" w:lastRowLastColumn="0"/>
            </w:pPr>
            <w:r>
              <w:t>P = separated</w:t>
            </w:r>
          </w:p>
          <w:p w14:paraId="3C177D69" w14:textId="554CFA8C" w:rsidR="00ED48B9" w:rsidRPr="001F3B1F" w:rsidRDefault="00ED48B9" w:rsidP="00ED48B9">
            <w:pPr>
              <w:pStyle w:val="BodyText"/>
              <w:cnfStyle w:val="000000000000" w:firstRow="0" w:lastRow="0" w:firstColumn="0" w:lastColumn="0" w:oddVBand="0" w:evenVBand="0" w:oddHBand="0" w:evenHBand="0" w:firstRowFirstColumn="0" w:firstRowLastColumn="0" w:lastRowFirstColumn="0" w:lastRowLastColumn="0"/>
            </w:pPr>
            <w:r>
              <w:t>O = other"</w:t>
            </w:r>
          </w:p>
        </w:tc>
        <w:tc>
          <w:tcPr>
            <w:tcW w:w="3963" w:type="dxa"/>
          </w:tcPr>
          <w:p w14:paraId="6C32E7E7" w14:textId="667ADFFE" w:rsidR="00ED48B9" w:rsidRDefault="00ED48B9" w:rsidP="00ED48B9">
            <w:pPr>
              <w:pStyle w:val="BodyText"/>
              <w:cnfStyle w:val="000000000000" w:firstRow="0" w:lastRow="0" w:firstColumn="0" w:lastColumn="0" w:oddVBand="0" w:evenVBand="0" w:oddHBand="0" w:evenHBand="0" w:firstRowFirstColumn="0" w:firstRowLastColumn="0" w:lastRowFirstColumn="0" w:lastRowLastColumn="0"/>
            </w:pPr>
            <w:r w:rsidRPr="00ED48B9">
              <w:t>Select only one code that most appropriately represents the borrower’s marital status</w:t>
            </w:r>
          </w:p>
        </w:tc>
      </w:tr>
      <w:tr w:rsidR="005506C3" w14:paraId="0B4CAD67"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5CC85BD9" w14:textId="4FBEA5FA" w:rsidR="005506C3" w:rsidRPr="001F3B1F" w:rsidRDefault="005506C3" w:rsidP="005506C3">
            <w:pPr>
              <w:pStyle w:val="BodyText"/>
            </w:pPr>
            <w:r w:rsidRPr="002734F3">
              <w:t>17A</w:t>
            </w:r>
          </w:p>
        </w:tc>
        <w:tc>
          <w:tcPr>
            <w:tcW w:w="2410" w:type="dxa"/>
          </w:tcPr>
          <w:p w14:paraId="0D788461" w14:textId="5FF2422F" w:rsidR="005506C3" w:rsidRPr="001F3B1F" w:rsidRDefault="005506C3" w:rsidP="005506C3">
            <w:pPr>
              <w:pStyle w:val="BodyText"/>
              <w:cnfStyle w:val="000000000000" w:firstRow="0" w:lastRow="0" w:firstColumn="0" w:lastColumn="0" w:oddVBand="0" w:evenVBand="0" w:oddHBand="0" w:evenHBand="0" w:firstRowFirstColumn="0" w:firstRowLastColumn="0" w:lastRowFirstColumn="0" w:lastRowLastColumn="0"/>
            </w:pPr>
            <w:r w:rsidRPr="002734F3">
              <w:t>Residential status of borrower</w:t>
            </w:r>
          </w:p>
        </w:tc>
        <w:tc>
          <w:tcPr>
            <w:tcW w:w="2126" w:type="dxa"/>
          </w:tcPr>
          <w:p w14:paraId="4D363C1F" w14:textId="77777777" w:rsidR="005506C3" w:rsidRDefault="005506C3" w:rsidP="005506C3">
            <w:pPr>
              <w:pStyle w:val="BodyText"/>
              <w:cnfStyle w:val="000000000000" w:firstRow="0" w:lastRow="0" w:firstColumn="0" w:lastColumn="0" w:oddVBand="0" w:evenVBand="0" w:oddHBand="0" w:evenHBand="0" w:firstRowFirstColumn="0" w:firstRowLastColumn="0" w:lastRowFirstColumn="0" w:lastRowLastColumn="0"/>
            </w:pPr>
            <w:r>
              <w:t>"O = owner occupier</w:t>
            </w:r>
          </w:p>
          <w:p w14:paraId="34AD40E9" w14:textId="77777777" w:rsidR="005506C3" w:rsidRDefault="005506C3" w:rsidP="005506C3">
            <w:pPr>
              <w:pStyle w:val="BodyText"/>
              <w:cnfStyle w:val="000000000000" w:firstRow="0" w:lastRow="0" w:firstColumn="0" w:lastColumn="0" w:oddVBand="0" w:evenVBand="0" w:oddHBand="0" w:evenHBand="0" w:firstRowFirstColumn="0" w:firstRowLastColumn="0" w:lastRowFirstColumn="0" w:lastRowLastColumn="0"/>
            </w:pPr>
            <w:r>
              <w:t>L = living with parents</w:t>
            </w:r>
          </w:p>
          <w:p w14:paraId="75A007B4" w14:textId="77777777" w:rsidR="005506C3" w:rsidRDefault="005506C3" w:rsidP="005506C3">
            <w:pPr>
              <w:pStyle w:val="BodyText"/>
              <w:cnfStyle w:val="000000000000" w:firstRow="0" w:lastRow="0" w:firstColumn="0" w:lastColumn="0" w:oddVBand="0" w:evenVBand="0" w:oddHBand="0" w:evenHBand="0" w:firstRowFirstColumn="0" w:firstRowLastColumn="0" w:lastRowFirstColumn="0" w:lastRowLastColumn="0"/>
            </w:pPr>
            <w:r>
              <w:t>T = tenant</w:t>
            </w:r>
          </w:p>
          <w:p w14:paraId="17547529" w14:textId="77777777" w:rsidR="005506C3" w:rsidRDefault="005506C3" w:rsidP="005506C3">
            <w:pPr>
              <w:pStyle w:val="BodyText"/>
              <w:cnfStyle w:val="000000000000" w:firstRow="0" w:lastRow="0" w:firstColumn="0" w:lastColumn="0" w:oddVBand="0" w:evenVBand="0" w:oddHBand="0" w:evenHBand="0" w:firstRowFirstColumn="0" w:firstRowLastColumn="0" w:lastRowFirstColumn="0" w:lastRowLastColumn="0"/>
            </w:pPr>
            <w:r>
              <w:t>C = council tenant</w:t>
            </w:r>
          </w:p>
          <w:p w14:paraId="1E1F679C" w14:textId="77777777" w:rsidR="005506C3" w:rsidRDefault="005506C3" w:rsidP="005506C3">
            <w:pPr>
              <w:pStyle w:val="BodyText"/>
              <w:cnfStyle w:val="000000000000" w:firstRow="0" w:lastRow="0" w:firstColumn="0" w:lastColumn="0" w:oddVBand="0" w:evenVBand="0" w:oddHBand="0" w:evenHBand="0" w:firstRowFirstColumn="0" w:firstRowLastColumn="0" w:lastRowFirstColumn="0" w:lastRowLastColumn="0"/>
            </w:pPr>
            <w:r>
              <w:t>J = joint owner</w:t>
            </w:r>
          </w:p>
          <w:p w14:paraId="637B29F8" w14:textId="35D68A9D" w:rsidR="005506C3" w:rsidRPr="001F3B1F" w:rsidRDefault="005506C3" w:rsidP="005506C3">
            <w:pPr>
              <w:pStyle w:val="BodyText"/>
              <w:cnfStyle w:val="000000000000" w:firstRow="0" w:lastRow="0" w:firstColumn="0" w:lastColumn="0" w:oddVBand="0" w:evenVBand="0" w:oddHBand="0" w:evenHBand="0" w:firstRowFirstColumn="0" w:firstRowLastColumn="0" w:lastRowFirstColumn="0" w:lastRowLastColumn="0"/>
            </w:pPr>
            <w:r>
              <w:t>X = other"</w:t>
            </w:r>
          </w:p>
        </w:tc>
        <w:tc>
          <w:tcPr>
            <w:tcW w:w="3963" w:type="dxa"/>
          </w:tcPr>
          <w:p w14:paraId="0705F9CC" w14:textId="5A008122" w:rsidR="005506C3" w:rsidRDefault="005506C3" w:rsidP="005506C3">
            <w:pPr>
              <w:pStyle w:val="BodyText"/>
              <w:cnfStyle w:val="000000000000" w:firstRow="0" w:lastRow="0" w:firstColumn="0" w:lastColumn="0" w:oddVBand="0" w:evenVBand="0" w:oddHBand="0" w:evenHBand="0" w:firstRowFirstColumn="0" w:firstRowLastColumn="0" w:lastRowFirstColumn="0" w:lastRowLastColumn="0"/>
            </w:pPr>
            <w:r w:rsidRPr="005506C3">
              <w:t>Select only one code that most appropriately represents the borrower’s residential status</w:t>
            </w:r>
          </w:p>
        </w:tc>
      </w:tr>
      <w:tr w:rsidR="005506C3" w14:paraId="46A01532" w14:textId="77777777" w:rsidTr="008549F7">
        <w:tc>
          <w:tcPr>
            <w:cnfStyle w:val="001000000000" w:firstRow="0" w:lastRow="0" w:firstColumn="1" w:lastColumn="0" w:oddVBand="0" w:evenVBand="0" w:oddHBand="0" w:evenHBand="0" w:firstRowFirstColumn="0" w:firstRowLastColumn="0" w:lastRowFirstColumn="0" w:lastRowLastColumn="0"/>
            <w:tcW w:w="1129" w:type="dxa"/>
          </w:tcPr>
          <w:p w14:paraId="4090976A" w14:textId="404E2E5E" w:rsidR="005506C3" w:rsidRPr="001F3B1F" w:rsidRDefault="005506C3" w:rsidP="005506C3">
            <w:pPr>
              <w:pStyle w:val="BodyText"/>
            </w:pPr>
            <w:r w:rsidRPr="0094521C">
              <w:t>18A</w:t>
            </w:r>
          </w:p>
        </w:tc>
        <w:tc>
          <w:tcPr>
            <w:tcW w:w="2410" w:type="dxa"/>
          </w:tcPr>
          <w:p w14:paraId="060D9D6C" w14:textId="1255AB3C" w:rsidR="005506C3" w:rsidRPr="001F3B1F" w:rsidRDefault="005506C3" w:rsidP="005506C3">
            <w:pPr>
              <w:pStyle w:val="BodyText"/>
              <w:cnfStyle w:val="000000000000" w:firstRow="0" w:lastRow="0" w:firstColumn="0" w:lastColumn="0" w:oddVBand="0" w:evenVBand="0" w:oddHBand="0" w:evenHBand="0" w:firstRowFirstColumn="0" w:firstRowLastColumn="0" w:lastRowFirstColumn="0" w:lastRowLastColumn="0"/>
            </w:pPr>
            <w:r w:rsidRPr="0094521C">
              <w:t>Employment status of borrower</w:t>
            </w:r>
          </w:p>
        </w:tc>
        <w:tc>
          <w:tcPr>
            <w:tcW w:w="2126" w:type="dxa"/>
          </w:tcPr>
          <w:p w14:paraId="04932F5B" w14:textId="77777777" w:rsidR="0038518B" w:rsidRDefault="0038518B" w:rsidP="0038518B">
            <w:pPr>
              <w:pStyle w:val="BodyText"/>
              <w:cnfStyle w:val="000000000000" w:firstRow="0" w:lastRow="0" w:firstColumn="0" w:lastColumn="0" w:oddVBand="0" w:evenVBand="0" w:oddHBand="0" w:evenHBand="0" w:firstRowFirstColumn="0" w:firstRowLastColumn="0" w:lastRowFirstColumn="0" w:lastRowLastColumn="0"/>
            </w:pPr>
            <w:r>
              <w:t>"EF = employed full time</w:t>
            </w:r>
          </w:p>
          <w:p w14:paraId="1D8C650B" w14:textId="77777777" w:rsidR="0038518B" w:rsidRDefault="0038518B" w:rsidP="0038518B">
            <w:pPr>
              <w:pStyle w:val="BodyText"/>
              <w:cnfStyle w:val="000000000000" w:firstRow="0" w:lastRow="0" w:firstColumn="0" w:lastColumn="0" w:oddVBand="0" w:evenVBand="0" w:oddHBand="0" w:evenHBand="0" w:firstRowFirstColumn="0" w:firstRowLastColumn="0" w:lastRowFirstColumn="0" w:lastRowLastColumn="0"/>
            </w:pPr>
            <w:r>
              <w:t>EP = employed part time</w:t>
            </w:r>
          </w:p>
          <w:p w14:paraId="2E0D0634" w14:textId="77777777" w:rsidR="0038518B" w:rsidRDefault="0038518B" w:rsidP="0038518B">
            <w:pPr>
              <w:pStyle w:val="BodyText"/>
              <w:cnfStyle w:val="000000000000" w:firstRow="0" w:lastRow="0" w:firstColumn="0" w:lastColumn="0" w:oddVBand="0" w:evenVBand="0" w:oddHBand="0" w:evenHBand="0" w:firstRowFirstColumn="0" w:firstRowLastColumn="0" w:lastRowFirstColumn="0" w:lastRowLastColumn="0"/>
            </w:pPr>
            <w:r>
              <w:t>ET = employed temporary</w:t>
            </w:r>
          </w:p>
          <w:p w14:paraId="44B3BD00" w14:textId="77777777" w:rsidR="0038518B" w:rsidRDefault="0038518B" w:rsidP="0038518B">
            <w:pPr>
              <w:pStyle w:val="BodyText"/>
              <w:cnfStyle w:val="000000000000" w:firstRow="0" w:lastRow="0" w:firstColumn="0" w:lastColumn="0" w:oddVBand="0" w:evenVBand="0" w:oddHBand="0" w:evenHBand="0" w:firstRowFirstColumn="0" w:firstRowLastColumn="0" w:lastRowFirstColumn="0" w:lastRowLastColumn="0"/>
            </w:pPr>
            <w:r>
              <w:t>SE = self-employed</w:t>
            </w:r>
          </w:p>
          <w:p w14:paraId="3E66871C" w14:textId="77777777" w:rsidR="0038518B" w:rsidRDefault="0038518B" w:rsidP="0038518B">
            <w:pPr>
              <w:pStyle w:val="BodyText"/>
              <w:cnfStyle w:val="000000000000" w:firstRow="0" w:lastRow="0" w:firstColumn="0" w:lastColumn="0" w:oddVBand="0" w:evenVBand="0" w:oddHBand="0" w:evenHBand="0" w:firstRowFirstColumn="0" w:firstRowLastColumn="0" w:lastRowFirstColumn="0" w:lastRowLastColumn="0"/>
            </w:pPr>
            <w:r>
              <w:t>S = student</w:t>
            </w:r>
          </w:p>
          <w:p w14:paraId="7E5A1C67" w14:textId="77777777" w:rsidR="0038518B" w:rsidRDefault="0038518B" w:rsidP="0038518B">
            <w:pPr>
              <w:pStyle w:val="BodyText"/>
              <w:cnfStyle w:val="000000000000" w:firstRow="0" w:lastRow="0" w:firstColumn="0" w:lastColumn="0" w:oddVBand="0" w:evenVBand="0" w:oddHBand="0" w:evenHBand="0" w:firstRowFirstColumn="0" w:firstRowLastColumn="0" w:lastRowFirstColumn="0" w:lastRowLastColumn="0"/>
            </w:pPr>
            <w:r>
              <w:t>HM = home maker</w:t>
            </w:r>
          </w:p>
          <w:p w14:paraId="62009673" w14:textId="77777777" w:rsidR="0038518B" w:rsidRDefault="0038518B" w:rsidP="0038518B">
            <w:pPr>
              <w:pStyle w:val="BodyText"/>
              <w:cnfStyle w:val="000000000000" w:firstRow="0" w:lastRow="0" w:firstColumn="0" w:lastColumn="0" w:oddVBand="0" w:evenVBand="0" w:oddHBand="0" w:evenHBand="0" w:firstRowFirstColumn="0" w:firstRowLastColumn="0" w:lastRowFirstColumn="0" w:lastRowLastColumn="0"/>
            </w:pPr>
            <w:r>
              <w:t>U = unemployed</w:t>
            </w:r>
          </w:p>
          <w:p w14:paraId="4B989D82" w14:textId="77777777" w:rsidR="0038518B" w:rsidRDefault="0038518B" w:rsidP="0038518B">
            <w:pPr>
              <w:pStyle w:val="BodyText"/>
              <w:cnfStyle w:val="000000000000" w:firstRow="0" w:lastRow="0" w:firstColumn="0" w:lastColumn="0" w:oddVBand="0" w:evenVBand="0" w:oddHBand="0" w:evenHBand="0" w:firstRowFirstColumn="0" w:firstRowLastColumn="0" w:lastRowFirstColumn="0" w:lastRowLastColumn="0"/>
            </w:pPr>
            <w:r>
              <w:t>OB = on benefits</w:t>
            </w:r>
          </w:p>
          <w:p w14:paraId="38DF5500" w14:textId="77777777" w:rsidR="0038518B" w:rsidRDefault="0038518B" w:rsidP="0038518B">
            <w:pPr>
              <w:pStyle w:val="BodyText"/>
              <w:cnfStyle w:val="000000000000" w:firstRow="0" w:lastRow="0" w:firstColumn="0" w:lastColumn="0" w:oddVBand="0" w:evenVBand="0" w:oddHBand="0" w:evenHBand="0" w:firstRowFirstColumn="0" w:firstRowLastColumn="0" w:lastRowFirstColumn="0" w:lastRowLastColumn="0"/>
            </w:pPr>
            <w:r>
              <w:t>AF = in armed forces</w:t>
            </w:r>
          </w:p>
          <w:p w14:paraId="535CEF88" w14:textId="6ACCB37E" w:rsidR="005506C3" w:rsidRPr="001F3B1F" w:rsidRDefault="0038518B" w:rsidP="0038518B">
            <w:pPr>
              <w:pStyle w:val="BodyText"/>
              <w:cnfStyle w:val="000000000000" w:firstRow="0" w:lastRow="0" w:firstColumn="0" w:lastColumn="0" w:oddVBand="0" w:evenVBand="0" w:oddHBand="0" w:evenHBand="0" w:firstRowFirstColumn="0" w:firstRowLastColumn="0" w:lastRowFirstColumn="0" w:lastRowLastColumn="0"/>
            </w:pPr>
            <w:r>
              <w:t>R = retired"</w:t>
            </w:r>
          </w:p>
        </w:tc>
        <w:tc>
          <w:tcPr>
            <w:tcW w:w="3963" w:type="dxa"/>
          </w:tcPr>
          <w:p w14:paraId="2F5E1032" w14:textId="782E5BF5" w:rsidR="005506C3" w:rsidRDefault="0038518B" w:rsidP="005506C3">
            <w:pPr>
              <w:pStyle w:val="BodyText"/>
              <w:cnfStyle w:val="000000000000" w:firstRow="0" w:lastRow="0" w:firstColumn="0" w:lastColumn="0" w:oddVBand="0" w:evenVBand="0" w:oddHBand="0" w:evenHBand="0" w:firstRowFirstColumn="0" w:firstRowLastColumn="0" w:lastRowFirstColumn="0" w:lastRowLastColumn="0"/>
            </w:pPr>
            <w:r w:rsidRPr="0038518B">
              <w:t>Select only one code that most appropriately represents the borrower’s employment status</w:t>
            </w:r>
          </w:p>
        </w:tc>
      </w:tr>
    </w:tbl>
    <w:p w14:paraId="3478D8E1" w14:textId="1C3935EA" w:rsidR="00844AFC" w:rsidRDefault="00844AFC" w:rsidP="00844AFC">
      <w:pPr>
        <w:pStyle w:val="BodyText"/>
      </w:pPr>
    </w:p>
    <w:p w14:paraId="4531D0F3" w14:textId="77777777" w:rsidR="00095E11" w:rsidRDefault="00095E11" w:rsidP="00095E11">
      <w:pPr>
        <w:pStyle w:val="Heading1"/>
        <w:numPr>
          <w:ilvl w:val="0"/>
          <w:numId w:val="24"/>
        </w:numPr>
      </w:pPr>
      <w:bookmarkStart w:id="10" w:name="_Toc220409440"/>
      <w:r>
        <w:lastRenderedPageBreak/>
        <w:t>PSD008 – Credit Agreement Sales</w:t>
      </w:r>
      <w:bookmarkEnd w:id="10"/>
      <w:r w:rsidRPr="00A651FB">
        <w:t xml:space="preserve"> </w:t>
      </w:r>
    </w:p>
    <w:p w14:paraId="025D6A8A" w14:textId="77777777" w:rsidR="00095E11" w:rsidRDefault="00095E11" w:rsidP="00095E11">
      <w:pPr>
        <w:pStyle w:val="BodyText"/>
      </w:pPr>
      <w:r w:rsidRPr="001F3950">
        <w:rPr>
          <w:highlight w:val="green"/>
        </w:rPr>
        <w:fldChar w:fldCharType="begin"/>
      </w:r>
      <w:r w:rsidRPr="001F3950">
        <w:rPr>
          <w:highlight w:val="green"/>
        </w:rPr>
        <w:instrText xml:space="preserve"> DOCPROPERTY "Client"  \* MERGEFORMAT </w:instrText>
      </w:r>
      <w:r w:rsidRPr="001F3950">
        <w:rPr>
          <w:highlight w:val="green"/>
        </w:rPr>
        <w:fldChar w:fldCharType="end"/>
      </w:r>
      <w:r>
        <w:t>The following Fields must be submitted in the format prescribed below:</w:t>
      </w:r>
      <w:r>
        <w:br/>
        <w:t>Note!</w:t>
      </w:r>
      <w:r>
        <w:br/>
        <w:t>This Example includes several fields which require aggregation of numeric values across Borrowers.</w:t>
      </w:r>
    </w:p>
    <w:p w14:paraId="54CCED0C" w14:textId="77777777" w:rsidR="00095E11" w:rsidRDefault="00095E11" w:rsidP="00095E11">
      <w:pPr>
        <w:pStyle w:val="BodyText"/>
      </w:pPr>
    </w:p>
    <w:tbl>
      <w:tblPr>
        <w:tblStyle w:val="GridTable1Light-Accent2"/>
        <w:tblW w:w="0" w:type="auto"/>
        <w:tblLook w:val="04A0" w:firstRow="1" w:lastRow="0" w:firstColumn="1" w:lastColumn="0" w:noHBand="0" w:noVBand="1"/>
      </w:tblPr>
      <w:tblGrid>
        <w:gridCol w:w="1129"/>
        <w:gridCol w:w="2410"/>
        <w:gridCol w:w="2126"/>
        <w:gridCol w:w="3963"/>
      </w:tblGrid>
      <w:tr w:rsidR="00095E11" w14:paraId="3D1258E3" w14:textId="77777777" w:rsidTr="008D6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4AED90D" w14:textId="77777777" w:rsidR="00095E11" w:rsidRDefault="00095E11" w:rsidP="008D651F">
            <w:pPr>
              <w:pStyle w:val="BodyText"/>
            </w:pPr>
            <w:r>
              <w:t>Ref</w:t>
            </w:r>
          </w:p>
        </w:tc>
        <w:tc>
          <w:tcPr>
            <w:tcW w:w="2410" w:type="dxa"/>
          </w:tcPr>
          <w:p w14:paraId="52C9A395" w14:textId="77777777" w:rsidR="00095E11" w:rsidRDefault="00095E11" w:rsidP="008D651F">
            <w:pPr>
              <w:pStyle w:val="BodyText"/>
              <w:cnfStyle w:val="100000000000" w:firstRow="1" w:lastRow="0" w:firstColumn="0" w:lastColumn="0" w:oddVBand="0" w:evenVBand="0" w:oddHBand="0" w:evenHBand="0" w:firstRowFirstColumn="0" w:firstRowLastColumn="0" w:lastRowFirstColumn="0" w:lastRowLastColumn="0"/>
            </w:pPr>
            <w:r>
              <w:t>Field</w:t>
            </w:r>
          </w:p>
        </w:tc>
        <w:tc>
          <w:tcPr>
            <w:tcW w:w="2126" w:type="dxa"/>
          </w:tcPr>
          <w:p w14:paraId="1C957F7F" w14:textId="77777777" w:rsidR="00095E11" w:rsidRDefault="00095E11" w:rsidP="008D651F">
            <w:pPr>
              <w:pStyle w:val="BodyText"/>
              <w:cnfStyle w:val="100000000000" w:firstRow="1" w:lastRow="0" w:firstColumn="0" w:lastColumn="0" w:oddVBand="0" w:evenVBand="0" w:oddHBand="0" w:evenHBand="0" w:firstRowFirstColumn="0" w:firstRowLastColumn="0" w:lastRowFirstColumn="0" w:lastRowLastColumn="0"/>
            </w:pPr>
            <w:r>
              <w:t>Code</w:t>
            </w:r>
          </w:p>
        </w:tc>
        <w:tc>
          <w:tcPr>
            <w:tcW w:w="3963" w:type="dxa"/>
          </w:tcPr>
          <w:p w14:paraId="2E48E1FC" w14:textId="77777777" w:rsidR="00095E11" w:rsidRDefault="00095E11" w:rsidP="008D651F">
            <w:pPr>
              <w:pStyle w:val="BodyText"/>
              <w:cnfStyle w:val="100000000000" w:firstRow="1" w:lastRow="0" w:firstColumn="0" w:lastColumn="0" w:oddVBand="0" w:evenVBand="0" w:oddHBand="0" w:evenHBand="0" w:firstRowFirstColumn="0" w:firstRowLastColumn="0" w:lastRowFirstColumn="0" w:lastRowLastColumn="0"/>
            </w:pPr>
            <w:r>
              <w:t>Notes</w:t>
            </w:r>
          </w:p>
        </w:tc>
      </w:tr>
      <w:tr w:rsidR="00095E11" w14:paraId="359CA21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E8DC3A" w14:textId="77777777" w:rsidR="00095E11" w:rsidRDefault="00095E11" w:rsidP="008D651F">
            <w:pPr>
              <w:pStyle w:val="BodyText"/>
            </w:pPr>
            <w:r w:rsidRPr="00252D30">
              <w:t>n/a</w:t>
            </w:r>
          </w:p>
        </w:tc>
        <w:tc>
          <w:tcPr>
            <w:tcW w:w="2410" w:type="dxa"/>
          </w:tcPr>
          <w:p w14:paraId="175555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52D30">
              <w:t>Reference number of product provider</w:t>
            </w:r>
          </w:p>
        </w:tc>
        <w:tc>
          <w:tcPr>
            <w:tcW w:w="2126" w:type="dxa"/>
          </w:tcPr>
          <w:p w14:paraId="3FC913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52D30">
              <w:t>6 or 7 digit number</w:t>
            </w:r>
          </w:p>
        </w:tc>
        <w:tc>
          <w:tcPr>
            <w:tcW w:w="3963" w:type="dxa"/>
          </w:tcPr>
          <w:p w14:paraId="1FFD1B2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field must contain the firm reference number of the firm providing the data report.</w:t>
            </w:r>
          </w:p>
          <w:p w14:paraId="4C071C8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7DE48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Where a firm which is a P2P platform operator submits a report in relation to a home finance product in line with SUP 16.11.8-AR, the reference number of the product provider is the reference number of the P2P platform operator."</w:t>
            </w:r>
          </w:p>
        </w:tc>
      </w:tr>
      <w:tr w:rsidR="00095E11" w14:paraId="2A99692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50230BA" w14:textId="77777777" w:rsidR="00095E11" w:rsidRPr="008B214E" w:rsidRDefault="00095E11" w:rsidP="008D651F">
            <w:pPr>
              <w:pStyle w:val="BodyText"/>
            </w:pPr>
            <w:r w:rsidRPr="00F21C76">
              <w:t>1A</w:t>
            </w:r>
          </w:p>
        </w:tc>
        <w:tc>
          <w:tcPr>
            <w:tcW w:w="2410" w:type="dxa"/>
          </w:tcPr>
          <w:p w14:paraId="50144582" w14:textId="77777777" w:rsidR="00095E11" w:rsidRPr="009218B7"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21C76">
              <w:t>Transaction reference (regulated mortgage contracts and relevant regulated credit agreements only)</w:t>
            </w:r>
          </w:p>
        </w:tc>
        <w:tc>
          <w:tcPr>
            <w:tcW w:w="2126" w:type="dxa"/>
          </w:tcPr>
          <w:p w14:paraId="34BB6252" w14:textId="77777777" w:rsidR="00095E11" w:rsidRPr="009218B7"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21C76">
              <w:t>Numeric / Alphanumeric</w:t>
            </w:r>
          </w:p>
        </w:tc>
        <w:tc>
          <w:tcPr>
            <w:tcW w:w="3963" w:type="dxa"/>
          </w:tcPr>
          <w:p w14:paraId="13B7B2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unique reference for the transaction, internal to the reporting firm, that will enable the firm to provide the FCA with more information concerning the transaction if required, e.g. the account number, application number etc.</w:t>
            </w:r>
          </w:p>
          <w:p w14:paraId="09408E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AED7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In respect of relevant regulated credit agreements only, this should not include a natural person’s name or a derivation of their name."</w:t>
            </w:r>
          </w:p>
        </w:tc>
      </w:tr>
      <w:tr w:rsidR="00095E11" w14:paraId="1A4B6D6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A62DD6B" w14:textId="77777777" w:rsidR="00095E11" w:rsidRPr="00F21C76" w:rsidRDefault="00095E11" w:rsidP="008D651F">
            <w:pPr>
              <w:pStyle w:val="BodyText"/>
            </w:pPr>
            <w:r w:rsidRPr="00DE4D75">
              <w:t>2A</w:t>
            </w:r>
          </w:p>
        </w:tc>
        <w:tc>
          <w:tcPr>
            <w:tcW w:w="2410" w:type="dxa"/>
          </w:tcPr>
          <w:p w14:paraId="1DD5482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Origination agreement type</w:t>
            </w:r>
          </w:p>
        </w:tc>
        <w:tc>
          <w:tcPr>
            <w:tcW w:w="2126" w:type="dxa"/>
          </w:tcPr>
          <w:p w14:paraId="1A3F05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Modified agreement</w:t>
            </w:r>
          </w:p>
          <w:p w14:paraId="7EC86B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Novated agreement</w:t>
            </w:r>
          </w:p>
          <w:p w14:paraId="69C653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Legal ownership assigned</w:t>
            </w:r>
          </w:p>
          <w:p w14:paraId="7872E88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None of these"</w:t>
            </w:r>
          </w:p>
        </w:tc>
        <w:tc>
          <w:tcPr>
            <w:tcW w:w="3963" w:type="dxa"/>
          </w:tcPr>
          <w:p w14:paraId="6B4E64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98367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Modified agreement</w:t>
            </w:r>
          </w:p>
          <w:p w14:paraId="01345B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an earlier agreement as varied or supplemented by a modifying agreement, which is treated as:</w:t>
            </w:r>
          </w:p>
          <w:p w14:paraId="50B7A0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revoking the earlier agreement; and</w:t>
            </w:r>
          </w:p>
          <w:p w14:paraId="2F9D4B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containing provisions reproducing the combined effect of the 2 agreements.</w:t>
            </w:r>
          </w:p>
          <w:p w14:paraId="406623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96224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variation of a regulated credit agreement which does not require the use of a modifying agreement must not be reported in the sales data report. Such a regulated credit agreement should continue to be reported in the performance data report.</w:t>
            </w:r>
          </w:p>
          <w:p w14:paraId="35236B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AEE96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regulated credit agreement has replaced an earlier agreement but a modifying agreement was not used, this must not be recorded as ‘A: Modified agreement’.</w:t>
            </w:r>
          </w:p>
          <w:p w14:paraId="1E130D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Novated agreement</w:t>
            </w:r>
          </w:p>
          <w:p w14:paraId="5C07EB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replaces an earlier agreement by novation of the earlier agreement to change the lender.</w:t>
            </w:r>
          </w:p>
          <w:p w14:paraId="36E7E5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Legal ownership assigned</w:t>
            </w:r>
          </w:p>
          <w:p w14:paraId="79544B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legal ownership of the regulated credit agreement has been assigned to the reporting firm.</w:t>
            </w:r>
          </w:p>
          <w:p w14:paraId="31E55F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None of these</w:t>
            </w:r>
          </w:p>
          <w:p w14:paraId="4790D51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origination of the regulated credit agreement is not one of the specific options above."</w:t>
            </w:r>
          </w:p>
        </w:tc>
      </w:tr>
      <w:tr w:rsidR="00095E11" w14:paraId="3A2A8A25"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AB1F6E4" w14:textId="77777777" w:rsidR="00095E11" w:rsidRPr="00F21C76" w:rsidRDefault="00095E11" w:rsidP="008D651F">
            <w:pPr>
              <w:pStyle w:val="BodyText"/>
            </w:pPr>
            <w:r w:rsidRPr="00DE4D75">
              <w:lastRenderedPageBreak/>
              <w:t>3A</w:t>
            </w:r>
          </w:p>
        </w:tc>
        <w:tc>
          <w:tcPr>
            <w:tcW w:w="2410" w:type="dxa"/>
          </w:tcPr>
          <w:p w14:paraId="7859722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Earlier agreement – transaction reference status</w:t>
            </w:r>
          </w:p>
        </w:tc>
        <w:tc>
          <w:tcPr>
            <w:tcW w:w="2126" w:type="dxa"/>
          </w:tcPr>
          <w:p w14:paraId="1A7E11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Earlier agreement – transaction reference known</w:t>
            </w:r>
          </w:p>
          <w:p w14:paraId="715FE3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No earlier agreement transaction reference</w:t>
            </w:r>
          </w:p>
          <w:p w14:paraId="06AA7ACA"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53538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 ‘Earlier agreement – transaction reference’ is:</w:t>
            </w:r>
          </w:p>
          <w:p w14:paraId="75C84B2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for a modified agreement, the transaction reference which had been reported in previous back-book, sales or performance data reports by the reporting firm in relation to the earlier agreement which the regulated credit agreement has replaced;</w:t>
            </w:r>
          </w:p>
          <w:p w14:paraId="1FF7D2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for a novated agreement, the ‘transaction reference’ which had been reported in previous back-book, sales or performance data reports by the previous lender in relation to the earlier agreement which the regulated credit agreement has replaced; or</w:t>
            </w:r>
          </w:p>
          <w:p w14:paraId="014B20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(c) for a regulated credit agreement for which the legal ownership has been assigned to the reporting firm, the ‘transaction reference’ which had been reported in previous back-book, sales or </w:t>
            </w:r>
            <w:r>
              <w:lastRenderedPageBreak/>
              <w:t>performance data reports by the assignor in relation to the regulated credit agreement."</w:t>
            </w:r>
          </w:p>
        </w:tc>
      </w:tr>
      <w:tr w:rsidR="00095E11" w14:paraId="0C3C4D5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D027766" w14:textId="77777777" w:rsidR="00095E11" w:rsidRPr="00F21C76" w:rsidRDefault="00095E11" w:rsidP="008D651F">
            <w:pPr>
              <w:pStyle w:val="BodyText"/>
            </w:pPr>
            <w:r w:rsidRPr="00DE4D75">
              <w:lastRenderedPageBreak/>
              <w:t>4A</w:t>
            </w:r>
          </w:p>
        </w:tc>
        <w:tc>
          <w:tcPr>
            <w:tcW w:w="2410" w:type="dxa"/>
          </w:tcPr>
          <w:p w14:paraId="32AB4DB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Earlier agreement – transaction reference</w:t>
            </w:r>
          </w:p>
        </w:tc>
        <w:tc>
          <w:tcPr>
            <w:tcW w:w="2126" w:type="dxa"/>
          </w:tcPr>
          <w:p w14:paraId="70D107C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F70B0">
              <w:t>Alphanumeric</w:t>
            </w:r>
          </w:p>
        </w:tc>
        <w:tc>
          <w:tcPr>
            <w:tcW w:w="3963" w:type="dxa"/>
          </w:tcPr>
          <w:p w14:paraId="1E24FE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427BE">
              <w:t>The ‘Earlier agreement – transaction reference’ as defined in data element 3A ‘Earlier agreement – transaction reference status’.</w:t>
            </w:r>
          </w:p>
        </w:tc>
      </w:tr>
      <w:tr w:rsidR="00095E11" w14:paraId="786FBA1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07041D4" w14:textId="77777777" w:rsidR="00095E11" w:rsidRPr="00F21C76" w:rsidRDefault="00095E11" w:rsidP="008D651F">
            <w:pPr>
              <w:pStyle w:val="BodyText"/>
            </w:pPr>
            <w:r w:rsidRPr="00DE4D75">
              <w:t>5A</w:t>
            </w:r>
          </w:p>
        </w:tc>
        <w:tc>
          <w:tcPr>
            <w:tcW w:w="2410" w:type="dxa"/>
          </w:tcPr>
          <w:p w14:paraId="6D9A041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Previous lender regulatory status</w:t>
            </w:r>
          </w:p>
        </w:tc>
        <w:tc>
          <w:tcPr>
            <w:tcW w:w="2126" w:type="dxa"/>
          </w:tcPr>
          <w:p w14:paraId="489C72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Regulated – FRN known</w:t>
            </w:r>
          </w:p>
          <w:p w14:paraId="34DF87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Regulated – FRN unknown</w:t>
            </w:r>
          </w:p>
          <w:p w14:paraId="7E6614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regulated</w:t>
            </w:r>
          </w:p>
          <w:p w14:paraId="2D1E12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 Previous lender regulatory status unknown</w:t>
            </w:r>
          </w:p>
          <w:p w14:paraId="75A9FFA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 Previous lender unknown"</w:t>
            </w:r>
          </w:p>
        </w:tc>
        <w:tc>
          <w:tcPr>
            <w:tcW w:w="3963" w:type="dxa"/>
          </w:tcPr>
          <w:p w14:paraId="15C1CC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this should reflect the regulatory status of the lender under the earlier agreement as on the date of the novation.</w:t>
            </w:r>
          </w:p>
          <w:p w14:paraId="46CBC6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27A3F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this should reflect the regulatory status of the lender who acted as assignor as on the date of the assignment.</w:t>
            </w:r>
          </w:p>
          <w:p w14:paraId="76E532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1CC8B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F1E78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Regulated – FRN known</w:t>
            </w:r>
          </w:p>
          <w:p w14:paraId="3EFAD6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previous lender was an </w:t>
            </w:r>
            <w:proofErr w:type="spellStart"/>
            <w:r>
              <w:t>authorised</w:t>
            </w:r>
            <w:proofErr w:type="spellEnd"/>
            <w:r>
              <w:t xml:space="preserve"> person and/or acting as an appointed representative. The FRN of the previous lender is known by the reporting firm.</w:t>
            </w:r>
          </w:p>
          <w:p w14:paraId="37F953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Regulated – FRN unknown</w:t>
            </w:r>
          </w:p>
          <w:p w14:paraId="72FB92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previous lender was an </w:t>
            </w:r>
            <w:proofErr w:type="spellStart"/>
            <w:r>
              <w:t>authorised</w:t>
            </w:r>
            <w:proofErr w:type="spellEnd"/>
            <w:r>
              <w:t xml:space="preserve"> person and/or acting as an appointed representative. The FRN of the previous lender is not known by the reporting firm.</w:t>
            </w:r>
          </w:p>
          <w:p w14:paraId="382EE5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regulated</w:t>
            </w:r>
          </w:p>
          <w:p w14:paraId="7A2FEC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previous lender was not an </w:t>
            </w:r>
            <w:proofErr w:type="spellStart"/>
            <w:r>
              <w:t>authorised</w:t>
            </w:r>
            <w:proofErr w:type="spellEnd"/>
            <w:r>
              <w:t xml:space="preserve"> person and was not acting as an appointed representative.</w:t>
            </w:r>
          </w:p>
          <w:p w14:paraId="1B858CB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Previous lender regulatory status unknown</w:t>
            </w:r>
          </w:p>
          <w:p w14:paraId="6D740B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regulatory status of the previous lender.</w:t>
            </w:r>
          </w:p>
          <w:p w14:paraId="17F71C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Previous lender unknown</w:t>
            </w:r>
          </w:p>
          <w:p w14:paraId="7E03F2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reporting firm cannot determine who the previous lender was."</w:t>
            </w:r>
          </w:p>
        </w:tc>
      </w:tr>
      <w:tr w:rsidR="00095E11" w14:paraId="387F2F5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143C2DF" w14:textId="77777777" w:rsidR="00095E11" w:rsidRPr="00F21C76" w:rsidRDefault="00095E11" w:rsidP="008D651F">
            <w:pPr>
              <w:pStyle w:val="BodyText"/>
            </w:pPr>
            <w:r w:rsidRPr="00DE4D75">
              <w:lastRenderedPageBreak/>
              <w:t>6A</w:t>
            </w:r>
          </w:p>
        </w:tc>
        <w:tc>
          <w:tcPr>
            <w:tcW w:w="2410" w:type="dxa"/>
          </w:tcPr>
          <w:p w14:paraId="4F97EB3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Previous lender FRN</w:t>
            </w:r>
          </w:p>
        </w:tc>
        <w:tc>
          <w:tcPr>
            <w:tcW w:w="2126" w:type="dxa"/>
          </w:tcPr>
          <w:p w14:paraId="1227366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9307A">
              <w:t>6 or 7 digit number</w:t>
            </w:r>
          </w:p>
        </w:tc>
        <w:tc>
          <w:tcPr>
            <w:tcW w:w="3963" w:type="dxa"/>
          </w:tcPr>
          <w:p w14:paraId="055E17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the FRN of the lender under the earlier agreement, as on the date of the novation.</w:t>
            </w:r>
          </w:p>
          <w:p w14:paraId="05AC27C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the FRN of the lender who acted as assignor, as on the date of the assignment."</w:t>
            </w:r>
          </w:p>
        </w:tc>
      </w:tr>
      <w:tr w:rsidR="00095E11" w14:paraId="2EBBAB95"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2474CD0" w14:textId="77777777" w:rsidR="00095E11" w:rsidRPr="00F21C76" w:rsidRDefault="00095E11" w:rsidP="008D651F">
            <w:pPr>
              <w:pStyle w:val="BodyText"/>
            </w:pPr>
            <w:r w:rsidRPr="00DE4D75">
              <w:t>7A</w:t>
            </w:r>
          </w:p>
        </w:tc>
        <w:tc>
          <w:tcPr>
            <w:tcW w:w="2410" w:type="dxa"/>
          </w:tcPr>
          <w:p w14:paraId="045A69E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Previous lender name</w:t>
            </w:r>
          </w:p>
        </w:tc>
        <w:tc>
          <w:tcPr>
            <w:tcW w:w="2126" w:type="dxa"/>
          </w:tcPr>
          <w:p w14:paraId="1B9CBDE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9307A">
              <w:t>Alphanumeric</w:t>
            </w:r>
          </w:p>
        </w:tc>
        <w:tc>
          <w:tcPr>
            <w:tcW w:w="3963" w:type="dxa"/>
          </w:tcPr>
          <w:p w14:paraId="672EE7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the name of the lender under the earlier agreement, as on the date of the novation.</w:t>
            </w:r>
          </w:p>
          <w:p w14:paraId="0D7DD0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the name of the lender who acted as assignor, as on the date of the assignment."</w:t>
            </w:r>
          </w:p>
        </w:tc>
      </w:tr>
      <w:tr w:rsidR="00095E11" w14:paraId="1937723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B23D15" w14:textId="77777777" w:rsidR="00095E11" w:rsidRPr="00F21C76" w:rsidRDefault="00095E11" w:rsidP="008D651F">
            <w:pPr>
              <w:pStyle w:val="BodyText"/>
            </w:pPr>
            <w:r w:rsidRPr="00DE4D75">
              <w:t>8A</w:t>
            </w:r>
          </w:p>
        </w:tc>
        <w:tc>
          <w:tcPr>
            <w:tcW w:w="2410" w:type="dxa"/>
          </w:tcPr>
          <w:p w14:paraId="00DE333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Date of assignment of legal ownership</w:t>
            </w:r>
          </w:p>
        </w:tc>
        <w:tc>
          <w:tcPr>
            <w:tcW w:w="2126" w:type="dxa"/>
          </w:tcPr>
          <w:p w14:paraId="675E62E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9307A">
              <w:t>DD/MM/YYYY</w:t>
            </w:r>
          </w:p>
        </w:tc>
        <w:tc>
          <w:tcPr>
            <w:tcW w:w="3963" w:type="dxa"/>
          </w:tcPr>
          <w:p w14:paraId="2B05D1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F5026">
              <w:t>The date on which the legal ownership of the regulated credit agreement was assigned to the reporting firm.</w:t>
            </w:r>
          </w:p>
        </w:tc>
      </w:tr>
      <w:tr w:rsidR="00095E11" w14:paraId="58B4B43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F245B0C" w14:textId="77777777" w:rsidR="00095E11" w:rsidRPr="00F21C76" w:rsidRDefault="00095E11" w:rsidP="008D651F">
            <w:pPr>
              <w:pStyle w:val="BodyText"/>
            </w:pPr>
            <w:r w:rsidRPr="00DE4D75">
              <w:t>9A</w:t>
            </w:r>
          </w:p>
        </w:tc>
        <w:tc>
          <w:tcPr>
            <w:tcW w:w="2410" w:type="dxa"/>
          </w:tcPr>
          <w:p w14:paraId="30C5E3B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Credit for business or personal use</w:t>
            </w:r>
          </w:p>
        </w:tc>
        <w:tc>
          <w:tcPr>
            <w:tcW w:w="2126" w:type="dxa"/>
          </w:tcPr>
          <w:p w14:paraId="32BE46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Business</w:t>
            </w:r>
          </w:p>
          <w:p w14:paraId="48B257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 Personal</w:t>
            </w:r>
          </w:p>
          <w:p w14:paraId="7CC12B8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19AF32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130761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Business</w:t>
            </w:r>
          </w:p>
          <w:p w14:paraId="6B304A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where the borrower entered into the regulated credit agreement wholly or predominantly for the purpose of business carried on, or intended to be carried on, by the borrower.</w:t>
            </w:r>
          </w:p>
          <w:p w14:paraId="369940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05EF1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any regulated credit agreement under which the borrower is not a natural person.</w:t>
            </w:r>
          </w:p>
          <w:p w14:paraId="456DCD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Personal</w:t>
            </w:r>
          </w:p>
          <w:p w14:paraId="206FF8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other regulated credit agreements.</w:t>
            </w:r>
          </w:p>
          <w:p w14:paraId="02AB1D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799EB5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cannot determine whether or not the borrower entered into the regulated credit agreement wholly or predominantly for the purpose of business </w:t>
            </w:r>
            <w:r>
              <w:lastRenderedPageBreak/>
              <w:t>carried on, or intended to be carried on, by the borrower."</w:t>
            </w:r>
          </w:p>
        </w:tc>
      </w:tr>
      <w:tr w:rsidR="00095E11" w14:paraId="67A7AE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7725801" w14:textId="77777777" w:rsidR="00095E11" w:rsidRPr="00F21C76" w:rsidRDefault="00095E11" w:rsidP="008D651F">
            <w:pPr>
              <w:pStyle w:val="BodyText"/>
            </w:pPr>
            <w:r w:rsidRPr="0044342A">
              <w:lastRenderedPageBreak/>
              <w:t>10A</w:t>
            </w:r>
          </w:p>
        </w:tc>
        <w:tc>
          <w:tcPr>
            <w:tcW w:w="2410" w:type="dxa"/>
          </w:tcPr>
          <w:p w14:paraId="68A6F6C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4342A">
              <w:t>Has a default notice taken effect in relation to this agreement?</w:t>
            </w:r>
          </w:p>
        </w:tc>
        <w:tc>
          <w:tcPr>
            <w:tcW w:w="2126" w:type="dxa"/>
          </w:tcPr>
          <w:p w14:paraId="685617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9BDF5C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178AC0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"Whether the borrower(s) had been issued with a default notice in relation to the regulated credit agreement and:</w:t>
            </w:r>
          </w:p>
          <w:p w14:paraId="4111E1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if the breach was capable of remedy, the borrower(s) had not taken the action required to remedy the breaches by the date specified in the default notice (or, if no such action was required, at least 14 days had elapsed since the date of service of the notice) (see section 88(1)(b) and (2) of the CCA); or</w:t>
            </w:r>
          </w:p>
          <w:p w14:paraId="65F6F5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if the breach was not capable of remedy, the borrower(s) had not paid the sum (if any) required as compensation for the breach by the date specified in the default notice (or, if no such compensation was required, at least 14 days had elapsed since the date of service of the notice) (see section 88(1)(c) and (2) of the CCA).</w:t>
            </w:r>
          </w:p>
          <w:p w14:paraId="4E4542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this should reflect the position under the earlier agreement as on the date of the novation.</w:t>
            </w:r>
          </w:p>
          <w:p w14:paraId="5210C0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this should reflect the position under the regulated credit agreement as on the date of the assignment."</w:t>
            </w:r>
          </w:p>
        </w:tc>
      </w:tr>
      <w:tr w:rsidR="00095E11" w14:paraId="23F2DE7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6F03909" w14:textId="77777777" w:rsidR="00095E11" w:rsidRPr="00F21C76" w:rsidRDefault="00095E11" w:rsidP="008D651F">
            <w:pPr>
              <w:pStyle w:val="BodyText"/>
            </w:pPr>
            <w:r w:rsidRPr="00297F74">
              <w:t>11A</w:t>
            </w:r>
          </w:p>
        </w:tc>
        <w:tc>
          <w:tcPr>
            <w:tcW w:w="2410" w:type="dxa"/>
          </w:tcPr>
          <w:p w14:paraId="68C8D90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Was a brand name used other than the reporting firm’s name?</w:t>
            </w:r>
          </w:p>
        </w:tc>
        <w:tc>
          <w:tcPr>
            <w:tcW w:w="2126" w:type="dxa"/>
          </w:tcPr>
          <w:p w14:paraId="7C3B85D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128A52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5F98AB6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7EF3F8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brand name that was used in relation to the regulated credit agreement when the regulated credit agreement was executed.</w:t>
            </w:r>
          </w:p>
          <w:p w14:paraId="708CDE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74994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reporting firm is not the original lender under the regulated credit agreement, this should reflect as relevant the brand name used by the reporting firm in relation to the regulated credit agreement on the date of the novation or the brand name used by the reporting firm in relation to the regulated credit agreement when the legal ownership of the regulated credit </w:t>
            </w:r>
            <w:r>
              <w:lastRenderedPageBreak/>
              <w:t>agreement was assigned to the reporting firm.</w:t>
            </w:r>
          </w:p>
          <w:p w14:paraId="0CBFF6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B513A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63B78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229957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brand name other than the name of the reporting firm was used in relation to the regulated credit agreement.</w:t>
            </w:r>
          </w:p>
          <w:p w14:paraId="6FC4B4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685CD8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Only the name of the reporting firm was used in relation to the regulated credit agreement.</w:t>
            </w:r>
          </w:p>
          <w:p w14:paraId="4CF758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7FF30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 brand name other than the name of the reporting firm was used in relation to the regulated credit agreement."</w:t>
            </w:r>
          </w:p>
        </w:tc>
      </w:tr>
      <w:tr w:rsidR="00095E11" w14:paraId="33A64BC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74DF6B1" w14:textId="77777777" w:rsidR="00095E11" w:rsidRPr="00F21C76" w:rsidRDefault="00095E11" w:rsidP="008D651F">
            <w:pPr>
              <w:pStyle w:val="BodyText"/>
            </w:pPr>
            <w:r w:rsidRPr="00297F74">
              <w:lastRenderedPageBreak/>
              <w:t>12A</w:t>
            </w:r>
          </w:p>
        </w:tc>
        <w:tc>
          <w:tcPr>
            <w:tcW w:w="2410" w:type="dxa"/>
          </w:tcPr>
          <w:p w14:paraId="44FDAE4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Does the agreement use a brand that represents the reporting firm’s group or a third party?</w:t>
            </w:r>
          </w:p>
        </w:tc>
        <w:tc>
          <w:tcPr>
            <w:tcW w:w="2126" w:type="dxa"/>
          </w:tcPr>
          <w:p w14:paraId="5312D8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Reporting firm’s group (internal/own brand)</w:t>
            </w:r>
          </w:p>
          <w:p w14:paraId="14FBBA5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Third party (external/co-brand)"</w:t>
            </w:r>
          </w:p>
        </w:tc>
        <w:tc>
          <w:tcPr>
            <w:tcW w:w="3963" w:type="dxa"/>
          </w:tcPr>
          <w:p w14:paraId="1827A7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44AAB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Reporting firm’s group (internal/own brand)</w:t>
            </w:r>
          </w:p>
          <w:p w14:paraId="7FB004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brand name used in relation to the regulated credit agreement represents the reporting firm or another person within the reporting firm’s group.</w:t>
            </w:r>
          </w:p>
          <w:p w14:paraId="1E9CB9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Third party (external/co-brand)</w:t>
            </w:r>
          </w:p>
          <w:p w14:paraId="7D72AE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brand name used in relation to the regulated credit agreement represents a third-party person outside of the reporting firm’s group, such as through an affinity/partnership scheme or white label product."</w:t>
            </w:r>
          </w:p>
        </w:tc>
      </w:tr>
      <w:tr w:rsidR="00095E11" w14:paraId="20B1F4D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DB6A15C" w14:textId="77777777" w:rsidR="00095E11" w:rsidRPr="00F21C76" w:rsidRDefault="00095E11" w:rsidP="008D651F">
            <w:pPr>
              <w:pStyle w:val="BodyText"/>
            </w:pPr>
            <w:r w:rsidRPr="00297F74">
              <w:t>13A</w:t>
            </w:r>
          </w:p>
        </w:tc>
        <w:tc>
          <w:tcPr>
            <w:tcW w:w="2410" w:type="dxa"/>
          </w:tcPr>
          <w:p w14:paraId="32590E8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Brand name used for the agreement</w:t>
            </w:r>
          </w:p>
        </w:tc>
        <w:tc>
          <w:tcPr>
            <w:tcW w:w="2126" w:type="dxa"/>
          </w:tcPr>
          <w:p w14:paraId="1D8E3AAA"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95A08">
              <w:t>Alphanumeric</w:t>
            </w:r>
          </w:p>
        </w:tc>
        <w:tc>
          <w:tcPr>
            <w:tcW w:w="3963" w:type="dxa"/>
          </w:tcPr>
          <w:p w14:paraId="746D50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C0C5C">
              <w:t xml:space="preserve">This should be the brand name that was used in relation to the regulated credit agreement when the regulated credit agreement was executed. If the reporting firm is not the original lender for the regulated credit agreement, this should be the brand name that was used in relation to the regulated credit agreement by the reporting firm on the date of the novation or the brand name used in relation to the regulated credit agreement by the reporting firm when the </w:t>
            </w:r>
            <w:r w:rsidRPr="00BC0C5C">
              <w:lastRenderedPageBreak/>
              <w:t>legal ownership of the regulated credit agreement was assigned to the reporting firm.</w:t>
            </w:r>
          </w:p>
        </w:tc>
      </w:tr>
      <w:tr w:rsidR="00095E11" w14:paraId="5D5BA5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60B3805" w14:textId="77777777" w:rsidR="00095E11" w:rsidRPr="00F21C76" w:rsidRDefault="00095E11" w:rsidP="008D651F">
            <w:pPr>
              <w:pStyle w:val="BodyText"/>
            </w:pPr>
            <w:r w:rsidRPr="00297F74">
              <w:lastRenderedPageBreak/>
              <w:t>14A</w:t>
            </w:r>
          </w:p>
        </w:tc>
        <w:tc>
          <w:tcPr>
            <w:tcW w:w="2410" w:type="dxa"/>
          </w:tcPr>
          <w:p w14:paraId="5770F61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Is the product only available to a particular class of individual?</w:t>
            </w:r>
          </w:p>
        </w:tc>
        <w:tc>
          <w:tcPr>
            <w:tcW w:w="2126" w:type="dxa"/>
          </w:tcPr>
          <w:p w14:paraId="239D24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Customers who hold a current account with the reporting firm’s group</w:t>
            </w:r>
          </w:p>
          <w:p w14:paraId="5E7DB9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Customers who had previously borrowed from the reporting firm’s group</w:t>
            </w:r>
          </w:p>
          <w:p w14:paraId="183BAF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Employees of the reporting firm’s group</w:t>
            </w:r>
          </w:p>
          <w:p w14:paraId="44D5D3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restricted to the particular classes of individual specified above</w:t>
            </w:r>
          </w:p>
          <w:p w14:paraId="5A24790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4436A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963B2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Customers who hold a current account with the reporting firm’s group</w:t>
            </w:r>
          </w:p>
          <w:p w14:paraId="30C975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only available to customers who hold a current account with the reporting firm’s group.</w:t>
            </w:r>
          </w:p>
          <w:p w14:paraId="3BA033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BEE64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reporting firm which is an FCA registered mutual society, if the product to which the regulated credit agreement relates is only available to a customer that is a member of the mutual society, the reporting firm should select this option.</w:t>
            </w:r>
          </w:p>
          <w:p w14:paraId="538336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[Note: Further information about mutual societies can be found at www.fca.org.uk/firms/mutual-societies]</w:t>
            </w:r>
          </w:p>
          <w:p w14:paraId="6BC8EC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Customers who had previously borrowed from the reporting firm’s group</w:t>
            </w:r>
          </w:p>
          <w:p w14:paraId="162C2B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only available to customers who had previously entered into a credit agreement with the reporting firm’s group.</w:t>
            </w:r>
          </w:p>
          <w:p w14:paraId="377B42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Employees of the reporting firm’s group</w:t>
            </w:r>
          </w:p>
          <w:p w14:paraId="0EC604D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only available to employees of the reporting firm’s group.</w:t>
            </w:r>
          </w:p>
          <w:p w14:paraId="5DB525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restricted to the particular classes of individual specified</w:t>
            </w:r>
          </w:p>
          <w:p w14:paraId="0973D2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not restricted to one of the particular classes of individual specified above.</w:t>
            </w:r>
          </w:p>
          <w:p w14:paraId="3B6D40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95AD9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product to which the regulated credit agreement relates is restricted to one of the particular classes of individual specified above."</w:t>
            </w:r>
          </w:p>
        </w:tc>
      </w:tr>
      <w:tr w:rsidR="00095E11" w14:paraId="7F72ED2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FFAE294" w14:textId="77777777" w:rsidR="00095E11" w:rsidRPr="00F21C76" w:rsidRDefault="00095E11" w:rsidP="008D651F">
            <w:pPr>
              <w:pStyle w:val="BodyText"/>
            </w:pPr>
            <w:r w:rsidRPr="00297F74">
              <w:lastRenderedPageBreak/>
              <w:t>15A</w:t>
            </w:r>
          </w:p>
        </w:tc>
        <w:tc>
          <w:tcPr>
            <w:tcW w:w="2410" w:type="dxa"/>
          </w:tcPr>
          <w:p w14:paraId="76D3062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Were there any financial promotions for the related product?</w:t>
            </w:r>
          </w:p>
        </w:tc>
        <w:tc>
          <w:tcPr>
            <w:tcW w:w="2126" w:type="dxa"/>
          </w:tcPr>
          <w:p w14:paraId="18A0F8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"Y1 = Yes – representative APR can be reported</w:t>
            </w:r>
          </w:p>
          <w:p w14:paraId="7262FA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Y2 = Yes – representative APR cannot be reported</w:t>
            </w:r>
          </w:p>
          <w:p w14:paraId="5A3451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Y3 = Yes – representative APR not required</w:t>
            </w:r>
          </w:p>
          <w:p w14:paraId="242432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1BABFD7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0285B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"Whether the reporting firm communicated, or approved the content of, a financial promotion for the particular product to which the regulated credit agreement relates.</w:t>
            </w:r>
          </w:p>
          <w:p w14:paraId="17502A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981D3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4A0F5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Y1: Yes – representative APR can be reported</w:t>
            </w:r>
          </w:p>
          <w:p w14:paraId="2DEA74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had communicated, or approved the content of, a financial promotion for the particular product to which the regulated credit agreement relates.</w:t>
            </w:r>
          </w:p>
          <w:p w14:paraId="1688D7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AB568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representative APR used in the financial promotions can be reported by the reporting firm.</w:t>
            </w:r>
          </w:p>
          <w:p w14:paraId="3C86D6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Y2: Yes – representative APR cannot be reported</w:t>
            </w:r>
          </w:p>
          <w:p w14:paraId="1BE322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had communicated, or approved the content of, a financial promotion for the particular product to which the regulated credit agreement relates.</w:t>
            </w:r>
          </w:p>
          <w:p w14:paraId="73BB7C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A94B2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representative APR used in the financial promotions cannot be reported by the reporting firm."</w:t>
            </w:r>
          </w:p>
          <w:p w14:paraId="3592EB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"Y3: Yes – representative APR not required</w:t>
            </w:r>
          </w:p>
          <w:p w14:paraId="60726E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had communicated, or approved the content of, a financial promotion for the particular product to which the regulated credit agreement relates.</w:t>
            </w:r>
          </w:p>
          <w:p w14:paraId="20FB22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D75BE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representative APR was not required for the financial promotions.</w:t>
            </w:r>
          </w:p>
          <w:p w14:paraId="091EAC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78BA99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had not communicated, or approved the content of, a financial promotion for the particular product to </w:t>
            </w:r>
            <w:r>
              <w:lastRenderedPageBreak/>
              <w:t>which the regulated credit agreement relates.</w:t>
            </w:r>
          </w:p>
          <w:p w14:paraId="29A67B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72E969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it had communicated, or approved the content of, a financial promotion for the particular product to which the regulated credit agreement relates."</w:t>
            </w:r>
          </w:p>
        </w:tc>
      </w:tr>
      <w:tr w:rsidR="00095E11" w14:paraId="09E41CA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700ED2C" w14:textId="77777777" w:rsidR="00095E11" w:rsidRPr="00F21C76" w:rsidRDefault="00095E11" w:rsidP="008D651F">
            <w:pPr>
              <w:pStyle w:val="BodyText"/>
            </w:pPr>
            <w:r w:rsidRPr="00297F74">
              <w:lastRenderedPageBreak/>
              <w:t>16A</w:t>
            </w:r>
          </w:p>
        </w:tc>
        <w:tc>
          <w:tcPr>
            <w:tcW w:w="2410" w:type="dxa"/>
          </w:tcPr>
          <w:p w14:paraId="7997A27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Representative APR used in financial promotions for the related product</w:t>
            </w:r>
          </w:p>
        </w:tc>
        <w:tc>
          <w:tcPr>
            <w:tcW w:w="2126" w:type="dxa"/>
          </w:tcPr>
          <w:p w14:paraId="4941E98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4A33">
              <w:t>Numeric %</w:t>
            </w:r>
          </w:p>
        </w:tc>
        <w:tc>
          <w:tcPr>
            <w:tcW w:w="3963" w:type="dxa"/>
          </w:tcPr>
          <w:p w14:paraId="00A8E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lowest representative APR used in financial promotions for the particular product to which the regulated credit agreement relates.</w:t>
            </w:r>
          </w:p>
          <w:p w14:paraId="6AFD138E" w14:textId="77777777" w:rsidR="00095E11" w:rsidRPr="00065402"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065402">
              <w:rPr>
                <w:b/>
                <w:bCs/>
              </w:rPr>
              <w:t>This number should be reported as a percentage to 2 decimal places (</w:t>
            </w:r>
            <w:proofErr w:type="spellStart"/>
            <w:r w:rsidRPr="00065402">
              <w:rPr>
                <w:b/>
                <w:bCs/>
              </w:rPr>
              <w:t>eg</w:t>
            </w:r>
            <w:proofErr w:type="spellEnd"/>
            <w:r w:rsidRPr="00065402">
              <w:rPr>
                <w:b/>
                <w:bCs/>
              </w:rPr>
              <w:t>, 3.49 represents 3.49%, not 349%)."</w:t>
            </w:r>
          </w:p>
        </w:tc>
      </w:tr>
      <w:tr w:rsidR="00095E11" w14:paraId="4C5E972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2C37F8" w14:textId="77777777" w:rsidR="00095E11" w:rsidRPr="00F21C76" w:rsidRDefault="00095E11" w:rsidP="008D651F">
            <w:pPr>
              <w:pStyle w:val="BodyText"/>
            </w:pPr>
            <w:r w:rsidRPr="00297F74">
              <w:t>17A</w:t>
            </w:r>
          </w:p>
        </w:tc>
        <w:tc>
          <w:tcPr>
            <w:tcW w:w="2410" w:type="dxa"/>
          </w:tcPr>
          <w:p w14:paraId="2E6BDDE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Internal reference for related product</w:t>
            </w:r>
          </w:p>
        </w:tc>
        <w:tc>
          <w:tcPr>
            <w:tcW w:w="2126" w:type="dxa"/>
          </w:tcPr>
          <w:p w14:paraId="7B2C418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4A33">
              <w:t>Alphanumeric</w:t>
            </w:r>
          </w:p>
        </w:tc>
        <w:tc>
          <w:tcPr>
            <w:tcW w:w="3963" w:type="dxa"/>
          </w:tcPr>
          <w:p w14:paraId="6BDABF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"In relation to the financial promotion(s), the reporting firm’s identifier/reference code for the particular product to which the regulated credit agreement relates.</w:t>
            </w:r>
          </w:p>
          <w:p w14:paraId="41FAC4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‘Internal reference for related product’ for all regulated credit agreements which relate to the same particular product and are included in the reporting firm’s sales data reports."</w:t>
            </w:r>
          </w:p>
        </w:tc>
      </w:tr>
      <w:tr w:rsidR="00095E11" w14:paraId="597FBCB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3DA1A65" w14:textId="77777777" w:rsidR="00095E11" w:rsidRPr="00F21C76" w:rsidRDefault="00095E11" w:rsidP="008D651F">
            <w:pPr>
              <w:pStyle w:val="BodyText"/>
            </w:pPr>
            <w:r w:rsidRPr="00297F74">
              <w:t>18A</w:t>
            </w:r>
          </w:p>
        </w:tc>
        <w:tc>
          <w:tcPr>
            <w:tcW w:w="2410" w:type="dxa"/>
          </w:tcPr>
          <w:p w14:paraId="4133835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Related product name</w:t>
            </w:r>
          </w:p>
        </w:tc>
        <w:tc>
          <w:tcPr>
            <w:tcW w:w="2126" w:type="dxa"/>
          </w:tcPr>
          <w:p w14:paraId="7043451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4A33">
              <w:t>Alphanumeric</w:t>
            </w:r>
          </w:p>
        </w:tc>
        <w:tc>
          <w:tcPr>
            <w:tcW w:w="3963" w:type="dxa"/>
          </w:tcPr>
          <w:p w14:paraId="5FBFBB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16405">
              <w:t>The name used to represent the ‘Internal reference for related product’ to which the regulated credit agreement relates.</w:t>
            </w:r>
          </w:p>
        </w:tc>
      </w:tr>
      <w:tr w:rsidR="00095E11" w14:paraId="418735F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477042F" w14:textId="77777777" w:rsidR="00095E11" w:rsidRPr="00F21C76" w:rsidRDefault="00095E11" w:rsidP="008D651F">
            <w:pPr>
              <w:pStyle w:val="BodyText"/>
            </w:pPr>
            <w:r w:rsidRPr="00297F74">
              <w:t>19A</w:t>
            </w:r>
          </w:p>
        </w:tc>
        <w:tc>
          <w:tcPr>
            <w:tcW w:w="2410" w:type="dxa"/>
          </w:tcPr>
          <w:p w14:paraId="34E83AC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Do any financial promotions for the related product make reference to it being available to an individual with restricted access to credit?</w:t>
            </w:r>
          </w:p>
        </w:tc>
        <w:tc>
          <w:tcPr>
            <w:tcW w:w="2126" w:type="dxa"/>
          </w:tcPr>
          <w:p w14:paraId="4C244E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27EAD6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7735D6A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778D9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relates to financial promotions for the particular product to which the regulated credit agreement relates.</w:t>
            </w:r>
          </w:p>
          <w:p w14:paraId="22390D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1C0F8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is not intended to record the status of the borrower(s) under the regulated credit agreement.</w:t>
            </w:r>
          </w:p>
          <w:p w14:paraId="63188D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FF5951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B6486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6A7CD7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At least one of the financial promotions states or implies that credit is available to individuals who might otherwise consider their access to credit restricted.</w:t>
            </w:r>
          </w:p>
          <w:p w14:paraId="5265F6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2CA38C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None of the financial promotions state or imply that credit is available to individuals who might otherwise consider their access to credit restricted.</w:t>
            </w:r>
          </w:p>
          <w:p w14:paraId="194FE3E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28E703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any of the financial promotions state or imply that credit is available to individuals who might otherwise consider their access to credit restricted."</w:t>
            </w:r>
          </w:p>
        </w:tc>
      </w:tr>
      <w:tr w:rsidR="00095E11" w14:paraId="6613D8A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B2D0E94" w14:textId="77777777" w:rsidR="00095E11" w:rsidRPr="00F21C76" w:rsidRDefault="00095E11" w:rsidP="008D651F">
            <w:pPr>
              <w:pStyle w:val="BodyText"/>
            </w:pPr>
            <w:r w:rsidRPr="00297F74">
              <w:lastRenderedPageBreak/>
              <w:t>20A</w:t>
            </w:r>
          </w:p>
        </w:tc>
        <w:tc>
          <w:tcPr>
            <w:tcW w:w="2410" w:type="dxa"/>
          </w:tcPr>
          <w:p w14:paraId="0A952E2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Do any financial promotions for the related product make reference to improvements to an individual’s credit score?</w:t>
            </w:r>
          </w:p>
        </w:tc>
        <w:tc>
          <w:tcPr>
            <w:tcW w:w="2126" w:type="dxa"/>
          </w:tcPr>
          <w:p w14:paraId="1818D8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Product described as contributing to improving credit scores</w:t>
            </w:r>
          </w:p>
          <w:p w14:paraId="0C32A4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 reference to credit score</w:t>
            </w:r>
          </w:p>
          <w:p w14:paraId="0DDA247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4B4C3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relates to financial promotions for the particular product to which the regulated credit agreement relates.</w:t>
            </w:r>
          </w:p>
          <w:p w14:paraId="25C7F3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2E1BE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References to improvements to an individual’s credit score include references to any equivalent or related terms, such as credit building.</w:t>
            </w:r>
          </w:p>
          <w:p w14:paraId="2956B8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EE28C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42A6D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Product described as contributing to improving credit scores</w:t>
            </w:r>
          </w:p>
          <w:p w14:paraId="7AB4DF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At least one of the financial promotion(s) states that the product could potentially improve an individual’s credit score.</w:t>
            </w:r>
          </w:p>
          <w:p w14:paraId="07E41B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 reference to credit score</w:t>
            </w:r>
          </w:p>
          <w:p w14:paraId="54EE5BB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None of the financial promotion(s) state or imply that the product could potentially improve an individual’s credit score.</w:t>
            </w:r>
          </w:p>
          <w:p w14:paraId="5741A3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C1D96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any of the financial promotion(s) state or imply that the product could potentially improve an individual’s credit score."</w:t>
            </w:r>
          </w:p>
        </w:tc>
      </w:tr>
      <w:tr w:rsidR="00095E11" w14:paraId="3F8768C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26B78E1" w14:textId="77777777" w:rsidR="00095E11" w:rsidRPr="00F21C76" w:rsidRDefault="00095E11" w:rsidP="008D651F">
            <w:pPr>
              <w:pStyle w:val="BodyText"/>
            </w:pPr>
            <w:r w:rsidRPr="00297F74">
              <w:lastRenderedPageBreak/>
              <w:t>21A</w:t>
            </w:r>
          </w:p>
        </w:tc>
        <w:tc>
          <w:tcPr>
            <w:tcW w:w="2410" w:type="dxa"/>
          </w:tcPr>
          <w:p w14:paraId="10090D0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80372">
              <w:t>How the sale was made</w:t>
            </w:r>
          </w:p>
        </w:tc>
        <w:tc>
          <w:tcPr>
            <w:tcW w:w="2126" w:type="dxa"/>
          </w:tcPr>
          <w:p w14:paraId="4645B5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Direct face-to-face – on trade premises – postcode known</w:t>
            </w:r>
          </w:p>
          <w:p w14:paraId="7B58DD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Direct face-to-face – on trade premises – postcode unknown</w:t>
            </w:r>
          </w:p>
          <w:p w14:paraId="1B3F4E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Direct face-to-face – off trade premises</w:t>
            </w:r>
          </w:p>
          <w:p w14:paraId="66A945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Direct telephone</w:t>
            </w:r>
          </w:p>
          <w:p w14:paraId="06C96F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Direct app</w:t>
            </w:r>
          </w:p>
          <w:p w14:paraId="78C8C6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Direct internet</w:t>
            </w:r>
          </w:p>
          <w:p w14:paraId="497D37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Direct post</w:t>
            </w:r>
          </w:p>
          <w:p w14:paraId="63B5A0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Direct other</w:t>
            </w:r>
          </w:p>
          <w:p w14:paraId="49EA73B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direct</w:t>
            </w:r>
          </w:p>
          <w:p w14:paraId="42661D5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280F8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"Report how the sale of the regulated credit agreement was made.</w:t>
            </w:r>
          </w:p>
          <w:p w14:paraId="08D510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0F499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‘Direct’ refers to sales made by the reporting firm or a person within the reporting firm’s group.</w:t>
            </w:r>
          </w:p>
          <w:p w14:paraId="72B535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CD66F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Where a sale has been made through more than one method – </w:t>
            </w:r>
            <w:proofErr w:type="spellStart"/>
            <w:r>
              <w:t>eg</w:t>
            </w:r>
            <w:proofErr w:type="spellEnd"/>
            <w:r>
              <w:t>, telephone and then post – report the channel where the product choice was made.</w:t>
            </w:r>
          </w:p>
          <w:p w14:paraId="399276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2CF6A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A3327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Direct face-to-face – on trade premises – postcode known</w:t>
            </w:r>
          </w:p>
          <w:p w14:paraId="078B9B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in person on the trade premises of the reporting firm or a person within the reporting firm’s group, such as a branch of a bank or pawnbroker. The postcode of this trade premises is known.</w:t>
            </w:r>
          </w:p>
          <w:p w14:paraId="11C719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Direct face-to-face – on trade premises – postcode unknown</w:t>
            </w:r>
          </w:p>
          <w:p w14:paraId="1E1933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in person on the trade premises of the reporting firm or a person within the reporting firm’s group, such as a branch of a bank or pawnbroker. The postcode of this trade premises is unknown.</w:t>
            </w:r>
          </w:p>
          <w:p w14:paraId="47CC76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Direct face-to-face – off trade premises</w:t>
            </w:r>
          </w:p>
          <w:p w14:paraId="09DD69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in person off the trade premises of the reporting firm or a person within the reporting firm’s group.</w:t>
            </w:r>
          </w:p>
          <w:p w14:paraId="0E3350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Direct telephone</w:t>
            </w:r>
          </w:p>
          <w:p w14:paraId="61998E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during a telephone call. This includes voice calls over the internet."</w:t>
            </w:r>
          </w:p>
          <w:p w14:paraId="5AED24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Direct app</w:t>
            </w:r>
          </w:p>
          <w:p w14:paraId="569B77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via a dedicated app of the reporting firm or a person within the reporting firm’s group. This includes apps for mobiles phones, tablets or similar devices.</w:t>
            </w:r>
          </w:p>
          <w:p w14:paraId="2544B7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E: Direct internet</w:t>
            </w:r>
          </w:p>
          <w:p w14:paraId="583FA9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via a website, email or other electronic means of communication other than voice calls or dedicated apps.</w:t>
            </w:r>
          </w:p>
          <w:p w14:paraId="1D62C9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Direct post</w:t>
            </w:r>
          </w:p>
          <w:p w14:paraId="71E11E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via post.</w:t>
            </w:r>
          </w:p>
          <w:p w14:paraId="645F47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Direct other</w:t>
            </w:r>
          </w:p>
          <w:p w14:paraId="364D49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by the reporting firm or a person within the reporting firm’s group by any other channel.</w:t>
            </w:r>
          </w:p>
          <w:p w14:paraId="4E0D9B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direct</w:t>
            </w:r>
          </w:p>
          <w:p w14:paraId="7B00F5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not made by the reporting firm or a person within the reporting firm’s group.</w:t>
            </w:r>
          </w:p>
          <w:p w14:paraId="6ECD30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50DCBE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how the sale of the regulated credit agreement was made."</w:t>
            </w:r>
          </w:p>
        </w:tc>
      </w:tr>
      <w:tr w:rsidR="00095E11" w14:paraId="465E040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8CAE17F" w14:textId="77777777" w:rsidR="00095E11" w:rsidRPr="00F21C76" w:rsidRDefault="00095E11" w:rsidP="008D651F">
            <w:pPr>
              <w:pStyle w:val="BodyText"/>
            </w:pPr>
            <w:r w:rsidRPr="009B596B">
              <w:lastRenderedPageBreak/>
              <w:t>22A</w:t>
            </w:r>
          </w:p>
        </w:tc>
        <w:tc>
          <w:tcPr>
            <w:tcW w:w="2410" w:type="dxa"/>
          </w:tcPr>
          <w:p w14:paraId="2A39AB1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E52AF">
              <w:t>Postcode of trade premises where sale was made</w:t>
            </w:r>
          </w:p>
        </w:tc>
        <w:tc>
          <w:tcPr>
            <w:tcW w:w="2126" w:type="dxa"/>
          </w:tcPr>
          <w:p w14:paraId="0166598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spellStart"/>
            <w:r w:rsidRPr="006E52AF">
              <w:t>eg</w:t>
            </w:r>
            <w:proofErr w:type="spellEnd"/>
            <w:r w:rsidRPr="006E52AF">
              <w:t>, XY45 6XX</w:t>
            </w:r>
          </w:p>
        </w:tc>
        <w:tc>
          <w:tcPr>
            <w:tcW w:w="3963" w:type="dxa"/>
          </w:tcPr>
          <w:p w14:paraId="4E85F3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full postcode of the trade premises where the sale of the regulated credit agreement was made.</w:t>
            </w:r>
          </w:p>
          <w:p w14:paraId="03D967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take the form of, </w:t>
            </w:r>
            <w:proofErr w:type="spellStart"/>
            <w:r>
              <w:t>eg</w:t>
            </w:r>
            <w:proofErr w:type="spellEnd"/>
            <w:r>
              <w:t>, XY45 6XX."</w:t>
            </w:r>
          </w:p>
        </w:tc>
      </w:tr>
      <w:tr w:rsidR="00095E11" w14:paraId="73C2AF7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FCDDD82" w14:textId="77777777" w:rsidR="00095E11" w:rsidRPr="00F21C76" w:rsidRDefault="00095E11" w:rsidP="008D651F">
            <w:pPr>
              <w:pStyle w:val="BodyText"/>
            </w:pPr>
            <w:r w:rsidRPr="00056E9D">
              <w:t>23A</w:t>
            </w:r>
          </w:p>
        </w:tc>
        <w:tc>
          <w:tcPr>
            <w:tcW w:w="2410" w:type="dxa"/>
          </w:tcPr>
          <w:p w14:paraId="37B790F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56E9D">
              <w:t>Did another person effect an introduction of the borrower(s) to the reporting firm?</w:t>
            </w:r>
          </w:p>
        </w:tc>
        <w:tc>
          <w:tcPr>
            <w:tcW w:w="2126" w:type="dxa"/>
          </w:tcPr>
          <w:p w14:paraId="1840BA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Yes – credit broker regulated – FRN known</w:t>
            </w:r>
          </w:p>
          <w:p w14:paraId="063ED2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Yes – credit broker regulated – FRN unknown</w:t>
            </w:r>
          </w:p>
          <w:p w14:paraId="3318C6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Yes – credit broker not regulated</w:t>
            </w:r>
          </w:p>
          <w:p w14:paraId="5881F8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Yes – credit broker regulatory status unknown</w:t>
            </w:r>
          </w:p>
          <w:p w14:paraId="0D140A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 credit broker</w:t>
            </w:r>
          </w:p>
          <w:p w14:paraId="54D4ECE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7902E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"Whether another person (the credit broker) effected an introduction of the borrower(s) to the reporting firm with a view to the borrower(s) entering into the regulated credit agreement.</w:t>
            </w:r>
          </w:p>
          <w:p w14:paraId="414B6E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5DAD3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options chosen should reflect the credit broker’s regulatory status at the point the introduction was effected.</w:t>
            </w:r>
          </w:p>
          <w:p w14:paraId="36FB6A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63A88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E8B38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Yes – credit broker regulated – FRN known</w:t>
            </w:r>
          </w:p>
          <w:p w14:paraId="6DF51B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Another person (the credit broker) effected an introduction of the borrower(s) to the reporting firm with a view to </w:t>
            </w:r>
            <w:r>
              <w:lastRenderedPageBreak/>
              <w:t>the borrower(s) entering into the regulated credit agreement. The credit broker was an </w:t>
            </w:r>
            <w:proofErr w:type="spellStart"/>
            <w:r>
              <w:t>authorised</w:t>
            </w:r>
            <w:proofErr w:type="spellEnd"/>
            <w:r>
              <w:t xml:space="preserve"> person or acting as an appointed representative. The FRN of the credit broker is known by the reporting firm.</w:t>
            </w:r>
          </w:p>
          <w:p w14:paraId="6F1EDC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Yes – credit broker regulated – FRN unknown</w:t>
            </w:r>
          </w:p>
          <w:p w14:paraId="0E0816F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(the credit broker) effected an introduction of the borrower(s) to the reporting firm with a view to the borrower(s) entering into the regulated credit agreement. The credit broker was an </w:t>
            </w:r>
            <w:proofErr w:type="spellStart"/>
            <w:r>
              <w:t>authorised</w:t>
            </w:r>
            <w:proofErr w:type="spellEnd"/>
            <w:r>
              <w:t xml:space="preserve"> person or acting as an appointed representative. The FRN of the credit broker is not known by the reporting firm.</w:t>
            </w:r>
          </w:p>
          <w:p w14:paraId="6765810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Yes – credit broker not regulated</w:t>
            </w:r>
          </w:p>
          <w:p w14:paraId="3C14DD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(the credit broker) effected an introduction of the borrower(s) to the reporting firm with a view to the borrower(s) entering into the regulated credit agreement. The credit broker was not an </w:t>
            </w:r>
            <w:proofErr w:type="spellStart"/>
            <w:r>
              <w:t>authorised</w:t>
            </w:r>
            <w:proofErr w:type="spellEnd"/>
            <w:r>
              <w:t xml:space="preserve"> person and was not acting as an appointed representative."</w:t>
            </w:r>
          </w:p>
          <w:p w14:paraId="079310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Yes – credit broker regulatory status unknown</w:t>
            </w:r>
          </w:p>
          <w:p w14:paraId="2FF020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(the credit broker) effected an introduction of the borrower(s) to the reporting firm with a view to the borrower(s) entering into the regulated credit agreement. The reporting firm cannot determine the regulatory status of the credit broker.</w:t>
            </w:r>
          </w:p>
          <w:p w14:paraId="2A1C09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 credit broker</w:t>
            </w:r>
          </w:p>
          <w:p w14:paraId="1097BC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Another person did not </w:t>
            </w:r>
            <w:proofErr w:type="spellStart"/>
            <w:r>
              <w:t>effect</w:t>
            </w:r>
            <w:proofErr w:type="spellEnd"/>
            <w:r>
              <w:t xml:space="preserve"> an introduction of the borrower(s) to the reporting firm with a view to the borrower(s) entering into the regulated credit agreement.</w:t>
            </w:r>
          </w:p>
          <w:p w14:paraId="281B5E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3D1543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another person effected an introduction of the borrower(s) to the reporting firm with a view to the borrower(s) entering into the regulated credit agreement."</w:t>
            </w:r>
          </w:p>
        </w:tc>
      </w:tr>
      <w:tr w:rsidR="00095E11" w14:paraId="5DF718A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ED25CAC" w14:textId="77777777" w:rsidR="00095E11" w:rsidRPr="00F21C76" w:rsidRDefault="00095E11" w:rsidP="008D651F">
            <w:pPr>
              <w:pStyle w:val="BodyText"/>
            </w:pPr>
            <w:r w:rsidRPr="00A45ECF">
              <w:lastRenderedPageBreak/>
              <w:t>24A</w:t>
            </w:r>
          </w:p>
        </w:tc>
        <w:tc>
          <w:tcPr>
            <w:tcW w:w="2410" w:type="dxa"/>
          </w:tcPr>
          <w:p w14:paraId="3739F07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45ECF">
              <w:t>Credit broker FRN</w:t>
            </w:r>
          </w:p>
        </w:tc>
        <w:tc>
          <w:tcPr>
            <w:tcW w:w="2126" w:type="dxa"/>
          </w:tcPr>
          <w:p w14:paraId="44CA4DE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45ECF">
              <w:t>6 or 7 digit number</w:t>
            </w:r>
          </w:p>
        </w:tc>
        <w:tc>
          <w:tcPr>
            <w:tcW w:w="3963" w:type="dxa"/>
          </w:tcPr>
          <w:p w14:paraId="201CA1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FRN of the credit broker who effected an introduction of the borrower(s) to the reporting firm with a view to the borrower(s) entering into the regulated credit agreement.</w:t>
            </w:r>
          </w:p>
          <w:p w14:paraId="0574C5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BD4CE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credit broker’s FRN at the point the introduction was effected."</w:t>
            </w:r>
          </w:p>
        </w:tc>
      </w:tr>
      <w:tr w:rsidR="00095E11" w14:paraId="369E4E4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B79730A" w14:textId="77777777" w:rsidR="00095E11" w:rsidRPr="00F21C76" w:rsidRDefault="00095E11" w:rsidP="008D651F">
            <w:pPr>
              <w:pStyle w:val="BodyText"/>
            </w:pPr>
            <w:r w:rsidRPr="00C34DAC">
              <w:t>25A</w:t>
            </w:r>
          </w:p>
        </w:tc>
        <w:tc>
          <w:tcPr>
            <w:tcW w:w="2410" w:type="dxa"/>
          </w:tcPr>
          <w:p w14:paraId="2D3F459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Credit broker name</w:t>
            </w:r>
          </w:p>
        </w:tc>
        <w:tc>
          <w:tcPr>
            <w:tcW w:w="2126" w:type="dxa"/>
          </w:tcPr>
          <w:p w14:paraId="6F5C73C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Alphanumeric</w:t>
            </w:r>
          </w:p>
        </w:tc>
        <w:tc>
          <w:tcPr>
            <w:tcW w:w="3963" w:type="dxa"/>
          </w:tcPr>
          <w:p w14:paraId="48D1E0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D0146">
              <w:t>The name of the credit broker who effected the introduction of the borrower(s) to the reporting firm with a view to the borrower(s) entering into the regulated credit agreement.</w:t>
            </w:r>
          </w:p>
        </w:tc>
      </w:tr>
      <w:tr w:rsidR="00095E11" w14:paraId="725C033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22D5048" w14:textId="77777777" w:rsidR="00095E11" w:rsidRPr="00F21C76" w:rsidRDefault="00095E11" w:rsidP="008D651F">
            <w:pPr>
              <w:pStyle w:val="BodyText"/>
            </w:pPr>
            <w:r w:rsidRPr="00C34DAC">
              <w:t>26A</w:t>
            </w:r>
          </w:p>
        </w:tc>
        <w:tc>
          <w:tcPr>
            <w:tcW w:w="2410" w:type="dxa"/>
          </w:tcPr>
          <w:p w14:paraId="4F6DC23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Commission paid by reporting firm to credit broker</w:t>
            </w:r>
          </w:p>
        </w:tc>
        <w:tc>
          <w:tcPr>
            <w:tcW w:w="2126" w:type="dxa"/>
          </w:tcPr>
          <w:p w14:paraId="40C136D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Numeric £</w:t>
            </w:r>
          </w:p>
        </w:tc>
        <w:tc>
          <w:tcPr>
            <w:tcW w:w="3963" w:type="dxa"/>
          </w:tcPr>
          <w:p w14:paraId="4F609A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"Amount of commission paid to the credit broker by the reporting firm directly in relation to the regulated credit agreement.</w:t>
            </w:r>
          </w:p>
          <w:p w14:paraId="4807E7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Do not include a pro-rata estimate of the commission from any amounts paid to the credit broker which are not directly in relation to the regulated credit agreement."</w:t>
            </w:r>
          </w:p>
        </w:tc>
      </w:tr>
      <w:tr w:rsidR="00095E11" w14:paraId="7D7DDE6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EF35BAC" w14:textId="77777777" w:rsidR="00095E11" w:rsidRPr="00F21C76" w:rsidRDefault="00095E11" w:rsidP="008D651F">
            <w:pPr>
              <w:pStyle w:val="BodyText"/>
            </w:pPr>
            <w:r w:rsidRPr="00C34DAC">
              <w:t>27A</w:t>
            </w:r>
          </w:p>
        </w:tc>
        <w:tc>
          <w:tcPr>
            <w:tcW w:w="2410" w:type="dxa"/>
          </w:tcPr>
          <w:p w14:paraId="6910AC7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Commission received by reporting firm from credit broker</w:t>
            </w:r>
          </w:p>
        </w:tc>
        <w:tc>
          <w:tcPr>
            <w:tcW w:w="2126" w:type="dxa"/>
          </w:tcPr>
          <w:p w14:paraId="3FB599B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Numeric £</w:t>
            </w:r>
          </w:p>
        </w:tc>
        <w:tc>
          <w:tcPr>
            <w:tcW w:w="3963" w:type="dxa"/>
          </w:tcPr>
          <w:p w14:paraId="34D7C4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"Amount of commission paid to the reporting firm by the credit broker directly in relation to the regulated credit agreement.</w:t>
            </w:r>
          </w:p>
          <w:p w14:paraId="548E98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Do not include a pro-rata estimate of the commission from any amounts received from the credit broker which are not directly in relation to the regulated credit agreement."</w:t>
            </w:r>
          </w:p>
        </w:tc>
      </w:tr>
      <w:tr w:rsidR="00095E11" w14:paraId="227A54F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0CB4A66" w14:textId="77777777" w:rsidR="00095E11" w:rsidRPr="00F21C76" w:rsidRDefault="00095E11" w:rsidP="008D651F">
            <w:pPr>
              <w:pStyle w:val="BodyText"/>
            </w:pPr>
            <w:r w:rsidRPr="00BB4639">
              <w:t>28A</w:t>
            </w:r>
          </w:p>
        </w:tc>
        <w:tc>
          <w:tcPr>
            <w:tcW w:w="2410" w:type="dxa"/>
          </w:tcPr>
          <w:p w14:paraId="71F2117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B4639">
              <w:t>Is the credit agreement also a P2P agreement?</w:t>
            </w:r>
          </w:p>
        </w:tc>
        <w:tc>
          <w:tcPr>
            <w:tcW w:w="2126" w:type="dxa"/>
          </w:tcPr>
          <w:p w14:paraId="6E9581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Yes – platform regulated – FRN known</w:t>
            </w:r>
          </w:p>
          <w:p w14:paraId="7887F3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Yes – platform regulated – FRN unknown</w:t>
            </w:r>
          </w:p>
          <w:p w14:paraId="12939D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Yes – platform not regulated</w:t>
            </w:r>
          </w:p>
          <w:p w14:paraId="441F7A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Yes – platform regulatory status unknown</w:t>
            </w:r>
          </w:p>
          <w:p w14:paraId="06A67B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N = No – not a P2P agreement</w:t>
            </w:r>
          </w:p>
          <w:p w14:paraId="3BDB156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ED06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"Whether the regulated credit agreement meets the criteria of a P2P agreement.</w:t>
            </w:r>
          </w:p>
          <w:p w14:paraId="7C2579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4A23D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F154D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Yes – platform regulated – FRN known</w:t>
            </w:r>
          </w:p>
          <w:p w14:paraId="0F4F80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operator of the electronic system in relation to lending who facilitated the P2P agreement was an </w:t>
            </w:r>
            <w:proofErr w:type="spellStart"/>
            <w:r>
              <w:t>authorised</w:t>
            </w:r>
            <w:proofErr w:type="spellEnd"/>
            <w:r>
              <w:t xml:space="preserve"> person or </w:t>
            </w:r>
            <w:r>
              <w:lastRenderedPageBreak/>
              <w:t>acting as an appointed representative. The FRN of the operator of the electronic system in relation to lending is known by the reporting firm.</w:t>
            </w:r>
          </w:p>
          <w:p w14:paraId="77F495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Yes – platform regulated – FRN unknown</w:t>
            </w:r>
          </w:p>
          <w:p w14:paraId="7D29DB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operator of the electronic system in relation to lending who facilitated the P2P agreement was an </w:t>
            </w:r>
            <w:proofErr w:type="spellStart"/>
            <w:r>
              <w:t>authorised</w:t>
            </w:r>
            <w:proofErr w:type="spellEnd"/>
            <w:r>
              <w:t xml:space="preserve"> person or acting as an appointed representative. The FRN of the operator of the electronic system in relation to lending is not known by the reporting firm.</w:t>
            </w:r>
          </w:p>
          <w:p w14:paraId="49E514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Yes – platform not regulated</w:t>
            </w:r>
          </w:p>
          <w:p w14:paraId="7453B4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operator of the electronic system in relation to lending who facilitated the P2P agreement was not an </w:t>
            </w:r>
            <w:proofErr w:type="spellStart"/>
            <w:r>
              <w:t>authorised</w:t>
            </w:r>
            <w:proofErr w:type="spellEnd"/>
            <w:r>
              <w:t xml:space="preserve"> person and was not acting as an appointed representative.</w:t>
            </w:r>
          </w:p>
          <w:p w14:paraId="4A3516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Yes – platform regulatory status unknown</w:t>
            </w:r>
          </w:p>
          <w:p w14:paraId="71AAC81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reporting firm cannot determine the regulatory status of the operator of the electronic system in relation to lending who facilitated the P2P agreement.</w:t>
            </w:r>
          </w:p>
          <w:p w14:paraId="3FCAE8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 – not a P2P agreement</w:t>
            </w:r>
          </w:p>
          <w:p w14:paraId="6643A8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does not meet the criteria of a P2P agreement.</w:t>
            </w:r>
          </w:p>
          <w:p w14:paraId="4C9C01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7E0B48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regulated credit agreement meets the criteria of a P2P agreement."</w:t>
            </w:r>
          </w:p>
        </w:tc>
      </w:tr>
      <w:tr w:rsidR="00095E11" w14:paraId="4DC8A60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A1B65B8" w14:textId="77777777" w:rsidR="00095E11" w:rsidRPr="00F21C76" w:rsidRDefault="00095E11" w:rsidP="008D651F">
            <w:pPr>
              <w:pStyle w:val="BodyText"/>
            </w:pPr>
            <w:r w:rsidRPr="00BB4639">
              <w:lastRenderedPageBreak/>
              <w:t>29A</w:t>
            </w:r>
          </w:p>
        </w:tc>
        <w:tc>
          <w:tcPr>
            <w:tcW w:w="2410" w:type="dxa"/>
          </w:tcPr>
          <w:p w14:paraId="181A2EB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B4639">
              <w:t>P2P platform operator FRN</w:t>
            </w:r>
          </w:p>
        </w:tc>
        <w:tc>
          <w:tcPr>
            <w:tcW w:w="2126" w:type="dxa"/>
          </w:tcPr>
          <w:p w14:paraId="3F7E16E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6 or 7 digit number</w:t>
            </w:r>
          </w:p>
        </w:tc>
        <w:tc>
          <w:tcPr>
            <w:tcW w:w="3963" w:type="dxa"/>
          </w:tcPr>
          <w:p w14:paraId="6340F3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The FRN of the operator of an electronic system in relation to lending who facilitated the P2P agreement as on the date the regulated credit agreement was executed.</w:t>
            </w:r>
          </w:p>
        </w:tc>
      </w:tr>
      <w:tr w:rsidR="00095E11" w14:paraId="3CB9DB9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596EC55" w14:textId="77777777" w:rsidR="00095E11" w:rsidRPr="00F21C76" w:rsidRDefault="00095E11" w:rsidP="008D651F">
            <w:pPr>
              <w:pStyle w:val="BodyText"/>
            </w:pPr>
            <w:r w:rsidRPr="00BB4639">
              <w:lastRenderedPageBreak/>
              <w:t>30A</w:t>
            </w:r>
          </w:p>
        </w:tc>
        <w:tc>
          <w:tcPr>
            <w:tcW w:w="2410" w:type="dxa"/>
          </w:tcPr>
          <w:p w14:paraId="29F547C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B4639">
              <w:t>P2P platform operator name</w:t>
            </w:r>
          </w:p>
        </w:tc>
        <w:tc>
          <w:tcPr>
            <w:tcW w:w="2126" w:type="dxa"/>
          </w:tcPr>
          <w:p w14:paraId="41CF816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Alphanumeric</w:t>
            </w:r>
          </w:p>
        </w:tc>
        <w:tc>
          <w:tcPr>
            <w:tcW w:w="3963" w:type="dxa"/>
          </w:tcPr>
          <w:p w14:paraId="50A3F3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The name of the operator of an electronic system in relation to lending who facilitated the P2P agreement.</w:t>
            </w:r>
          </w:p>
        </w:tc>
      </w:tr>
      <w:tr w:rsidR="00095E11" w14:paraId="164AF158"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2A0B0B" w14:textId="77777777" w:rsidR="00095E11" w:rsidRPr="00F21C76" w:rsidRDefault="00095E11" w:rsidP="008D651F">
            <w:pPr>
              <w:pStyle w:val="BodyText"/>
            </w:pPr>
            <w:r w:rsidRPr="0056375D">
              <w:t>31A</w:t>
            </w:r>
          </w:p>
        </w:tc>
        <w:tc>
          <w:tcPr>
            <w:tcW w:w="2410" w:type="dxa"/>
          </w:tcPr>
          <w:p w14:paraId="04F6810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75D">
              <w:t>Agreement execution date</w:t>
            </w:r>
          </w:p>
        </w:tc>
        <w:tc>
          <w:tcPr>
            <w:tcW w:w="2126" w:type="dxa"/>
          </w:tcPr>
          <w:p w14:paraId="7FC005A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75D">
              <w:t>DD/MM/YYYY</w:t>
            </w:r>
          </w:p>
        </w:tc>
        <w:tc>
          <w:tcPr>
            <w:tcW w:w="3963" w:type="dxa"/>
          </w:tcPr>
          <w:p w14:paraId="04A61F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date on which the regulated credit agreement was executed.</w:t>
            </w:r>
          </w:p>
          <w:p w14:paraId="741BFB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0981A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modified agreement or novated agreement this should be the date on which that regulated credit agreement was executed, not the date on which the earlier modified or novated agreement was executed."</w:t>
            </w:r>
          </w:p>
        </w:tc>
      </w:tr>
      <w:tr w:rsidR="00095E11" w14:paraId="720D192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4196FD8" w14:textId="77777777" w:rsidR="00095E11" w:rsidRPr="00F21C76" w:rsidRDefault="00095E11" w:rsidP="008D651F">
            <w:pPr>
              <w:pStyle w:val="BodyText"/>
            </w:pPr>
            <w:r w:rsidRPr="007644CE">
              <w:t>32A</w:t>
            </w:r>
          </w:p>
        </w:tc>
        <w:tc>
          <w:tcPr>
            <w:tcW w:w="2410" w:type="dxa"/>
          </w:tcPr>
          <w:p w14:paraId="6EE4981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Is the agreement an open-end agreement?</w:t>
            </w:r>
          </w:p>
        </w:tc>
        <w:tc>
          <w:tcPr>
            <w:tcW w:w="2126" w:type="dxa"/>
          </w:tcPr>
          <w:p w14:paraId="52ACB1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618FC4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7931E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Whether the regulated credit agreement meets the criteria of an open-end agreement.</w:t>
            </w:r>
          </w:p>
        </w:tc>
      </w:tr>
      <w:tr w:rsidR="00095E11" w14:paraId="48D28EC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B8BF258" w14:textId="77777777" w:rsidR="00095E11" w:rsidRPr="00F21C76" w:rsidRDefault="00095E11" w:rsidP="008D651F">
            <w:pPr>
              <w:pStyle w:val="BodyText"/>
            </w:pPr>
            <w:r w:rsidRPr="007644CE">
              <w:t>33A</w:t>
            </w:r>
          </w:p>
        </w:tc>
        <w:tc>
          <w:tcPr>
            <w:tcW w:w="2410" w:type="dxa"/>
          </w:tcPr>
          <w:p w14:paraId="42DD04E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Agreement end date</w:t>
            </w:r>
          </w:p>
        </w:tc>
        <w:tc>
          <w:tcPr>
            <w:tcW w:w="2126" w:type="dxa"/>
          </w:tcPr>
          <w:p w14:paraId="3411807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5DC6">
              <w:t>DD/MM/YYYY</w:t>
            </w:r>
          </w:p>
        </w:tc>
        <w:tc>
          <w:tcPr>
            <w:tcW w:w="3963" w:type="dxa"/>
          </w:tcPr>
          <w:p w14:paraId="1E79FC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Date on which the regulated credit agreement is scheduled to end.</w:t>
            </w:r>
          </w:p>
        </w:tc>
      </w:tr>
      <w:tr w:rsidR="00095E11" w14:paraId="79084AF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0BBC407" w14:textId="77777777" w:rsidR="00095E11" w:rsidRPr="00F21C76" w:rsidRDefault="00095E11" w:rsidP="008D651F">
            <w:pPr>
              <w:pStyle w:val="BodyText"/>
            </w:pPr>
            <w:r w:rsidRPr="007644CE">
              <w:t>34A</w:t>
            </w:r>
          </w:p>
        </w:tc>
        <w:tc>
          <w:tcPr>
            <w:tcW w:w="2410" w:type="dxa"/>
          </w:tcPr>
          <w:p w14:paraId="4E5C1DA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Is there a minimum duration for the open-end agreement?</w:t>
            </w:r>
          </w:p>
        </w:tc>
        <w:tc>
          <w:tcPr>
            <w:tcW w:w="2126" w:type="dxa"/>
          </w:tcPr>
          <w:p w14:paraId="3EEB6D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68D7D10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3A7A18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Whether the open-end agreement has a minimum duration.</w:t>
            </w:r>
          </w:p>
        </w:tc>
      </w:tr>
      <w:tr w:rsidR="00095E11" w14:paraId="0ED72BE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E2FD99D" w14:textId="77777777" w:rsidR="00095E11" w:rsidRPr="00F21C76" w:rsidRDefault="00095E11" w:rsidP="008D651F">
            <w:pPr>
              <w:pStyle w:val="BodyText"/>
            </w:pPr>
            <w:r w:rsidRPr="007644CE">
              <w:t>35A</w:t>
            </w:r>
          </w:p>
        </w:tc>
        <w:tc>
          <w:tcPr>
            <w:tcW w:w="2410" w:type="dxa"/>
          </w:tcPr>
          <w:p w14:paraId="1CBC42C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Minimum duration end date</w:t>
            </w:r>
          </w:p>
        </w:tc>
        <w:tc>
          <w:tcPr>
            <w:tcW w:w="2126" w:type="dxa"/>
          </w:tcPr>
          <w:p w14:paraId="7D5A0DC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5DC6">
              <w:t>DD/MM/YYYY</w:t>
            </w:r>
          </w:p>
        </w:tc>
        <w:tc>
          <w:tcPr>
            <w:tcW w:w="3963" w:type="dxa"/>
          </w:tcPr>
          <w:p w14:paraId="02D05E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Date on which the minimum duration of the open-end agreement ends.</w:t>
            </w:r>
          </w:p>
        </w:tc>
      </w:tr>
      <w:tr w:rsidR="00095E11" w14:paraId="1ADEABA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FBCFDE9" w14:textId="77777777" w:rsidR="00095E11" w:rsidRPr="00F21C76" w:rsidRDefault="00095E11" w:rsidP="008D651F">
            <w:pPr>
              <w:pStyle w:val="BodyText"/>
            </w:pPr>
            <w:r w:rsidRPr="007564DC">
              <w:t>36A</w:t>
            </w:r>
          </w:p>
        </w:tc>
        <w:tc>
          <w:tcPr>
            <w:tcW w:w="2410" w:type="dxa"/>
          </w:tcPr>
          <w:p w14:paraId="4065CA2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Is the agreement a credit token agreement?</w:t>
            </w:r>
          </w:p>
        </w:tc>
        <w:tc>
          <w:tcPr>
            <w:tcW w:w="2126" w:type="dxa"/>
          </w:tcPr>
          <w:p w14:paraId="1C0A2E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DA07B1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209F50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53009">
              <w:t>Whether the regulated credit agreement meets the criteria of a credit-token agreement.</w:t>
            </w:r>
          </w:p>
        </w:tc>
      </w:tr>
      <w:tr w:rsidR="00095E11" w14:paraId="0F3A0C7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B6C68B4" w14:textId="77777777" w:rsidR="00095E11" w:rsidRPr="00F21C76" w:rsidRDefault="00095E11" w:rsidP="008D651F">
            <w:pPr>
              <w:pStyle w:val="BodyText"/>
            </w:pPr>
            <w:r w:rsidRPr="007564DC">
              <w:t>37A</w:t>
            </w:r>
          </w:p>
        </w:tc>
        <w:tc>
          <w:tcPr>
            <w:tcW w:w="2410" w:type="dxa"/>
          </w:tcPr>
          <w:p w14:paraId="38F9BA5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Is the facility under the credit agreement fixed-sum or running-account?</w:t>
            </w:r>
          </w:p>
        </w:tc>
        <w:tc>
          <w:tcPr>
            <w:tcW w:w="2126" w:type="dxa"/>
          </w:tcPr>
          <w:p w14:paraId="5F6DE2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"FS = Fixed-sum credit</w:t>
            </w:r>
          </w:p>
          <w:p w14:paraId="159A659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RA = Running-account credit"</w:t>
            </w:r>
          </w:p>
        </w:tc>
        <w:tc>
          <w:tcPr>
            <w:tcW w:w="3963" w:type="dxa"/>
          </w:tcPr>
          <w:p w14:paraId="5F3733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3C689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FS: Fixed-sum credit</w:t>
            </w:r>
          </w:p>
          <w:p w14:paraId="529223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includes a facility whereby the borrower(s) is enabled to receive credit (whether in one amount or by instalments) but which is not running-account credit.</w:t>
            </w:r>
          </w:p>
          <w:p w14:paraId="4B6A26E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RA: Running-account credit</w:t>
            </w:r>
          </w:p>
          <w:p w14:paraId="4263F1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includes a facility under which the borrower(s) or another person is enabled to receive from </w:t>
            </w:r>
            <w:r>
              <w:lastRenderedPageBreak/>
              <w:t>time to time from the reporting firm or a third party cash, goods or services to an amount or value such that, taking into account payments made by or to the credit of the borrower(s), the credit limit (if any) is not at any time exceeded."</w:t>
            </w:r>
          </w:p>
        </w:tc>
      </w:tr>
      <w:tr w:rsidR="00095E11" w14:paraId="1B5AC72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0FD6D60" w14:textId="77777777" w:rsidR="00095E11" w:rsidRPr="00F21C76" w:rsidRDefault="00095E11" w:rsidP="008D651F">
            <w:pPr>
              <w:pStyle w:val="BodyText"/>
            </w:pPr>
            <w:r w:rsidRPr="007564DC">
              <w:lastRenderedPageBreak/>
              <w:t>38A</w:t>
            </w:r>
          </w:p>
        </w:tc>
        <w:tc>
          <w:tcPr>
            <w:tcW w:w="2410" w:type="dxa"/>
          </w:tcPr>
          <w:p w14:paraId="5559D98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How can the running-account credit be used?</w:t>
            </w:r>
          </w:p>
        </w:tc>
        <w:tc>
          <w:tcPr>
            <w:tcW w:w="2126" w:type="dxa"/>
          </w:tcPr>
          <w:p w14:paraId="72FB38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Linked to a payment network</w:t>
            </w:r>
          </w:p>
          <w:p w14:paraId="2AB58C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Running-account credit to pay for periodic premiums or fees only</w:t>
            </w:r>
          </w:p>
          <w:p w14:paraId="11EE5A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Retail revolving credit</w:t>
            </w:r>
          </w:p>
          <w:p w14:paraId="001351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Money transfers only</w:t>
            </w:r>
          </w:p>
          <w:p w14:paraId="003A8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6072DEF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1E1AF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A0939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Linked to a payment network</w:t>
            </w:r>
          </w:p>
          <w:p w14:paraId="0EFA02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with a facility which allows drawdowns for transactions with any person in a payment network, such as MasterCard and Visa. This includes credit cards.</w:t>
            </w:r>
          </w:p>
          <w:p w14:paraId="284A29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03426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a regulated credit agreement which also allows other types of drawdowns.</w:t>
            </w:r>
          </w:p>
          <w:p w14:paraId="2BAB41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40F1B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a regulated credit agreement which has a brand associated with a particular supplier(s), or promotions in relation to a specific supplier(s), but the facility allows drawdowns with any person in a payment network.</w:t>
            </w:r>
          </w:p>
          <w:p w14:paraId="32ADCE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0CF221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Running-account credit to pay for periodic premiums or fees only</w:t>
            </w:r>
          </w:p>
          <w:p w14:paraId="355C35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running-account credit, the main purpose of which is to allow the borrower(s) to finance periodic premiums or fees.</w:t>
            </w:r>
          </w:p>
          <w:p w14:paraId="2D6A67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60B57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be selected even if additional drawdowns can be made as long as these drawdowns are not the main purpose of the agreement."</w:t>
            </w:r>
          </w:p>
          <w:p w14:paraId="5C31AD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Retail revolving credit</w:t>
            </w:r>
          </w:p>
          <w:p w14:paraId="78C898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retail revolving credit, other than a regulated credit agreement which is described by ‘B: Running-account credit to pay for periodic premiums or fees only’.</w:t>
            </w:r>
          </w:p>
          <w:p w14:paraId="429BAC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D: Money transfers only</w:t>
            </w:r>
          </w:p>
          <w:p w14:paraId="694789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only allows drawdowns to transfer money to a bank account or an electronic money account.</w:t>
            </w:r>
          </w:p>
          <w:p w14:paraId="7873B4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09F164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is not one of the specific options above.</w:t>
            </w:r>
          </w:p>
          <w:p w14:paraId="0CAA8D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5FB78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specific options above."</w:t>
            </w:r>
          </w:p>
        </w:tc>
      </w:tr>
      <w:tr w:rsidR="00095E11" w14:paraId="1C15EA1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4981A90" w14:textId="77777777" w:rsidR="00095E11" w:rsidRPr="00F21C76" w:rsidRDefault="00095E11" w:rsidP="008D651F">
            <w:pPr>
              <w:pStyle w:val="BodyText"/>
            </w:pPr>
            <w:r w:rsidRPr="007564DC">
              <w:lastRenderedPageBreak/>
              <w:t>39A</w:t>
            </w:r>
          </w:p>
        </w:tc>
        <w:tc>
          <w:tcPr>
            <w:tcW w:w="2410" w:type="dxa"/>
          </w:tcPr>
          <w:p w14:paraId="5A3FBA8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Payment network</w:t>
            </w:r>
          </w:p>
        </w:tc>
        <w:tc>
          <w:tcPr>
            <w:tcW w:w="2126" w:type="dxa"/>
          </w:tcPr>
          <w:p w14:paraId="59E40A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Mastercard</w:t>
            </w:r>
          </w:p>
          <w:p w14:paraId="1C7DB1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Visa</w:t>
            </w:r>
          </w:p>
          <w:p w14:paraId="1D0ACE9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tc>
        <w:tc>
          <w:tcPr>
            <w:tcW w:w="3963" w:type="dxa"/>
          </w:tcPr>
          <w:p w14:paraId="42A3AC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119C3">
              <w:t>The payment network, such as MasterCard and Visa, that the running-account credit is linked to.</w:t>
            </w:r>
          </w:p>
        </w:tc>
      </w:tr>
      <w:tr w:rsidR="00095E11" w14:paraId="0F736BC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C1CE85" w14:textId="77777777" w:rsidR="00095E11" w:rsidRPr="00F21C76" w:rsidRDefault="00095E11" w:rsidP="008D651F">
            <w:pPr>
              <w:pStyle w:val="BodyText"/>
            </w:pPr>
            <w:r w:rsidRPr="00246F7B">
              <w:t>40A</w:t>
            </w:r>
          </w:p>
        </w:tc>
        <w:tc>
          <w:tcPr>
            <w:tcW w:w="2410" w:type="dxa"/>
          </w:tcPr>
          <w:p w14:paraId="191C823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46F7B">
              <w:t>With which suppliers can the running-account credit be used?</w:t>
            </w:r>
          </w:p>
        </w:tc>
        <w:tc>
          <w:tcPr>
            <w:tcW w:w="2126" w:type="dxa"/>
          </w:tcPr>
          <w:p w14:paraId="75BC06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Reporting firm only</w:t>
            </w:r>
          </w:p>
          <w:p w14:paraId="494FF9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Single supplier other than the reporting firm</w:t>
            </w:r>
          </w:p>
          <w:p w14:paraId="1C12B6C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More than one supplier"</w:t>
            </w:r>
          </w:p>
        </w:tc>
        <w:tc>
          <w:tcPr>
            <w:tcW w:w="3963" w:type="dxa"/>
          </w:tcPr>
          <w:p w14:paraId="14F9B8B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B3043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Reporting firm only</w:t>
            </w:r>
          </w:p>
          <w:p w14:paraId="15AB00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can only be made for purchases from the reporting firm.</w:t>
            </w:r>
          </w:p>
          <w:p w14:paraId="5C408A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Single supplier other than the reporting firm</w:t>
            </w:r>
          </w:p>
          <w:p w14:paraId="330928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can only be made for purchases from a single supplier who is not the reporting firm.</w:t>
            </w:r>
          </w:p>
          <w:p w14:paraId="017660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More than one supplier</w:t>
            </w:r>
          </w:p>
          <w:p w14:paraId="356F71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can be made for purchases from more than one supplier."</w:t>
            </w:r>
          </w:p>
        </w:tc>
      </w:tr>
      <w:tr w:rsidR="00095E11" w14:paraId="1652729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FB1AFE" w14:textId="77777777" w:rsidR="00095E11" w:rsidRPr="00F21C76" w:rsidRDefault="00095E11" w:rsidP="008D651F">
            <w:pPr>
              <w:pStyle w:val="BodyText"/>
            </w:pPr>
            <w:r w:rsidRPr="00246F7B">
              <w:t>41A</w:t>
            </w:r>
          </w:p>
        </w:tc>
        <w:tc>
          <w:tcPr>
            <w:tcW w:w="2410" w:type="dxa"/>
          </w:tcPr>
          <w:p w14:paraId="114770B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46F7B">
              <w:t>Regulatory status of the supplier in respect of whom the running-account credit applies</w:t>
            </w:r>
          </w:p>
        </w:tc>
        <w:tc>
          <w:tcPr>
            <w:tcW w:w="2126" w:type="dxa"/>
          </w:tcPr>
          <w:p w14:paraId="7CBC12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Regulated – FRN known</w:t>
            </w:r>
          </w:p>
          <w:p w14:paraId="562408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Regulated – FRN unknown</w:t>
            </w:r>
          </w:p>
          <w:p w14:paraId="3F69D7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Supplier was the credit broker</w:t>
            </w:r>
          </w:p>
          <w:p w14:paraId="5A8D87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regulated</w:t>
            </w:r>
          </w:p>
          <w:p w14:paraId="02A167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 Supplier regulatory status unknown</w:t>
            </w:r>
          </w:p>
          <w:p w14:paraId="04FE018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Z2 = Supplier unknown"</w:t>
            </w:r>
          </w:p>
        </w:tc>
        <w:tc>
          <w:tcPr>
            <w:tcW w:w="3963" w:type="dxa"/>
          </w:tcPr>
          <w:p w14:paraId="1F8E70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"This should reflect the regulatory status of the single supplier with whom the running-account credit agreement can be used as on the date the regulated credit agreement was executed.</w:t>
            </w:r>
          </w:p>
          <w:p w14:paraId="36841C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53549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860C1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Regulated – FRN known</w:t>
            </w:r>
          </w:p>
          <w:p w14:paraId="62F176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w:t>
            </w:r>
            <w:proofErr w:type="spellStart"/>
            <w:r>
              <w:t>authorised</w:t>
            </w:r>
            <w:proofErr w:type="spellEnd"/>
            <w:r>
              <w:t xml:space="preserve"> person and/or acting as an appointed representative. The supplier is not </w:t>
            </w:r>
            <w:r>
              <w:lastRenderedPageBreak/>
              <w:t>the person reported as the credit broker for the regulated credit agreement. The FRN of the supplier is known by the reporting firm.</w:t>
            </w:r>
          </w:p>
          <w:p w14:paraId="644FDF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Regulated – FRN unknown</w:t>
            </w:r>
          </w:p>
          <w:p w14:paraId="673C8B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w:t>
            </w:r>
            <w:proofErr w:type="spellStart"/>
            <w:r>
              <w:t>authorised</w:t>
            </w:r>
            <w:proofErr w:type="spellEnd"/>
            <w:r>
              <w:t xml:space="preserve"> person and/or acting as an appointed representative. The supplier is not the person reported as the credit broker for the regulated credit agreement. The FRN of the supplier is not known by the reporting firm.</w:t>
            </w:r>
          </w:p>
          <w:p w14:paraId="18BCF0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Supplier was the credit broker</w:t>
            </w:r>
          </w:p>
          <w:p w14:paraId="237437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is the person reported as the credit broker for the regulated credit agreement.</w:t>
            </w:r>
          </w:p>
          <w:p w14:paraId="3C7F1D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regulated</w:t>
            </w:r>
          </w:p>
          <w:p w14:paraId="7394D2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not an </w:t>
            </w:r>
            <w:proofErr w:type="spellStart"/>
            <w:r>
              <w:t>authorised</w:t>
            </w:r>
            <w:proofErr w:type="spellEnd"/>
            <w:r>
              <w:t xml:space="preserve"> person and was not acting as an appointed representative.</w:t>
            </w:r>
          </w:p>
          <w:p w14:paraId="2F6F2B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Supplier regulatory status unknown</w:t>
            </w:r>
          </w:p>
          <w:p w14:paraId="56F5BC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regulatory status of the supplier.</w:t>
            </w:r>
          </w:p>
          <w:p w14:paraId="2C4B8A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Supplier unknown</w:t>
            </w:r>
          </w:p>
          <w:p w14:paraId="690595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who the supplier is."</w:t>
            </w:r>
          </w:p>
        </w:tc>
      </w:tr>
      <w:tr w:rsidR="00095E11" w14:paraId="6F0B9C0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401B1C9" w14:textId="77777777" w:rsidR="00095E11" w:rsidRPr="00F21C76" w:rsidRDefault="00095E11" w:rsidP="008D651F">
            <w:pPr>
              <w:pStyle w:val="BodyText"/>
            </w:pPr>
            <w:r w:rsidRPr="007E23F7">
              <w:lastRenderedPageBreak/>
              <w:t>42A</w:t>
            </w:r>
          </w:p>
        </w:tc>
        <w:tc>
          <w:tcPr>
            <w:tcW w:w="2410" w:type="dxa"/>
          </w:tcPr>
          <w:p w14:paraId="000E640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Running-account credit supplier FRN</w:t>
            </w:r>
          </w:p>
        </w:tc>
        <w:tc>
          <w:tcPr>
            <w:tcW w:w="2126" w:type="dxa"/>
          </w:tcPr>
          <w:p w14:paraId="432146A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6 or 7 digit number</w:t>
            </w:r>
          </w:p>
        </w:tc>
        <w:tc>
          <w:tcPr>
            <w:tcW w:w="3963" w:type="dxa"/>
          </w:tcPr>
          <w:p w14:paraId="6E9F44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C0992">
              <w:t>The FRN of the single person other than the reporting firm for whom drawdowns for purchases can be made (the running-account credit supplier) as on the date the regulated credit agreement was executed.</w:t>
            </w:r>
          </w:p>
        </w:tc>
      </w:tr>
      <w:tr w:rsidR="00095E11" w14:paraId="627026C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B6DADF5" w14:textId="77777777" w:rsidR="00095E11" w:rsidRPr="00F21C76" w:rsidRDefault="00095E11" w:rsidP="008D651F">
            <w:pPr>
              <w:pStyle w:val="BodyText"/>
            </w:pPr>
            <w:r w:rsidRPr="007E23F7">
              <w:t>43A</w:t>
            </w:r>
          </w:p>
        </w:tc>
        <w:tc>
          <w:tcPr>
            <w:tcW w:w="2410" w:type="dxa"/>
          </w:tcPr>
          <w:p w14:paraId="29B75BC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Running-account credit supplier name</w:t>
            </w:r>
          </w:p>
        </w:tc>
        <w:tc>
          <w:tcPr>
            <w:tcW w:w="2126" w:type="dxa"/>
          </w:tcPr>
          <w:p w14:paraId="7A47ED7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Alphanumeric</w:t>
            </w:r>
          </w:p>
        </w:tc>
        <w:tc>
          <w:tcPr>
            <w:tcW w:w="3963" w:type="dxa"/>
          </w:tcPr>
          <w:p w14:paraId="346D5C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C0992">
              <w:t>The name of the supplier in respect of the running-account credit as on the date the regulated credit agreement was executed.</w:t>
            </w:r>
          </w:p>
        </w:tc>
      </w:tr>
      <w:tr w:rsidR="00095E11" w14:paraId="1F77F0E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8C568C" w14:textId="77777777" w:rsidR="00095E11" w:rsidRPr="00F21C76" w:rsidRDefault="00095E11" w:rsidP="008D651F">
            <w:pPr>
              <w:pStyle w:val="BodyText"/>
            </w:pPr>
            <w:r w:rsidRPr="00480ADE">
              <w:t>44A</w:t>
            </w:r>
          </w:p>
        </w:tc>
        <w:tc>
          <w:tcPr>
            <w:tcW w:w="2410" w:type="dxa"/>
          </w:tcPr>
          <w:p w14:paraId="39E0D97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Is the agreement a BNPL agreement?</w:t>
            </w:r>
          </w:p>
        </w:tc>
        <w:tc>
          <w:tcPr>
            <w:tcW w:w="2126" w:type="dxa"/>
          </w:tcPr>
          <w:p w14:paraId="0203118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AC35DF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3F816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62042">
              <w:t>Whether the regulated credit agreement meets the criteria of a BNPL agreement.</w:t>
            </w:r>
          </w:p>
        </w:tc>
      </w:tr>
      <w:tr w:rsidR="00095E11" w14:paraId="22E5283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762847F" w14:textId="77777777" w:rsidR="00095E11" w:rsidRPr="00F21C76" w:rsidRDefault="00095E11" w:rsidP="008D651F">
            <w:pPr>
              <w:pStyle w:val="BodyText"/>
            </w:pPr>
            <w:r w:rsidRPr="00480ADE">
              <w:lastRenderedPageBreak/>
              <w:t>45A</w:t>
            </w:r>
          </w:p>
        </w:tc>
        <w:tc>
          <w:tcPr>
            <w:tcW w:w="2410" w:type="dxa"/>
          </w:tcPr>
          <w:p w14:paraId="7981D22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Type of periodic premiums or fees</w:t>
            </w:r>
          </w:p>
        </w:tc>
        <w:tc>
          <w:tcPr>
            <w:tcW w:w="2126" w:type="dxa"/>
          </w:tcPr>
          <w:p w14:paraId="046810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Insurance premiums only</w:t>
            </w:r>
          </w:p>
          <w:p w14:paraId="273E07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Any other combination of premiums and fees</w:t>
            </w:r>
          </w:p>
          <w:p w14:paraId="11BE9F0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8E717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48BA1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Insurance premiums only</w:t>
            </w:r>
          </w:p>
          <w:p w14:paraId="6BBC9D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intended to be used to finance premiums for general insurance contracts only.</w:t>
            </w:r>
          </w:p>
          <w:p w14:paraId="3DE5B0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Any other combination of premiums and fees</w:t>
            </w:r>
          </w:p>
          <w:p w14:paraId="2FBA3F4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not limited to finance premiums for general insurance contracts only.</w:t>
            </w:r>
          </w:p>
          <w:p w14:paraId="1719F0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591F5A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specific options above."</w:t>
            </w:r>
          </w:p>
        </w:tc>
      </w:tr>
      <w:tr w:rsidR="00095E11" w14:paraId="3F1043D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C436E69" w14:textId="77777777" w:rsidR="00095E11" w:rsidRPr="00F21C76" w:rsidRDefault="00095E11" w:rsidP="008D651F">
            <w:pPr>
              <w:pStyle w:val="BodyText"/>
            </w:pPr>
            <w:r w:rsidRPr="00480ADE">
              <w:t>46A</w:t>
            </w:r>
          </w:p>
        </w:tc>
        <w:tc>
          <w:tcPr>
            <w:tcW w:w="2410" w:type="dxa"/>
          </w:tcPr>
          <w:p w14:paraId="51EF9C1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Is the agreement a borrower-lender agreement or a borrower-lender-supplier agreement?</w:t>
            </w:r>
          </w:p>
        </w:tc>
        <w:tc>
          <w:tcPr>
            <w:tcW w:w="2126" w:type="dxa"/>
          </w:tcPr>
          <w:p w14:paraId="704418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Borrower-lender</w:t>
            </w:r>
          </w:p>
          <w:p w14:paraId="7F69703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Borrower-lender-supplier"</w:t>
            </w:r>
          </w:p>
        </w:tc>
        <w:tc>
          <w:tcPr>
            <w:tcW w:w="3963" w:type="dxa"/>
          </w:tcPr>
          <w:p w14:paraId="0B0333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4CCDB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Borrower-lender</w:t>
            </w:r>
          </w:p>
          <w:p w14:paraId="121AAE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borrower-lender agreement.</w:t>
            </w:r>
          </w:p>
          <w:p w14:paraId="24943E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Borrower-lender-supplier</w:t>
            </w:r>
          </w:p>
          <w:p w14:paraId="663FF7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borrower-lender-supplier agreement."</w:t>
            </w:r>
          </w:p>
        </w:tc>
      </w:tr>
      <w:tr w:rsidR="00095E11" w14:paraId="0B5B0FA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E064BD7" w14:textId="77777777" w:rsidR="00095E11" w:rsidRPr="00F21C76" w:rsidRDefault="00095E11" w:rsidP="008D651F">
            <w:pPr>
              <w:pStyle w:val="BodyText"/>
            </w:pPr>
            <w:r w:rsidRPr="00480ADE">
              <w:t>47A</w:t>
            </w:r>
          </w:p>
        </w:tc>
        <w:tc>
          <w:tcPr>
            <w:tcW w:w="2410" w:type="dxa"/>
          </w:tcPr>
          <w:p w14:paraId="029869A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Supplier regulatory status</w:t>
            </w:r>
          </w:p>
        </w:tc>
        <w:tc>
          <w:tcPr>
            <w:tcW w:w="2126" w:type="dxa"/>
          </w:tcPr>
          <w:p w14:paraId="2C1ABA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Regulated – FRN known</w:t>
            </w:r>
          </w:p>
          <w:p w14:paraId="188424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Regulated – FRN unknown</w:t>
            </w:r>
          </w:p>
          <w:p w14:paraId="207FC4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Supplier was the credit broker</w:t>
            </w:r>
          </w:p>
          <w:p w14:paraId="60942A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Supplier was the reporting firm</w:t>
            </w:r>
          </w:p>
          <w:p w14:paraId="2F30AF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regulated</w:t>
            </w:r>
          </w:p>
          <w:p w14:paraId="79DBB4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 Supplier regulatory status unknown</w:t>
            </w:r>
          </w:p>
          <w:p w14:paraId="7C956E5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 Supplier unknown"</w:t>
            </w:r>
          </w:p>
        </w:tc>
        <w:tc>
          <w:tcPr>
            <w:tcW w:w="3963" w:type="dxa"/>
          </w:tcPr>
          <w:p w14:paraId="0BB5FF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regulatory status of the person who acted as ‘the supplier’ under the borrower-lender-supplier agreement when the regulated credit agreement was executed.</w:t>
            </w:r>
          </w:p>
          <w:p w14:paraId="600E34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C0ACF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reporting firm is not the original lender for the regulated credit agreement, this should reflect the regulatory status of the person who acted as ‘the supplier’ under the borrower-lender-supplier agreement as on the date of the novation or when the legal ownership of the regulated credit agreement was assigned to the reporting firm.</w:t>
            </w:r>
          </w:p>
          <w:p w14:paraId="65CCA6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71330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Enter the relevant code:</w:t>
            </w:r>
          </w:p>
          <w:p w14:paraId="3636C3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Regulated – FRN known</w:t>
            </w:r>
          </w:p>
          <w:p w14:paraId="6DF165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w:t>
            </w:r>
            <w:proofErr w:type="spellStart"/>
            <w:r>
              <w:t>authorised</w:t>
            </w:r>
            <w:proofErr w:type="spellEnd"/>
            <w:r>
              <w:t xml:space="preserve"> person and/or acting as an appointed representative. The supplier is not the reporting firm and is not the person reported as the credit broker for the regulated credit agreement. The FRN of the supplier is known by the reporting firm.</w:t>
            </w:r>
          </w:p>
          <w:p w14:paraId="60D2D1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Regulated – FRN unknown</w:t>
            </w:r>
          </w:p>
          <w:p w14:paraId="12C3D8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w:t>
            </w:r>
            <w:proofErr w:type="spellStart"/>
            <w:r>
              <w:t>authorised</w:t>
            </w:r>
            <w:proofErr w:type="spellEnd"/>
            <w:r>
              <w:t xml:space="preserve"> person and/or acting as an appointed representative. The supplier is not the reporting firm and is not the person reported as the credit broker for the regulated credit agreement. The FRN of the supplier is not known by the reporting firm."</w:t>
            </w:r>
          </w:p>
          <w:p w14:paraId="7E613EA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Supplier was the credit broker</w:t>
            </w:r>
          </w:p>
          <w:p w14:paraId="73AEB6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the person reported as the credit broker for the regulated credit agreement.</w:t>
            </w:r>
          </w:p>
          <w:p w14:paraId="1095D7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Supplier was the reporting firm</w:t>
            </w:r>
          </w:p>
          <w:p w14:paraId="5F72CC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the reporting firm.</w:t>
            </w:r>
          </w:p>
          <w:p w14:paraId="522942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regulated</w:t>
            </w:r>
          </w:p>
          <w:p w14:paraId="13F0AA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not an </w:t>
            </w:r>
            <w:proofErr w:type="spellStart"/>
            <w:r>
              <w:t>authorised</w:t>
            </w:r>
            <w:proofErr w:type="spellEnd"/>
            <w:r>
              <w:t xml:space="preserve"> person and was not acting as an appointed representative.</w:t>
            </w:r>
          </w:p>
          <w:p w14:paraId="12D3DD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Supplier regulatory status unknown</w:t>
            </w:r>
          </w:p>
          <w:p w14:paraId="64E8F97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regulatory status of the supplier.</w:t>
            </w:r>
          </w:p>
          <w:p w14:paraId="58B838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Supplier unknown</w:t>
            </w:r>
          </w:p>
          <w:p w14:paraId="2E5B9B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who the supplier was."</w:t>
            </w:r>
          </w:p>
        </w:tc>
      </w:tr>
      <w:tr w:rsidR="00095E11" w14:paraId="16DD777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F74BBF5" w14:textId="77777777" w:rsidR="00095E11" w:rsidRPr="00F21C76" w:rsidRDefault="00095E11" w:rsidP="008D651F">
            <w:pPr>
              <w:pStyle w:val="BodyText"/>
            </w:pPr>
            <w:r w:rsidRPr="00115461">
              <w:lastRenderedPageBreak/>
              <w:t>48A</w:t>
            </w:r>
          </w:p>
        </w:tc>
        <w:tc>
          <w:tcPr>
            <w:tcW w:w="2410" w:type="dxa"/>
          </w:tcPr>
          <w:p w14:paraId="7C5B7F9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Supplier FRN</w:t>
            </w:r>
          </w:p>
        </w:tc>
        <w:tc>
          <w:tcPr>
            <w:tcW w:w="2126" w:type="dxa"/>
          </w:tcPr>
          <w:p w14:paraId="5D3BB38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6 or 7 digit number</w:t>
            </w:r>
          </w:p>
        </w:tc>
        <w:tc>
          <w:tcPr>
            <w:tcW w:w="3963" w:type="dxa"/>
          </w:tcPr>
          <w:p w14:paraId="566327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FRN of the person who acted as ‘the supplier’ under the borrower-lender-supplier agreement as on the date the regulated credit agreement was executed.</w:t>
            </w:r>
          </w:p>
          <w:p w14:paraId="34FD6A1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8DB79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If the reporting firm is not the original lender for the regulated credit agreement, this should reflect the FRN of the person who acted as ‘the supplier’ under the borrower-lender-supplier agreement as on the date of the novation or when the legal ownership of the regulated credit agreement was assigned to the reporting firm."</w:t>
            </w:r>
          </w:p>
        </w:tc>
      </w:tr>
      <w:tr w:rsidR="00095E11" w14:paraId="7B08E18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93C9B3F" w14:textId="77777777" w:rsidR="00095E11" w:rsidRPr="00F21C76" w:rsidRDefault="00095E11" w:rsidP="008D651F">
            <w:pPr>
              <w:pStyle w:val="BodyText"/>
            </w:pPr>
            <w:r w:rsidRPr="00115461">
              <w:lastRenderedPageBreak/>
              <w:t>49A</w:t>
            </w:r>
          </w:p>
        </w:tc>
        <w:tc>
          <w:tcPr>
            <w:tcW w:w="2410" w:type="dxa"/>
          </w:tcPr>
          <w:p w14:paraId="351C8E4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Supplier name</w:t>
            </w:r>
          </w:p>
        </w:tc>
        <w:tc>
          <w:tcPr>
            <w:tcW w:w="2126" w:type="dxa"/>
          </w:tcPr>
          <w:p w14:paraId="238A7A0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Alphanumeric</w:t>
            </w:r>
          </w:p>
        </w:tc>
        <w:tc>
          <w:tcPr>
            <w:tcW w:w="3963" w:type="dxa"/>
          </w:tcPr>
          <w:p w14:paraId="127848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name of the person who acted as ‘the supplier’ under the borrower-lender-supplier agreement as on the date the regulated credit agreement was executed.</w:t>
            </w:r>
          </w:p>
          <w:p w14:paraId="2B879D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A6EE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reporting firm is not the original lender for the regulated credit agreement, this should reflect the name of the person who acted as ‘the supplier’ under the borrower-lender-supplier agreement as on the date of the novation or when the legal ownership of the regulated credit agreement was assigned to the reporting firm."</w:t>
            </w:r>
          </w:p>
        </w:tc>
      </w:tr>
      <w:tr w:rsidR="00095E11" w14:paraId="1C339A0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EC053C8" w14:textId="77777777" w:rsidR="00095E11" w:rsidRPr="00F21C76" w:rsidRDefault="00095E11" w:rsidP="008D651F">
            <w:pPr>
              <w:pStyle w:val="BodyText"/>
            </w:pPr>
            <w:r w:rsidRPr="00BF1EB9">
              <w:t>50A</w:t>
            </w:r>
          </w:p>
        </w:tc>
        <w:tc>
          <w:tcPr>
            <w:tcW w:w="2410" w:type="dxa"/>
          </w:tcPr>
          <w:p w14:paraId="535AD66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F1EB9">
              <w:t>Is the agreement one of these specific contract types?</w:t>
            </w:r>
          </w:p>
        </w:tc>
        <w:tc>
          <w:tcPr>
            <w:tcW w:w="2126" w:type="dxa"/>
          </w:tcPr>
          <w:p w14:paraId="5EE10B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Hire-purchase agreement</w:t>
            </w:r>
          </w:p>
          <w:p w14:paraId="7A7C9F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Conditional sale agreement</w:t>
            </w:r>
          </w:p>
          <w:p w14:paraId="1A09B4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Pawn agreement</w:t>
            </w:r>
          </w:p>
          <w:p w14:paraId="01525FB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Bill of sale loan agreement</w:t>
            </w:r>
          </w:p>
          <w:p w14:paraId="502DE3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Green deal plan</w:t>
            </w:r>
          </w:p>
          <w:p w14:paraId="0B784D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None of these contract types</w:t>
            </w:r>
          </w:p>
          <w:p w14:paraId="213CC14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2CF88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EA60A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Hire-purchase agreement</w:t>
            </w:r>
          </w:p>
          <w:p w14:paraId="22EC65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hire-purchase agreement.</w:t>
            </w:r>
          </w:p>
          <w:p w14:paraId="61EE6E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Conditional sale agreement</w:t>
            </w:r>
          </w:p>
          <w:p w14:paraId="1318EE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conditional sale agreement.</w:t>
            </w:r>
          </w:p>
          <w:p w14:paraId="3E8E87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Pawn agreement</w:t>
            </w:r>
          </w:p>
          <w:p w14:paraId="7CE15B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for which the lender takes any article in pawn.</w:t>
            </w:r>
          </w:p>
          <w:p w14:paraId="6C9002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Bill of sale loan agreement</w:t>
            </w:r>
          </w:p>
          <w:p w14:paraId="6BC3FC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bill of sale loan agreement.</w:t>
            </w:r>
          </w:p>
          <w:p w14:paraId="58B39C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Green deal plan</w:t>
            </w:r>
          </w:p>
          <w:p w14:paraId="7D7FE6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also meets the criteria of a green deal plan.</w:t>
            </w:r>
          </w:p>
          <w:p w14:paraId="2EBE77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None of these contract types</w:t>
            </w:r>
          </w:p>
          <w:p w14:paraId="5BF607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regulated credit agreement which is not one of any of the above contract types.</w:t>
            </w:r>
          </w:p>
          <w:p w14:paraId="0883BB2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0AF32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above contract types."</w:t>
            </w:r>
          </w:p>
        </w:tc>
      </w:tr>
      <w:tr w:rsidR="00095E11" w14:paraId="6DEEE9E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2A8BE9C" w14:textId="77777777" w:rsidR="00095E11" w:rsidRPr="00F21C76" w:rsidRDefault="00095E11" w:rsidP="008D651F">
            <w:pPr>
              <w:pStyle w:val="BodyText"/>
            </w:pPr>
            <w:r w:rsidRPr="00BF1EB9">
              <w:lastRenderedPageBreak/>
              <w:t>51A</w:t>
            </w:r>
          </w:p>
        </w:tc>
        <w:tc>
          <w:tcPr>
            <w:tcW w:w="2410" w:type="dxa"/>
          </w:tcPr>
          <w:p w14:paraId="1EA525C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F1EB9">
              <w:t>Does the agreement meet the criteria of one of these agreement types as defined in the FCA Handbook?</w:t>
            </w:r>
          </w:p>
        </w:tc>
        <w:tc>
          <w:tcPr>
            <w:tcW w:w="2126" w:type="dxa"/>
          </w:tcPr>
          <w:p w14:paraId="40A681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High-cost short-term credit</w:t>
            </w:r>
          </w:p>
          <w:p w14:paraId="4EC056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Home credit loan agreement</w:t>
            </w:r>
          </w:p>
          <w:p w14:paraId="43CD761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RTO agreement</w:t>
            </w:r>
          </w:p>
          <w:p w14:paraId="3C3754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BNPL agreement</w:t>
            </w:r>
          </w:p>
          <w:p w14:paraId="31ABC2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None of these FCA Handbook definitions</w:t>
            </w:r>
          </w:p>
          <w:p w14:paraId="2562142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EACFB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D47D8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High-cost short-term credit</w:t>
            </w:r>
          </w:p>
          <w:p w14:paraId="1845D6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high-cost short-term credit.</w:t>
            </w:r>
          </w:p>
          <w:p w14:paraId="4A3B8E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Home credit loan agreement</w:t>
            </w:r>
          </w:p>
          <w:p w14:paraId="69CF3E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home credit loan agreement.</w:t>
            </w:r>
          </w:p>
          <w:p w14:paraId="4EAF9A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RTO agreement</w:t>
            </w:r>
          </w:p>
          <w:p w14:paraId="41D50A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an RTO agreement as set out in CONC 5B.7.1R(7). Note that, while similar, this is not the same as the criteria for a rent-to-own agreement.</w:t>
            </w:r>
          </w:p>
          <w:p w14:paraId="24F7C7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BNPL agreement</w:t>
            </w:r>
          </w:p>
          <w:p w14:paraId="50B973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BNPL agreement.</w:t>
            </w:r>
          </w:p>
          <w:p w14:paraId="758135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None of these FCA Handbook definitions</w:t>
            </w:r>
          </w:p>
          <w:p w14:paraId="78E33C1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is not one of any of the above agreement types.</w:t>
            </w:r>
          </w:p>
          <w:p w14:paraId="4086537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7C3DE7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above agreement types."</w:t>
            </w:r>
          </w:p>
        </w:tc>
      </w:tr>
      <w:tr w:rsidR="00095E11" w14:paraId="3158FF4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19083DD" w14:textId="77777777" w:rsidR="00095E11" w:rsidRPr="00F21C76" w:rsidRDefault="00095E11" w:rsidP="008D651F">
            <w:pPr>
              <w:pStyle w:val="BodyText"/>
            </w:pPr>
            <w:r w:rsidRPr="00DD38C1">
              <w:t>52A</w:t>
            </w:r>
          </w:p>
        </w:tc>
        <w:tc>
          <w:tcPr>
            <w:tcW w:w="2410" w:type="dxa"/>
          </w:tcPr>
          <w:p w14:paraId="201F5E4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D38C1">
              <w:t>End date of promotional period for BNPL credit</w:t>
            </w:r>
          </w:p>
        </w:tc>
        <w:tc>
          <w:tcPr>
            <w:tcW w:w="2126" w:type="dxa"/>
          </w:tcPr>
          <w:p w14:paraId="6E70649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75EE">
              <w:t>DD/MM/YYYY</w:t>
            </w:r>
          </w:p>
        </w:tc>
        <w:tc>
          <w:tcPr>
            <w:tcW w:w="3963" w:type="dxa"/>
          </w:tcPr>
          <w:p w14:paraId="68D0E7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75EE">
              <w:t>The end date of the promotional period for the BNPL credit.</w:t>
            </w:r>
          </w:p>
        </w:tc>
      </w:tr>
      <w:tr w:rsidR="00095E11" w14:paraId="576D40F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E465143" w14:textId="77777777" w:rsidR="00095E11" w:rsidRPr="00F21C76" w:rsidRDefault="00095E11" w:rsidP="008D651F">
            <w:pPr>
              <w:pStyle w:val="BodyText"/>
            </w:pPr>
            <w:r w:rsidRPr="00DD38C1">
              <w:t>53A</w:t>
            </w:r>
          </w:p>
        </w:tc>
        <w:tc>
          <w:tcPr>
            <w:tcW w:w="2410" w:type="dxa"/>
          </w:tcPr>
          <w:p w14:paraId="2AA8449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D38C1">
              <w:t>Type of goods or services provided by the supplier financed by the agreement</w:t>
            </w:r>
          </w:p>
        </w:tc>
        <w:tc>
          <w:tcPr>
            <w:tcW w:w="2126" w:type="dxa"/>
          </w:tcPr>
          <w:p w14:paraId="145C39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Motor vehicles</w:t>
            </w:r>
          </w:p>
          <w:p w14:paraId="3107C2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Mobility aids</w:t>
            </w:r>
          </w:p>
          <w:p w14:paraId="11B81F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Home improvement</w:t>
            </w:r>
          </w:p>
          <w:p w14:paraId="5F9AC1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D = Mobile phones</w:t>
            </w:r>
          </w:p>
          <w:p w14:paraId="4EF4FC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E = </w:t>
            </w:r>
            <w:proofErr w:type="spellStart"/>
            <w:r>
              <w:t>Jewellery</w:t>
            </w:r>
            <w:proofErr w:type="spellEnd"/>
            <w:r>
              <w:t xml:space="preserve"> and watches</w:t>
            </w:r>
          </w:p>
          <w:p w14:paraId="27803BC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Household goods</w:t>
            </w:r>
          </w:p>
          <w:p w14:paraId="7D828D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 Sports and leisure goods</w:t>
            </w:r>
          </w:p>
          <w:p w14:paraId="146BD4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 = Mobile homes</w:t>
            </w:r>
          </w:p>
          <w:p w14:paraId="07BD18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 = Agriculture equipment and supplies</w:t>
            </w:r>
          </w:p>
          <w:p w14:paraId="7C5BB7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J = Other plant machinery</w:t>
            </w:r>
          </w:p>
          <w:p w14:paraId="659D25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K = Office equipment</w:t>
            </w:r>
          </w:p>
          <w:p w14:paraId="58B7E0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L = Tools</w:t>
            </w:r>
          </w:p>
          <w:p w14:paraId="212AB0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M = Health care and medical care</w:t>
            </w:r>
          </w:p>
          <w:p w14:paraId="7DCAFA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Education and training</w:t>
            </w:r>
          </w:p>
          <w:p w14:paraId="6EE6E7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 = Travel</w:t>
            </w:r>
          </w:p>
          <w:p w14:paraId="2B5227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 Legal services</w:t>
            </w:r>
          </w:p>
          <w:p w14:paraId="09CE6C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Q = Insurance premiums</w:t>
            </w:r>
          </w:p>
          <w:p w14:paraId="4F2AC9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 = Membership and subscription fees</w:t>
            </w:r>
          </w:p>
          <w:p w14:paraId="377228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 Other goods</w:t>
            </w:r>
          </w:p>
          <w:p w14:paraId="319588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 Other services</w:t>
            </w:r>
          </w:p>
          <w:p w14:paraId="50A7A87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AF689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"If more than one type of goods or services are financed by the regulated credit agreement, the reporting firm should select the type of goods or services which accounted for the greatest portion of the total amount of credit.</w:t>
            </w:r>
          </w:p>
          <w:p w14:paraId="6EF7EE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88505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621ED2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3844D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59273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vehicles</w:t>
            </w:r>
          </w:p>
          <w:p w14:paraId="2E536A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wheeled, mechanically propelled vehicle intended or adapted for use on roads.</w:t>
            </w:r>
          </w:p>
          <w:p w14:paraId="5122AE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Mobility aids</w:t>
            </w:r>
          </w:p>
          <w:p w14:paraId="3A7AD4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device designed to assist walking or otherwise improve the mobility of people with a mobility impairment.</w:t>
            </w:r>
          </w:p>
          <w:p w14:paraId="153DC9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E5656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‘A: Motor vehicles’.</w:t>
            </w:r>
          </w:p>
          <w:p w14:paraId="513F87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Home improvement</w:t>
            </w:r>
          </w:p>
          <w:p w14:paraId="0D3CCC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Additions to, renovations of or repair of a residential property which involve professional services, including but not limited to installation.</w:t>
            </w:r>
          </w:p>
          <w:p w14:paraId="7083F6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8683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‘B: Mobility aids’, even if they involved professional installation.</w:t>
            </w:r>
          </w:p>
          <w:p w14:paraId="707EA0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Mobile phones</w:t>
            </w:r>
          </w:p>
          <w:p w14:paraId="44D8F8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Mobile phone handsets, smart watches and associated accessories.</w:t>
            </w:r>
          </w:p>
          <w:p w14:paraId="52CCAA5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E: </w:t>
            </w:r>
            <w:proofErr w:type="spellStart"/>
            <w:r>
              <w:t>Jewellery</w:t>
            </w:r>
            <w:proofErr w:type="spellEnd"/>
            <w:r>
              <w:t xml:space="preserve"> and watches</w:t>
            </w:r>
          </w:p>
          <w:p w14:paraId="10B04A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‘D: Mobile phones’."</w:t>
            </w:r>
          </w:p>
          <w:p w14:paraId="56275B2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Household goods</w:t>
            </w:r>
          </w:p>
          <w:p w14:paraId="3EE1DA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Goods which are normally found in a residential home, including but not limited to furniture, kitchen appliances (such as cookers, washing machines and dryers, microwaves, refrigerators, and freezers), electronic and technological goods (such as vacuum cleaners, televisions and </w:t>
            </w:r>
            <w:r>
              <w:lastRenderedPageBreak/>
              <w:t>accessories, music systems and accessories, games consoles and accessories, computers, and tablets and accessories).</w:t>
            </w:r>
          </w:p>
          <w:p w14:paraId="7988B5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A898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should not include goods covered by ‘B: Mobility aids’, ‘D: Mobile phones’, or ‘E: </w:t>
            </w:r>
            <w:proofErr w:type="spellStart"/>
            <w:r>
              <w:t>Jewellery</w:t>
            </w:r>
            <w:proofErr w:type="spellEnd"/>
            <w:r>
              <w:t xml:space="preserve"> and watches’.</w:t>
            </w:r>
          </w:p>
          <w:p w14:paraId="3AF59A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Sports and leisure goods</w:t>
            </w:r>
          </w:p>
          <w:p w14:paraId="7B3824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used primarily for sports or leisure.</w:t>
            </w:r>
          </w:p>
          <w:p w14:paraId="33D8D7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 Mobile homes</w:t>
            </w:r>
          </w:p>
          <w:p w14:paraId="20C226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Static caravans, park homes and lodges which can be transported from place to place.</w:t>
            </w:r>
          </w:p>
          <w:p w14:paraId="5340F7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 Agriculture equipment and supplies</w:t>
            </w:r>
          </w:p>
          <w:p w14:paraId="7E5B3C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intended to be used for agricultural purposes.</w:t>
            </w:r>
          </w:p>
          <w:p w14:paraId="0D3969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J: Other plant machinery</w:t>
            </w:r>
          </w:p>
          <w:p w14:paraId="6E88C8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‘I: Agriculture equipment and supplies’.</w:t>
            </w:r>
          </w:p>
          <w:p w14:paraId="107131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K: Office equipment</w:t>
            </w:r>
          </w:p>
          <w:p w14:paraId="6192A9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which are normally found in a commercial office.</w:t>
            </w:r>
          </w:p>
          <w:p w14:paraId="527F5D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L: Tools</w:t>
            </w:r>
          </w:p>
          <w:p w14:paraId="7B41BB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Handheld tools.</w:t>
            </w:r>
          </w:p>
          <w:p w14:paraId="23B8CA9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34186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‘I: Agriculture equipment and supplies’, ‘J: Other plant machinery’, or ‘K: Office equipment’."</w:t>
            </w:r>
          </w:p>
          <w:p w14:paraId="03BFC6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"M: Health care and medical care</w:t>
            </w:r>
          </w:p>
          <w:p w14:paraId="6F1E0F8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Health care and medical care procedures, and equipment associated with health care and medical care.</w:t>
            </w:r>
          </w:p>
          <w:p w14:paraId="6F46BC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7B384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procedures carried out for cosmetic purposes.</w:t>
            </w:r>
          </w:p>
          <w:p w14:paraId="0CE7A1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Education and training</w:t>
            </w:r>
          </w:p>
          <w:p w14:paraId="2D2D18F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Fees for education and training, and any living costs associated with education and training.</w:t>
            </w:r>
          </w:p>
          <w:p w14:paraId="3624139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 Travel</w:t>
            </w:r>
          </w:p>
          <w:p w14:paraId="2110BA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Services relating to travelling or the making of travel arrangements.</w:t>
            </w:r>
          </w:p>
          <w:p w14:paraId="19C382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Legal services</w:t>
            </w:r>
          </w:p>
          <w:p w14:paraId="7C762C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Legal services associated with litigation.</w:t>
            </w:r>
          </w:p>
          <w:p w14:paraId="5C9633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Q: Insurance premiums</w:t>
            </w:r>
          </w:p>
          <w:p w14:paraId="09443D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Premiums for general insurance contracts.</w:t>
            </w:r>
          </w:p>
          <w:p w14:paraId="1A06A7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 Membership and subscription fees</w:t>
            </w:r>
          </w:p>
          <w:p w14:paraId="0C4812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Fees to cover memberships and subscriptions.</w:t>
            </w:r>
          </w:p>
          <w:p w14:paraId="440B2D6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BD95B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services covered by ‘N: Education and training’.</w:t>
            </w:r>
          </w:p>
          <w:p w14:paraId="5CAA48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Other goods</w:t>
            </w:r>
          </w:p>
          <w:p w14:paraId="0BBDAF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which are not any of the specific options above.</w:t>
            </w:r>
          </w:p>
          <w:p w14:paraId="06F918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Other services</w:t>
            </w:r>
          </w:p>
          <w:p w14:paraId="1D3534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Services which are not any of the specific options above.</w:t>
            </w:r>
          </w:p>
          <w:p w14:paraId="1D2A7D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22B6F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or services which the reporting firm cannot determine to be one of the specific options above."</w:t>
            </w:r>
          </w:p>
        </w:tc>
      </w:tr>
      <w:tr w:rsidR="00095E11" w14:paraId="79635E1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5618193" w14:textId="77777777" w:rsidR="00095E11" w:rsidRPr="00F21C76" w:rsidRDefault="00095E11" w:rsidP="008D651F">
            <w:pPr>
              <w:pStyle w:val="BodyText"/>
            </w:pPr>
            <w:r w:rsidRPr="005D24A6">
              <w:lastRenderedPageBreak/>
              <w:t>54A</w:t>
            </w:r>
          </w:p>
        </w:tc>
        <w:tc>
          <w:tcPr>
            <w:tcW w:w="2410" w:type="dxa"/>
          </w:tcPr>
          <w:p w14:paraId="58B49FF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D24A6">
              <w:t>Was the motor vehicle financed new or used?</w:t>
            </w:r>
          </w:p>
        </w:tc>
        <w:tc>
          <w:tcPr>
            <w:tcW w:w="2126" w:type="dxa"/>
          </w:tcPr>
          <w:p w14:paraId="2469D6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New</w:t>
            </w:r>
          </w:p>
          <w:p w14:paraId="0B5495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Used</w:t>
            </w:r>
          </w:p>
          <w:p w14:paraId="4700D0E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55AB0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032806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182BDE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FBC058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New</w:t>
            </w:r>
          </w:p>
          <w:p w14:paraId="6B2E2A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motor vehicle financed by the regulated credit agreement has not previously been used or owned by </w:t>
            </w:r>
            <w:r>
              <w:lastRenderedPageBreak/>
              <w:t>another consumer prior to the start of the regulated credit agreement.</w:t>
            </w:r>
          </w:p>
          <w:p w14:paraId="6511D1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Used</w:t>
            </w:r>
          </w:p>
          <w:p w14:paraId="779872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motor vehicle financed by the regulated credit agreement has been previously used or owned by another consumer prior to the start of the regulated credit agreement.</w:t>
            </w:r>
          </w:p>
          <w:p w14:paraId="2E5B9A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B3132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motor vehicle financed by the regulated credit agreement has been previously used by another consumer, prior to the start of the regulated credit agreement."</w:t>
            </w:r>
          </w:p>
        </w:tc>
      </w:tr>
      <w:tr w:rsidR="00095E11" w14:paraId="0E1010D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41D289D" w14:textId="77777777" w:rsidR="00095E11" w:rsidRPr="00F21C76" w:rsidRDefault="00095E11" w:rsidP="008D651F">
            <w:pPr>
              <w:pStyle w:val="BodyText"/>
            </w:pPr>
            <w:r w:rsidRPr="005D24A6">
              <w:lastRenderedPageBreak/>
              <w:t>55A</w:t>
            </w:r>
          </w:p>
        </w:tc>
        <w:tc>
          <w:tcPr>
            <w:tcW w:w="2410" w:type="dxa"/>
          </w:tcPr>
          <w:p w14:paraId="1DABF8E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D24A6">
              <w:t>Type of motor vehicle financed</w:t>
            </w:r>
          </w:p>
        </w:tc>
        <w:tc>
          <w:tcPr>
            <w:tcW w:w="2126" w:type="dxa"/>
          </w:tcPr>
          <w:p w14:paraId="6978CF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Car</w:t>
            </w:r>
          </w:p>
          <w:p w14:paraId="5ABB29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Motorhomes and campervans</w:t>
            </w:r>
          </w:p>
          <w:p w14:paraId="59293D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Motorbike including scooters</w:t>
            </w:r>
          </w:p>
          <w:p w14:paraId="1E1FE6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Light goods vehicle</w:t>
            </w:r>
          </w:p>
          <w:p w14:paraId="48E3D1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type of motor vehicle</w:t>
            </w:r>
          </w:p>
          <w:p w14:paraId="66F1AA1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016B5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623CFE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90DDD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3FAA28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Car</w:t>
            </w:r>
          </w:p>
          <w:p w14:paraId="4138EE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4-wheeled passenger motor vehicle.</w:t>
            </w:r>
          </w:p>
          <w:p w14:paraId="4027601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Motorhomes and campervans</w:t>
            </w:r>
          </w:p>
          <w:p w14:paraId="419D54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 with living accommodation.</w:t>
            </w:r>
          </w:p>
          <w:p w14:paraId="4BB600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Motorbike including scooters</w:t>
            </w:r>
          </w:p>
          <w:p w14:paraId="2040113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2-wheeled motor vehicle.</w:t>
            </w:r>
          </w:p>
          <w:p w14:paraId="54E240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Light goods vehicle</w:t>
            </w:r>
          </w:p>
          <w:p w14:paraId="06C5EC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 designed for the carriage of goods, not exceeding 3,500kg.</w:t>
            </w:r>
          </w:p>
          <w:p w14:paraId="71FE5E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type of motor vehicle</w:t>
            </w:r>
          </w:p>
          <w:p w14:paraId="468CBB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other known motor vehicle type not covered by the specified options above.</w:t>
            </w:r>
          </w:p>
          <w:p w14:paraId="20147F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D609A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 which the reporting firm is unable to determine to be one of the specific options above."</w:t>
            </w:r>
          </w:p>
        </w:tc>
      </w:tr>
      <w:tr w:rsidR="00095E11" w14:paraId="7CFA7A2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9632DD9" w14:textId="77777777" w:rsidR="00095E11" w:rsidRPr="00F21C76" w:rsidRDefault="00095E11" w:rsidP="008D651F">
            <w:pPr>
              <w:pStyle w:val="BodyText"/>
            </w:pPr>
            <w:r w:rsidRPr="00BC5BE4">
              <w:lastRenderedPageBreak/>
              <w:t>56A</w:t>
            </w:r>
          </w:p>
        </w:tc>
        <w:tc>
          <w:tcPr>
            <w:tcW w:w="2410" w:type="dxa"/>
          </w:tcPr>
          <w:p w14:paraId="0CE2AF9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C5BE4">
              <w:t>Is the hire-purchase agreement a personal contract purchase agreement?</w:t>
            </w:r>
          </w:p>
        </w:tc>
        <w:tc>
          <w:tcPr>
            <w:tcW w:w="2126" w:type="dxa"/>
          </w:tcPr>
          <w:p w14:paraId="6F76A1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351012B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4AB5C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A44F0">
              <w:t>Whether the hire-purchase agreement includes a guaranteed minimum future value of the motor vehicle which is set out as an optional additional repayment at the end of the regulated credit agreement, with the option for the borrower(s) to return the motor vehicle instead of making that repayment.</w:t>
            </w:r>
          </w:p>
        </w:tc>
      </w:tr>
      <w:tr w:rsidR="00095E11" w14:paraId="64EAF0A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02C7F3C" w14:textId="77777777" w:rsidR="00095E11" w:rsidRPr="00F21C76" w:rsidRDefault="00095E11" w:rsidP="008D651F">
            <w:pPr>
              <w:pStyle w:val="BodyText"/>
            </w:pPr>
            <w:r w:rsidRPr="00BC5BE4">
              <w:t>57A</w:t>
            </w:r>
          </w:p>
        </w:tc>
        <w:tc>
          <w:tcPr>
            <w:tcW w:w="2410" w:type="dxa"/>
          </w:tcPr>
          <w:p w14:paraId="3619F7A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C5BE4">
              <w:t>Guaranteed minimum future value</w:t>
            </w:r>
          </w:p>
        </w:tc>
        <w:tc>
          <w:tcPr>
            <w:tcW w:w="2126" w:type="dxa"/>
          </w:tcPr>
          <w:p w14:paraId="1D3E161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72251">
              <w:t>Numeric £</w:t>
            </w:r>
          </w:p>
        </w:tc>
        <w:tc>
          <w:tcPr>
            <w:tcW w:w="3963" w:type="dxa"/>
          </w:tcPr>
          <w:p w14:paraId="71E122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A44F0">
              <w:t>The guaranteed minimum future value of the motor vehicle which is set out as an optional additional repayment at the end of the regulated credit agreement, with the option for the borrower(s) to return the motor vehicle instead of making that repayment.</w:t>
            </w:r>
          </w:p>
        </w:tc>
      </w:tr>
      <w:tr w:rsidR="00095E11" w14:paraId="7104E4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41FDC04" w14:textId="77777777" w:rsidR="00095E11" w:rsidRPr="00F21C76" w:rsidRDefault="00095E11" w:rsidP="008D651F">
            <w:pPr>
              <w:pStyle w:val="BodyText"/>
            </w:pPr>
            <w:r w:rsidRPr="00551A6C">
              <w:t>58A</w:t>
            </w:r>
          </w:p>
        </w:tc>
        <w:tc>
          <w:tcPr>
            <w:tcW w:w="2410" w:type="dxa"/>
          </w:tcPr>
          <w:p w14:paraId="75483DA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51A6C">
              <w:t>Anticipated annual mileage</w:t>
            </w:r>
          </w:p>
        </w:tc>
        <w:tc>
          <w:tcPr>
            <w:tcW w:w="2126" w:type="dxa"/>
          </w:tcPr>
          <w:p w14:paraId="6F71EBF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51A6C">
              <w:t>Numeric</w:t>
            </w:r>
          </w:p>
        </w:tc>
        <w:tc>
          <w:tcPr>
            <w:tcW w:w="3963" w:type="dxa"/>
          </w:tcPr>
          <w:p w14:paraId="007704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A44F0">
              <w:t>The anticipated annual mileage used, in part, to determine the guaranteed minimum future value for a motor vehicle under the regulated credit agreement.</w:t>
            </w:r>
          </w:p>
        </w:tc>
      </w:tr>
      <w:tr w:rsidR="00095E11" w14:paraId="5AE2576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3D0D503" w14:textId="77777777" w:rsidR="00095E11" w:rsidRPr="00F21C76" w:rsidRDefault="00095E11" w:rsidP="008D651F">
            <w:pPr>
              <w:pStyle w:val="BodyText"/>
            </w:pPr>
            <w:r w:rsidRPr="00F54ADD">
              <w:t>59A</w:t>
            </w:r>
          </w:p>
        </w:tc>
        <w:tc>
          <w:tcPr>
            <w:tcW w:w="2410" w:type="dxa"/>
          </w:tcPr>
          <w:p w14:paraId="5D88AE1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ADD">
              <w:t>Declared purpose of borrowing</w:t>
            </w:r>
          </w:p>
        </w:tc>
        <w:tc>
          <w:tcPr>
            <w:tcW w:w="2126" w:type="dxa"/>
          </w:tcPr>
          <w:p w14:paraId="5F8B14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Debt consolidation loan – reporting firm’s group only</w:t>
            </w:r>
          </w:p>
          <w:p w14:paraId="75ACA6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Debt consolidation loan – not reporting firm’s group only</w:t>
            </w:r>
          </w:p>
          <w:p w14:paraId="7B7D31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Debt consolidation loan – unspecified</w:t>
            </w:r>
          </w:p>
          <w:p w14:paraId="0CE6BE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Motor vehicle loan</w:t>
            </w:r>
          </w:p>
          <w:p w14:paraId="0B3607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Home improvement loan</w:t>
            </w:r>
          </w:p>
          <w:p w14:paraId="32DC98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Wedding loan</w:t>
            </w:r>
          </w:p>
          <w:p w14:paraId="53D1481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Holiday loan</w:t>
            </w:r>
          </w:p>
          <w:p w14:paraId="1EC6C1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Student loan</w:t>
            </w:r>
          </w:p>
          <w:p w14:paraId="49FF88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declared purpose</w:t>
            </w:r>
          </w:p>
          <w:p w14:paraId="6B1200A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 purpose"</w:t>
            </w:r>
          </w:p>
        </w:tc>
        <w:tc>
          <w:tcPr>
            <w:tcW w:w="3963" w:type="dxa"/>
          </w:tcPr>
          <w:p w14:paraId="2CB0FD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purpose of the borrowing, if any, declared by the borrower(s) in their application.</w:t>
            </w:r>
          </w:p>
          <w:p w14:paraId="1CF581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6D51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more than one purpose was declared by the borrower(s), the reporting firm should select the purpose which accounted for the greatest portion of the total amount of credit.</w:t>
            </w:r>
          </w:p>
          <w:p w14:paraId="29CDBAF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489C7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44C8C7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587A3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F88A3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Debt consolidation loan – reporting firm’s group only</w:t>
            </w:r>
          </w:p>
          <w:p w14:paraId="58032E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To pay off existing credit commitments of the borrower with the </w:t>
            </w:r>
            <w:r>
              <w:lastRenderedPageBreak/>
              <w:t>reporting firm or person(s) in the reporting firm’s group.</w:t>
            </w:r>
          </w:p>
          <w:p w14:paraId="0D19D1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Debt consolidation loan – not reporting firm’s group only</w:t>
            </w:r>
          </w:p>
          <w:p w14:paraId="328573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pay off existing credit commitments of the borrower, not all of which are with the reporting firm or person(s) in the reporting firm’s group.</w:t>
            </w:r>
          </w:p>
          <w:p w14:paraId="44BF55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Debt consolidation loan – unspecified</w:t>
            </w:r>
          </w:p>
          <w:p w14:paraId="7B3C15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pay off existing credit commitments of the borrower, the makeup of which is not recorded."</w:t>
            </w:r>
          </w:p>
          <w:p w14:paraId="4B11BB7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Motor vehicle loan</w:t>
            </w:r>
          </w:p>
          <w:p w14:paraId="0251E1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purchase a wheeled, mechanically propelled vehicle intended or adapted for use on roads.</w:t>
            </w:r>
          </w:p>
          <w:p w14:paraId="1A33B6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Home improvement loan</w:t>
            </w:r>
          </w:p>
          <w:p w14:paraId="4CF0BD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pay for home improvements.</w:t>
            </w:r>
          </w:p>
          <w:p w14:paraId="4A998E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Wedding loan</w:t>
            </w:r>
          </w:p>
          <w:p w14:paraId="7FF22D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be used for costs associated with a wedding.</w:t>
            </w:r>
          </w:p>
          <w:p w14:paraId="08CB26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Holiday loan</w:t>
            </w:r>
          </w:p>
          <w:p w14:paraId="748F50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be used to pay for costs associated with holidays.</w:t>
            </w:r>
          </w:p>
          <w:p w14:paraId="390CBA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Student loan</w:t>
            </w:r>
          </w:p>
          <w:p w14:paraId="385383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be used to pay for costs associated with education and training, either direct costs such as fees or associated living costs.</w:t>
            </w:r>
          </w:p>
          <w:p w14:paraId="76E1C3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declared purpose</w:t>
            </w:r>
          </w:p>
          <w:p w14:paraId="4E2314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purpose of borrowing is recorded which is not covered by the specified options above.</w:t>
            </w:r>
          </w:p>
          <w:p w14:paraId="32CCD2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 purpose</w:t>
            </w:r>
          </w:p>
          <w:p w14:paraId="76C411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 declared purpose of borrowing is recorded."</w:t>
            </w:r>
          </w:p>
        </w:tc>
      </w:tr>
      <w:tr w:rsidR="00095E11" w14:paraId="0066965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8406DD3" w14:textId="77777777" w:rsidR="00095E11" w:rsidRPr="00F21C76" w:rsidRDefault="00095E11" w:rsidP="008D651F">
            <w:pPr>
              <w:pStyle w:val="BodyText"/>
            </w:pPr>
            <w:r w:rsidRPr="005F649D">
              <w:lastRenderedPageBreak/>
              <w:t>60A</w:t>
            </w:r>
          </w:p>
        </w:tc>
        <w:tc>
          <w:tcPr>
            <w:tcW w:w="2410" w:type="dxa"/>
          </w:tcPr>
          <w:p w14:paraId="1AC21C3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F649D">
              <w:t>Was any portion of the loan for direct payment to existing creditors?</w:t>
            </w:r>
          </w:p>
        </w:tc>
        <w:tc>
          <w:tcPr>
            <w:tcW w:w="2126" w:type="dxa"/>
          </w:tcPr>
          <w:p w14:paraId="23C0ED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3B75752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241CD0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47203">
              <w:t>Whether all or part of the amount borrowed for debt consolidation included direct payment(s) by the reporting firm to the borrower(s)’ existing creditor(s).</w:t>
            </w:r>
          </w:p>
        </w:tc>
      </w:tr>
      <w:tr w:rsidR="00095E11" w14:paraId="22C4523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AA20E45" w14:textId="77777777" w:rsidR="00095E11" w:rsidRPr="00F21C76" w:rsidRDefault="00095E11" w:rsidP="008D651F">
            <w:pPr>
              <w:pStyle w:val="BodyText"/>
            </w:pPr>
            <w:r w:rsidRPr="005F649D">
              <w:lastRenderedPageBreak/>
              <w:t>61A</w:t>
            </w:r>
          </w:p>
        </w:tc>
        <w:tc>
          <w:tcPr>
            <w:tcW w:w="2410" w:type="dxa"/>
          </w:tcPr>
          <w:p w14:paraId="360A73A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F649D">
              <w:t>Value of direct payments to existing creditors</w:t>
            </w:r>
          </w:p>
        </w:tc>
        <w:tc>
          <w:tcPr>
            <w:tcW w:w="2126" w:type="dxa"/>
          </w:tcPr>
          <w:p w14:paraId="4A03252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F21B3">
              <w:t>Numeric £</w:t>
            </w:r>
          </w:p>
        </w:tc>
        <w:tc>
          <w:tcPr>
            <w:tcW w:w="3963" w:type="dxa"/>
          </w:tcPr>
          <w:p w14:paraId="75B458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47203">
              <w:t>The value of the amount borrowed for debt consolidation which was directly paid by the reporting firm to the borrower(s)' existing creditor(s).</w:t>
            </w:r>
          </w:p>
        </w:tc>
      </w:tr>
      <w:tr w:rsidR="00095E11" w14:paraId="5436FB8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091F066" w14:textId="77777777" w:rsidR="00095E11" w:rsidRPr="00F21C76" w:rsidRDefault="00095E11" w:rsidP="008D651F">
            <w:pPr>
              <w:pStyle w:val="BodyText"/>
            </w:pPr>
            <w:r w:rsidRPr="00130DBC">
              <w:t>62A</w:t>
            </w:r>
          </w:p>
        </w:tc>
        <w:tc>
          <w:tcPr>
            <w:tcW w:w="2410" w:type="dxa"/>
          </w:tcPr>
          <w:p w14:paraId="59C067A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Is the borrower a natural person acting as a sole trader or a relevant recipient of credit?</w:t>
            </w:r>
          </w:p>
        </w:tc>
        <w:tc>
          <w:tcPr>
            <w:tcW w:w="2126" w:type="dxa"/>
          </w:tcPr>
          <w:p w14:paraId="455529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Natural person</w:t>
            </w:r>
          </w:p>
          <w:p w14:paraId="6F14476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Relevant recipient of credit"</w:t>
            </w:r>
          </w:p>
        </w:tc>
        <w:tc>
          <w:tcPr>
            <w:tcW w:w="3963" w:type="dxa"/>
          </w:tcPr>
          <w:p w14:paraId="78038A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ADB27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Natural person</w:t>
            </w:r>
          </w:p>
          <w:p w14:paraId="049824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natural person acting as a sole trader.</w:t>
            </w:r>
          </w:p>
          <w:p w14:paraId="5BAB65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Relevant recipient of credit</w:t>
            </w:r>
          </w:p>
          <w:p w14:paraId="59547A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relevant recipient of credit means:</w:t>
            </w:r>
          </w:p>
          <w:p w14:paraId="18FEEC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a partnership consisting of 2 or 3 persons not all of whom are bodies corporate; or</w:t>
            </w:r>
          </w:p>
          <w:p w14:paraId="06B120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an unincorporated body of persons which does not consist entirely of bodies corporate and is not a partnership."</w:t>
            </w:r>
          </w:p>
        </w:tc>
      </w:tr>
      <w:tr w:rsidR="00095E11" w14:paraId="0791DE2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C5C2768" w14:textId="77777777" w:rsidR="00095E11" w:rsidRPr="00F21C76" w:rsidRDefault="00095E11" w:rsidP="008D651F">
            <w:pPr>
              <w:pStyle w:val="BodyText"/>
            </w:pPr>
            <w:r w:rsidRPr="00130DBC">
              <w:t>63A</w:t>
            </w:r>
          </w:p>
        </w:tc>
        <w:tc>
          <w:tcPr>
            <w:tcW w:w="2410" w:type="dxa"/>
          </w:tcPr>
          <w:p w14:paraId="5660B7E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Reporting firm’s unique reference for relevant recipient of credit</w:t>
            </w:r>
          </w:p>
        </w:tc>
        <w:tc>
          <w:tcPr>
            <w:tcW w:w="2126" w:type="dxa"/>
          </w:tcPr>
          <w:p w14:paraId="577C84D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67B1">
              <w:t>Alphanumeric</w:t>
            </w:r>
          </w:p>
        </w:tc>
        <w:tc>
          <w:tcPr>
            <w:tcW w:w="3963" w:type="dxa"/>
          </w:tcPr>
          <w:p w14:paraId="5F0211F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unique reference used by the reporting firm in its records to identify the relevant recipient of credit acting as the borrower under the regulated credit agreement.</w:t>
            </w:r>
          </w:p>
          <w:p w14:paraId="6D77F7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E7174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unique reference must be used consistently for the same borrower in any performance data reports for the regulated credit agreement.</w:t>
            </w:r>
          </w:p>
          <w:p w14:paraId="519A0E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E358D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unique reference for the same relevant recipient of credit, across all relevant regulated credit agreements included in the reporting firm’s back-book, sales and performance data reports."</w:t>
            </w:r>
          </w:p>
        </w:tc>
      </w:tr>
      <w:tr w:rsidR="00095E11" w14:paraId="286B8E3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204C5C8" w14:textId="77777777" w:rsidR="00095E11" w:rsidRPr="00F21C76" w:rsidRDefault="00095E11" w:rsidP="008D651F">
            <w:pPr>
              <w:pStyle w:val="BodyText"/>
            </w:pPr>
            <w:r w:rsidRPr="00130DBC">
              <w:t>64A</w:t>
            </w:r>
          </w:p>
        </w:tc>
        <w:tc>
          <w:tcPr>
            <w:tcW w:w="2410" w:type="dxa"/>
          </w:tcPr>
          <w:p w14:paraId="0C2438F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Name of relevant recipient of credit</w:t>
            </w:r>
          </w:p>
        </w:tc>
        <w:tc>
          <w:tcPr>
            <w:tcW w:w="2126" w:type="dxa"/>
          </w:tcPr>
          <w:p w14:paraId="64A91A4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67B1">
              <w:t>Alphanumeric</w:t>
            </w:r>
          </w:p>
        </w:tc>
        <w:tc>
          <w:tcPr>
            <w:tcW w:w="3963" w:type="dxa"/>
          </w:tcPr>
          <w:p w14:paraId="466193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6C52">
              <w:t>The name of the relevant recipient of credit acting as the borrower under the regulated credit agreement.</w:t>
            </w:r>
          </w:p>
        </w:tc>
      </w:tr>
      <w:tr w:rsidR="00095E11" w14:paraId="7040455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3AE40A" w14:textId="77777777" w:rsidR="00095E11" w:rsidRPr="00F21C76" w:rsidRDefault="00095E11" w:rsidP="008D651F">
            <w:pPr>
              <w:pStyle w:val="BodyText"/>
            </w:pPr>
            <w:r w:rsidRPr="00130DBC">
              <w:lastRenderedPageBreak/>
              <w:t>65A</w:t>
            </w:r>
          </w:p>
        </w:tc>
        <w:tc>
          <w:tcPr>
            <w:tcW w:w="2410" w:type="dxa"/>
          </w:tcPr>
          <w:p w14:paraId="0B4B1F3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Number of borrowers named in the agreement</w:t>
            </w:r>
          </w:p>
        </w:tc>
        <w:tc>
          <w:tcPr>
            <w:tcW w:w="2126" w:type="dxa"/>
          </w:tcPr>
          <w:p w14:paraId="5BFA253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67B1">
              <w:t>Numeric</w:t>
            </w:r>
          </w:p>
        </w:tc>
        <w:tc>
          <w:tcPr>
            <w:tcW w:w="3963" w:type="dxa"/>
          </w:tcPr>
          <w:p w14:paraId="2671FE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number of natural persons who are named as a borrower under the regulated credit agreement.</w:t>
            </w:r>
          </w:p>
          <w:p w14:paraId="7E43206F" w14:textId="77777777" w:rsidR="00095E11" w:rsidRPr="008B7D3E"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8B7D3E">
              <w:rPr>
                <w:b/>
                <w:bCs/>
              </w:rPr>
              <w:t>This should not include natural persons who are not named under the regulated credit agreement but who have access to the facility, such as additional card holders."</w:t>
            </w:r>
          </w:p>
        </w:tc>
      </w:tr>
      <w:tr w:rsidR="00095E11" w14:paraId="31B9A33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CB241DF" w14:textId="77777777" w:rsidR="00095E11" w:rsidRPr="00F21C76" w:rsidRDefault="00095E11" w:rsidP="008D651F">
            <w:pPr>
              <w:pStyle w:val="BodyText"/>
            </w:pPr>
            <w:r w:rsidRPr="003A2B83">
              <w:t>66A</w:t>
            </w:r>
          </w:p>
        </w:tc>
        <w:tc>
          <w:tcPr>
            <w:tcW w:w="2410" w:type="dxa"/>
          </w:tcPr>
          <w:p w14:paraId="0D960BAA"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A2B83">
              <w:t>Reporting firm’s unique reference for natural person acting as borrower</w:t>
            </w:r>
          </w:p>
        </w:tc>
        <w:tc>
          <w:tcPr>
            <w:tcW w:w="2126" w:type="dxa"/>
          </w:tcPr>
          <w:p w14:paraId="504A31C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A2B83">
              <w:t>Alphanumeric</w:t>
            </w:r>
          </w:p>
        </w:tc>
        <w:tc>
          <w:tcPr>
            <w:tcW w:w="3963" w:type="dxa"/>
          </w:tcPr>
          <w:p w14:paraId="496481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unique reference used by the reporting firm in its records to identify the natural person acting as a borrower under the regulated credit agreement.</w:t>
            </w:r>
          </w:p>
          <w:p w14:paraId="2FD82F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3B227C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the natural person’s name or a derivation of their name.</w:t>
            </w:r>
          </w:p>
          <w:p w14:paraId="34ACD0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4DA4F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unique reference must be used consistently for the same borrower in any performance data reports for the regulated credit agreement.</w:t>
            </w:r>
          </w:p>
          <w:p w14:paraId="262DA5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0344E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unique reference for the same natural person, across all relevant regulated credit agreements included in the reporting firm’s back-book, sales and performance data reports. This includes a unique reference for any natural person who has provided the guarantee or the indemnity (or both) in relation to a relevant regulated credit agreement."</w:t>
            </w:r>
          </w:p>
        </w:tc>
      </w:tr>
      <w:tr w:rsidR="00095E11" w14:paraId="33CE115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9B6A927" w14:textId="77777777" w:rsidR="00095E11" w:rsidRPr="00F21C76" w:rsidRDefault="00095E11" w:rsidP="008D651F">
            <w:pPr>
              <w:pStyle w:val="BodyText"/>
            </w:pPr>
            <w:r w:rsidRPr="004D40A4">
              <w:t>66B</w:t>
            </w:r>
          </w:p>
        </w:tc>
        <w:tc>
          <w:tcPr>
            <w:tcW w:w="2410" w:type="dxa"/>
          </w:tcPr>
          <w:p w14:paraId="2F841DE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D40A4">
              <w:t>Borrower’s date of birth</w:t>
            </w:r>
          </w:p>
        </w:tc>
        <w:tc>
          <w:tcPr>
            <w:tcW w:w="2126" w:type="dxa"/>
          </w:tcPr>
          <w:p w14:paraId="7A7BED7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D40A4">
              <w:t>DD/MM/YYYY</w:t>
            </w:r>
          </w:p>
        </w:tc>
        <w:tc>
          <w:tcPr>
            <w:tcW w:w="3963" w:type="dxa"/>
          </w:tcPr>
          <w:p w14:paraId="7F5325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D40A4">
              <w:t>The date of birth of the natural person acting as a borrower under the regulated credit agreement.</w:t>
            </w:r>
          </w:p>
        </w:tc>
      </w:tr>
      <w:tr w:rsidR="00095E11" w14:paraId="3E88547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7D2B3A" w14:textId="77777777" w:rsidR="00095E11" w:rsidRPr="00F21C76" w:rsidRDefault="00095E11" w:rsidP="008D651F">
            <w:pPr>
              <w:pStyle w:val="BodyText"/>
            </w:pPr>
            <w:r w:rsidRPr="002B2C05">
              <w:t>66C</w:t>
            </w:r>
          </w:p>
        </w:tc>
        <w:tc>
          <w:tcPr>
            <w:tcW w:w="2410" w:type="dxa"/>
          </w:tcPr>
          <w:p w14:paraId="73F00F0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B2C05">
              <w:t>Borrower’s residential address type</w:t>
            </w:r>
          </w:p>
        </w:tc>
        <w:tc>
          <w:tcPr>
            <w:tcW w:w="2126" w:type="dxa"/>
          </w:tcPr>
          <w:p w14:paraId="5B7CAF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United Kingdom</w:t>
            </w:r>
          </w:p>
          <w:p w14:paraId="596EFB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British Forces Post Office</w:t>
            </w:r>
          </w:p>
          <w:p w14:paraId="11A57C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Overseas</w:t>
            </w:r>
          </w:p>
          <w:p w14:paraId="149BA9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 = Other</w:t>
            </w:r>
          </w:p>
          <w:p w14:paraId="32BC5A8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7EE8CFE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selection should reflect the main residence for the borrower on the date the regulated credit agreement was executed.</w:t>
            </w:r>
          </w:p>
          <w:p w14:paraId="447D48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54136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1E1D1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United Kingdom</w:t>
            </w:r>
          </w:p>
          <w:p w14:paraId="4F2C8E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in the United Kingdom or a Crown Dependency and is not a British Forces Post Office address.</w:t>
            </w:r>
          </w:p>
          <w:p w14:paraId="7B6E41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British Forces Post Office</w:t>
            </w:r>
          </w:p>
          <w:p w14:paraId="4FC0DC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a British Forces Post Office address.</w:t>
            </w:r>
          </w:p>
          <w:p w14:paraId="34E9D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Overseas</w:t>
            </w:r>
          </w:p>
          <w:p w14:paraId="0A031F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not in the United Kingdom or a Crown Dependency and is not a British Forces Post Office address.</w:t>
            </w:r>
          </w:p>
          <w:p w14:paraId="34D85D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6B9921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not as described by any of the specific options above.</w:t>
            </w:r>
          </w:p>
          <w:p w14:paraId="6CA9C6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827EB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a residential address type which the reporting firm cannot determine to be one of the specific options above."</w:t>
            </w:r>
          </w:p>
        </w:tc>
      </w:tr>
      <w:tr w:rsidR="00095E11" w14:paraId="32DBA38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1E0BB1" w14:textId="77777777" w:rsidR="00095E11" w:rsidRPr="00F21C76" w:rsidRDefault="00095E11" w:rsidP="008D651F">
            <w:pPr>
              <w:pStyle w:val="BodyText"/>
            </w:pPr>
            <w:r w:rsidRPr="0078539C">
              <w:lastRenderedPageBreak/>
              <w:t>66D</w:t>
            </w:r>
          </w:p>
        </w:tc>
        <w:tc>
          <w:tcPr>
            <w:tcW w:w="2410" w:type="dxa"/>
          </w:tcPr>
          <w:p w14:paraId="0EB3355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8539C">
              <w:t>Borrower’s residential postcode on the agreement execution date</w:t>
            </w:r>
          </w:p>
        </w:tc>
        <w:tc>
          <w:tcPr>
            <w:tcW w:w="2126" w:type="dxa"/>
          </w:tcPr>
          <w:p w14:paraId="0C11C1E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spellStart"/>
            <w:r w:rsidRPr="005353E9">
              <w:t>eg</w:t>
            </w:r>
            <w:proofErr w:type="spellEnd"/>
            <w:r w:rsidRPr="005353E9">
              <w:t>, XY45 6XX</w:t>
            </w:r>
          </w:p>
        </w:tc>
        <w:tc>
          <w:tcPr>
            <w:tcW w:w="3963" w:type="dxa"/>
          </w:tcPr>
          <w:p w14:paraId="204905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full postcode or equivalent of the main residence for the borrower on the date the regulated credit agreement was executed.</w:t>
            </w:r>
          </w:p>
          <w:p w14:paraId="2C5766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FF707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UK and British Forces Post Office postcodes should take the form of, </w:t>
            </w:r>
            <w:proofErr w:type="spellStart"/>
            <w:r>
              <w:t>eg</w:t>
            </w:r>
            <w:proofErr w:type="spellEnd"/>
            <w:r>
              <w:t>, XY45 6XX."</w:t>
            </w:r>
          </w:p>
        </w:tc>
      </w:tr>
      <w:tr w:rsidR="00095E11" w14:paraId="0A90F2C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F1DBC93" w14:textId="77777777" w:rsidR="00095E11" w:rsidRPr="00F21C76" w:rsidRDefault="00095E11" w:rsidP="008D651F">
            <w:pPr>
              <w:pStyle w:val="BodyText"/>
            </w:pPr>
            <w:r w:rsidRPr="0078539C">
              <w:t>66E</w:t>
            </w:r>
          </w:p>
        </w:tc>
        <w:tc>
          <w:tcPr>
            <w:tcW w:w="2410" w:type="dxa"/>
          </w:tcPr>
          <w:p w14:paraId="22D82C4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8539C">
              <w:t>Borrower’s residential status on the agreement execution date</w:t>
            </w:r>
          </w:p>
        </w:tc>
        <w:tc>
          <w:tcPr>
            <w:tcW w:w="2126" w:type="dxa"/>
          </w:tcPr>
          <w:p w14:paraId="5A2716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Owner occupier – own outright</w:t>
            </w:r>
          </w:p>
          <w:p w14:paraId="28A577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Owner occupier – mortgage</w:t>
            </w:r>
          </w:p>
          <w:p w14:paraId="6EF87B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Owner occupier – unspecified</w:t>
            </w:r>
          </w:p>
          <w:p w14:paraId="4D9A40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B1 = Renting – private landlord</w:t>
            </w:r>
          </w:p>
          <w:p w14:paraId="31A9F9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B2 = Renting – social landlord</w:t>
            </w:r>
          </w:p>
          <w:p w14:paraId="60DFD1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 Renting – unspecified</w:t>
            </w:r>
          </w:p>
          <w:p w14:paraId="056311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Living with relatives or friends</w:t>
            </w:r>
          </w:p>
          <w:p w14:paraId="449A7D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75CB888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1C40B4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selection should reflect the residential status of the borrower on the date the regulated credit agreement was executed.</w:t>
            </w:r>
          </w:p>
          <w:p w14:paraId="794636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5AB3F3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in order to </w:t>
            </w:r>
            <w:r>
              <w:lastRenderedPageBreak/>
              <w:t>be able to better determine the application of any of the specified options.</w:t>
            </w:r>
          </w:p>
          <w:p w14:paraId="65A420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47915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42A5C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Owner occupier – own outright</w:t>
            </w:r>
          </w:p>
          <w:p w14:paraId="382EA2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owns their main residence without a mortgage to pay for the residence.</w:t>
            </w:r>
          </w:p>
          <w:p w14:paraId="701A62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Owner occupier – mortgage</w:t>
            </w:r>
          </w:p>
          <w:p w14:paraId="3F3446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owns their main residence while repaying a mortgage to pay for the residence.</w:t>
            </w:r>
          </w:p>
          <w:p w14:paraId="5377648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Owner occupier – unspecified</w:t>
            </w:r>
          </w:p>
          <w:p w14:paraId="26579A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owns their main residence and whether they have a mortgage to pay for the residence is not recorded.</w:t>
            </w:r>
          </w:p>
          <w:p w14:paraId="09D2FB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B1: Renting – private landlord</w:t>
            </w:r>
          </w:p>
          <w:p w14:paraId="7E1303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renting their main residence from a private landlord.</w:t>
            </w:r>
          </w:p>
          <w:p w14:paraId="3A7359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B2: Renting – social landlord</w:t>
            </w:r>
          </w:p>
          <w:p w14:paraId="7648CE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renting their main residence from a social landlord.</w:t>
            </w:r>
          </w:p>
          <w:p w14:paraId="622464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Renting – unspecified</w:t>
            </w:r>
          </w:p>
          <w:p w14:paraId="2936E7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renting their main residence and the type of the landlord is not recorded.</w:t>
            </w:r>
          </w:p>
          <w:p w14:paraId="3A4DFC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Living with relatives or friends</w:t>
            </w:r>
          </w:p>
          <w:p w14:paraId="5CDFDC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living with relatives or friends, without a tenancy agreement.</w:t>
            </w:r>
          </w:p>
          <w:p w14:paraId="1312B5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4FCB1A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borrower’s residential status is not as described by any of the specific options above.</w:t>
            </w:r>
          </w:p>
          <w:p w14:paraId="3DC51A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D8F39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borrower’s residential status to be one of the specific options above."</w:t>
            </w:r>
          </w:p>
        </w:tc>
      </w:tr>
      <w:tr w:rsidR="00095E11" w14:paraId="420477F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5BD7834" w14:textId="77777777" w:rsidR="00095E11" w:rsidRPr="00F21C76" w:rsidRDefault="00095E11" w:rsidP="008D651F">
            <w:pPr>
              <w:pStyle w:val="BodyText"/>
            </w:pPr>
            <w:r w:rsidRPr="00A13C5E">
              <w:lastRenderedPageBreak/>
              <w:t>66F</w:t>
            </w:r>
          </w:p>
        </w:tc>
        <w:tc>
          <w:tcPr>
            <w:tcW w:w="2410" w:type="dxa"/>
          </w:tcPr>
          <w:p w14:paraId="00B9558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13C5E">
              <w:t>Borrower’s employment status on the agreement execution date</w:t>
            </w:r>
          </w:p>
        </w:tc>
        <w:tc>
          <w:tcPr>
            <w:tcW w:w="2126" w:type="dxa"/>
          </w:tcPr>
          <w:p w14:paraId="611318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Employed – permanent or fixed term</w:t>
            </w:r>
          </w:p>
          <w:p w14:paraId="34B0F4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Employed – temporary</w:t>
            </w:r>
          </w:p>
          <w:p w14:paraId="039715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Employed – unspecified</w:t>
            </w:r>
          </w:p>
          <w:p w14:paraId="562504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Self-employed</w:t>
            </w:r>
          </w:p>
          <w:p w14:paraId="651BFC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Not employed</w:t>
            </w:r>
          </w:p>
          <w:p w14:paraId="7DA5CE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5CEEAB0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B2533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employment status of the borrower on the date the regulated credit agreement was executed.</w:t>
            </w:r>
          </w:p>
          <w:p w14:paraId="6D40C8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9518F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78FC58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3ED6E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6C225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Employed – permanent or fixed-term</w:t>
            </w:r>
          </w:p>
          <w:p w14:paraId="2112EE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had a permanent or fixed-term contract(s) to work for an employer(s).</w:t>
            </w:r>
          </w:p>
          <w:p w14:paraId="6E50F1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Employed – temporary</w:t>
            </w:r>
          </w:p>
          <w:p w14:paraId="324C02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working through a recruitment agency.</w:t>
            </w:r>
          </w:p>
          <w:p w14:paraId="28F594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Employed – unspecified</w:t>
            </w:r>
          </w:p>
          <w:p w14:paraId="704C6F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working for an employer(s) and the type of the employment is not recorded.</w:t>
            </w:r>
          </w:p>
          <w:p w14:paraId="3F67AA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Self-employed</w:t>
            </w:r>
          </w:p>
          <w:p w14:paraId="071098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working for themself as a sole trader.</w:t>
            </w:r>
          </w:p>
          <w:p w14:paraId="22B71D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Not employed</w:t>
            </w:r>
          </w:p>
          <w:p w14:paraId="65E238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not employed.</w:t>
            </w:r>
          </w:p>
          <w:p w14:paraId="329279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3852E5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borrower is not covered by the specified options.</w:t>
            </w:r>
          </w:p>
          <w:p w14:paraId="5F4697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323F50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borrower was not recorded by the reporting firm."</w:t>
            </w:r>
          </w:p>
        </w:tc>
      </w:tr>
      <w:tr w:rsidR="00095E11" w14:paraId="54CEF37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07C26C3" w14:textId="77777777" w:rsidR="00095E11" w:rsidRPr="00F21C76" w:rsidRDefault="00095E11" w:rsidP="008D651F">
            <w:pPr>
              <w:pStyle w:val="BodyText"/>
            </w:pPr>
            <w:r w:rsidRPr="00A13C5E">
              <w:t>66G</w:t>
            </w:r>
          </w:p>
        </w:tc>
        <w:tc>
          <w:tcPr>
            <w:tcW w:w="2410" w:type="dxa"/>
          </w:tcPr>
          <w:p w14:paraId="75E7D85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13C5E">
              <w:t>Detail of borrower’s employment</w:t>
            </w:r>
          </w:p>
        </w:tc>
        <w:tc>
          <w:tcPr>
            <w:tcW w:w="2126" w:type="dxa"/>
          </w:tcPr>
          <w:p w14:paraId="5A6433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Full-time</w:t>
            </w:r>
          </w:p>
          <w:p w14:paraId="510E81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Part-time</w:t>
            </w:r>
          </w:p>
          <w:p w14:paraId="3492A8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Casual</w:t>
            </w:r>
          </w:p>
          <w:p w14:paraId="7951C6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 = Other</w:t>
            </w:r>
          </w:p>
          <w:p w14:paraId="51400BA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210CDF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selection should reflect the employment status of the borrower on the date the regulated credit agreement was executed.</w:t>
            </w:r>
          </w:p>
          <w:p w14:paraId="05E596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3BCFE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147A5D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56CEA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E6620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Full-time</w:t>
            </w:r>
          </w:p>
          <w:p w14:paraId="1F038B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borrower as full-time.</w:t>
            </w:r>
          </w:p>
          <w:p w14:paraId="660E12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Part-time</w:t>
            </w:r>
          </w:p>
          <w:p w14:paraId="44E462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borrower as part-time.</w:t>
            </w:r>
          </w:p>
          <w:p w14:paraId="08A61F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Casual</w:t>
            </w:r>
          </w:p>
          <w:p w14:paraId="68060A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borrower as casual. This includes a zero-hours contract.</w:t>
            </w:r>
          </w:p>
          <w:p w14:paraId="4ABFBA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38730A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borrower in a way that is not covered by the specified options above.</w:t>
            </w:r>
          </w:p>
          <w:p w14:paraId="306AED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113261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has not </w:t>
            </w:r>
            <w:proofErr w:type="spellStart"/>
            <w:r>
              <w:t>categorised</w:t>
            </w:r>
            <w:proofErr w:type="spellEnd"/>
            <w:r>
              <w:t xml:space="preserve"> the employment of the borrower in this way."</w:t>
            </w:r>
          </w:p>
        </w:tc>
      </w:tr>
      <w:tr w:rsidR="00095E11" w14:paraId="6DCEF87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25F4100" w14:textId="77777777" w:rsidR="00095E11" w:rsidRPr="00F21C76" w:rsidRDefault="00095E11" w:rsidP="008D651F">
            <w:pPr>
              <w:pStyle w:val="BodyText"/>
            </w:pPr>
            <w:r w:rsidRPr="00400F34">
              <w:lastRenderedPageBreak/>
              <w:t>66H</w:t>
            </w:r>
          </w:p>
        </w:tc>
        <w:tc>
          <w:tcPr>
            <w:tcW w:w="2410" w:type="dxa"/>
          </w:tcPr>
          <w:p w14:paraId="3B4D60E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00F34">
              <w:t>Detail of borrower’s not employed status</w:t>
            </w:r>
          </w:p>
        </w:tc>
        <w:tc>
          <w:tcPr>
            <w:tcW w:w="2126" w:type="dxa"/>
          </w:tcPr>
          <w:p w14:paraId="228AAD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Seeking work</w:t>
            </w:r>
          </w:p>
          <w:p w14:paraId="3D3564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 education</w:t>
            </w:r>
          </w:p>
          <w:p w14:paraId="4465BA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Retired</w:t>
            </w:r>
          </w:p>
          <w:p w14:paraId="0DAC56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Looking after the home or family</w:t>
            </w:r>
          </w:p>
          <w:p w14:paraId="27704A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19E565F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10865B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detail of the not employed status of the borrower on the data the regulated credit agreement was executed.</w:t>
            </w:r>
          </w:p>
          <w:p w14:paraId="0D73E6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26CFC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1A1A3F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BF833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BDB3A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Seeking work</w:t>
            </w:r>
          </w:p>
          <w:p w14:paraId="24543B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detail of the borrower’s status as looking for and available for work.</w:t>
            </w:r>
          </w:p>
          <w:p w14:paraId="4E71CA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 education</w:t>
            </w:r>
          </w:p>
          <w:p w14:paraId="7E7E48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detail of the borrower’s status as being in education.</w:t>
            </w:r>
          </w:p>
          <w:p w14:paraId="4DBA00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Retired</w:t>
            </w:r>
          </w:p>
          <w:p w14:paraId="73C49A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detail of the borrower’s status as being retired.</w:t>
            </w:r>
          </w:p>
          <w:p w14:paraId="586975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Looking after the home or family</w:t>
            </w:r>
          </w:p>
          <w:p w14:paraId="60CF7E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detail of the borrower’s status as looking after the home or family. This includes being a carer for a close family member.</w:t>
            </w:r>
          </w:p>
          <w:p w14:paraId="133EBE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692BA9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detail of the borrower’s status in a way that is not covered by the specified options above.</w:t>
            </w:r>
          </w:p>
          <w:p w14:paraId="4B126F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1D4151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has not </w:t>
            </w:r>
            <w:proofErr w:type="spellStart"/>
            <w:r>
              <w:t>categorised</w:t>
            </w:r>
            <w:proofErr w:type="spellEnd"/>
            <w:r>
              <w:t xml:space="preserve"> the detail of the borrower’s status in this way."</w:t>
            </w:r>
          </w:p>
        </w:tc>
      </w:tr>
      <w:tr w:rsidR="00095E11" w14:paraId="18393A2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81E2B5F" w14:textId="77777777" w:rsidR="00095E11" w:rsidRPr="00F21C76" w:rsidRDefault="00095E11" w:rsidP="008D651F">
            <w:pPr>
              <w:pStyle w:val="BodyText"/>
            </w:pPr>
            <w:r w:rsidRPr="00950FCC">
              <w:lastRenderedPageBreak/>
              <w:t>67A</w:t>
            </w:r>
          </w:p>
        </w:tc>
        <w:tc>
          <w:tcPr>
            <w:tcW w:w="2410" w:type="dxa"/>
          </w:tcPr>
          <w:p w14:paraId="78729C0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50FCC">
              <w:t>Did the creditworthiness assessment of the borrower(s) for the agreement include any manual underwriting check?</w:t>
            </w:r>
          </w:p>
        </w:tc>
        <w:tc>
          <w:tcPr>
            <w:tcW w:w="2126" w:type="dxa"/>
          </w:tcPr>
          <w:p w14:paraId="5FD87B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EF693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248531D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24D538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2E39AF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10BC29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borrower(s) for the regulated credit agreement involved a manual intervention/ assessment by a natural person.</w:t>
            </w:r>
          </w:p>
          <w:p w14:paraId="1D9D83C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3ED55A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borrower(s) for the regulated credit agreement did not involve a manual intervention/ assessment by a natural person.</w:t>
            </w:r>
          </w:p>
          <w:p w14:paraId="19F858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77896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is unable to determine whether the creditworthiness assessment of the borrower(s) for the regulated credit agreement involved </w:t>
            </w:r>
            <w:r>
              <w:lastRenderedPageBreak/>
              <w:t>any manual intervention/ assessment by a natural person."</w:t>
            </w:r>
          </w:p>
        </w:tc>
      </w:tr>
      <w:tr w:rsidR="00095E11" w14:paraId="03C52C8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67797D8" w14:textId="77777777" w:rsidR="00095E11" w:rsidRPr="00F21C76" w:rsidRDefault="00095E11" w:rsidP="008D651F">
            <w:pPr>
              <w:pStyle w:val="BodyText"/>
            </w:pPr>
            <w:r w:rsidRPr="00950FCC">
              <w:lastRenderedPageBreak/>
              <w:t>68A</w:t>
            </w:r>
          </w:p>
        </w:tc>
        <w:tc>
          <w:tcPr>
            <w:tcW w:w="2410" w:type="dxa"/>
          </w:tcPr>
          <w:p w14:paraId="1509187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50FCC">
              <w:t>Income and expenditure information held in relation to the creditworthiness assessment of the borrower(s)</w:t>
            </w:r>
          </w:p>
        </w:tc>
        <w:tc>
          <w:tcPr>
            <w:tcW w:w="2126" w:type="dxa"/>
          </w:tcPr>
          <w:p w14:paraId="18FCE6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No income and expenditure</w:t>
            </w:r>
          </w:p>
          <w:p w14:paraId="392193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Income and expenditure, no declared income and expenditure, no breakdown</w:t>
            </w:r>
          </w:p>
          <w:p w14:paraId="581EF2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Income and expenditure, with declared income and expenditure, no breakdown</w:t>
            </w:r>
          </w:p>
          <w:p w14:paraId="363BE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Income and expenditure, no declared income and expenditure, with breakdown</w:t>
            </w:r>
          </w:p>
          <w:p w14:paraId="3332E1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Income and expenditure, with declared income and expenditure, with breakdown</w:t>
            </w:r>
          </w:p>
          <w:p w14:paraId="4208E59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A5DBF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income and non-discretionary expenditure information held by the reporting firm for the creditworthiness assessment of the borrower(s) in relation to the regulated credit agreement.</w:t>
            </w:r>
          </w:p>
          <w:p w14:paraId="298B81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7E6C7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B6F30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No income and expenditure</w:t>
            </w:r>
          </w:p>
          <w:p w14:paraId="13AAB5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considered the borrower(s)’ income and non-discretionary expenditure in accordance with CONC 5.2A.15R(1) and CONC 5.2A.17R.</w:t>
            </w:r>
          </w:p>
          <w:p w14:paraId="1707EE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Income and expenditure, no declared income and expenditure, no breakdown</w:t>
            </w:r>
          </w:p>
          <w:p w14:paraId="264E25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borrower(s)’ income and non-discretionary expenditure in relation to the creditworthiness assessment;</w:t>
            </w:r>
          </w:p>
          <w:p w14:paraId="1EFB4F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borrower(s) for their income and non-discretionary expenditure; and</w:t>
            </w:r>
          </w:p>
          <w:p w14:paraId="2A3412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does not hold values for the non-discretionary expenditure broken down to housing, existing credit commitments and/or other costs.</w:t>
            </w:r>
          </w:p>
          <w:p w14:paraId="2AC8C90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Income and expenditure, with declared income and expenditure, no breakdown</w:t>
            </w:r>
          </w:p>
          <w:p w14:paraId="73D5D5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borrower(s)’ income and non-discretionary expenditure in relation to the creditworthiness assessment;</w:t>
            </w:r>
          </w:p>
          <w:p w14:paraId="6D6ACC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borrower(s) for their income and non-discretionary expenditure; and</w:t>
            </w:r>
          </w:p>
          <w:p w14:paraId="352AE9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does not hold values for the non-discretionary expenditure broken down to housing, </w:t>
            </w:r>
            <w:r>
              <w:lastRenderedPageBreak/>
              <w:t>existing credit commitments and/or other costs."</w:t>
            </w:r>
          </w:p>
          <w:p w14:paraId="4A48DD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Income and expenditure, no declared income and expenditure, with breakdown</w:t>
            </w:r>
          </w:p>
          <w:p w14:paraId="6870C8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borrower(s)’ income and non-discretionary expenditure in relation to the creditworthiness assessment;</w:t>
            </w:r>
          </w:p>
          <w:p w14:paraId="49B958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borrower(s) for their income and non-discretionary expenditure; and</w:t>
            </w:r>
          </w:p>
          <w:p w14:paraId="668E86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holds values for the non-discretionary expenditure broken down to housing, existing credit commitments and/or other costs.</w:t>
            </w:r>
          </w:p>
          <w:p w14:paraId="04C24B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Income and expenditure, with declared income and expenditure, with breakdown</w:t>
            </w:r>
          </w:p>
          <w:p w14:paraId="2CD380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borrower(s)’ income and non-discretionary expenditure in relation to the creditworthiness assessment;</w:t>
            </w:r>
          </w:p>
          <w:p w14:paraId="48FCCA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borrower(s) for their income and non-discretionary expenditure; and</w:t>
            </w:r>
          </w:p>
          <w:p w14:paraId="24F97B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holds values for the non-discretionary expenditure broken down to housing, existing credit commitments and/or other costs.</w:t>
            </w:r>
          </w:p>
          <w:p w14:paraId="120CD0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0A422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the values used for the borrower(s)’ income and non-discretionary expenditure in relation to the creditworthiness assessment."</w:t>
            </w:r>
          </w:p>
        </w:tc>
      </w:tr>
      <w:tr w:rsidR="00095E11" w14:paraId="261D0E6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E4B2717" w14:textId="77777777" w:rsidR="00095E11" w:rsidRPr="00F21C76" w:rsidRDefault="00095E11" w:rsidP="008D651F">
            <w:pPr>
              <w:pStyle w:val="BodyText"/>
            </w:pPr>
            <w:r w:rsidRPr="00B7142C">
              <w:lastRenderedPageBreak/>
              <w:t>69A</w:t>
            </w:r>
          </w:p>
        </w:tc>
        <w:tc>
          <w:tcPr>
            <w:tcW w:w="2410" w:type="dxa"/>
          </w:tcPr>
          <w:p w14:paraId="64277F9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7142C">
              <w:t>Is a future lump sum expected to account for whole or partial repayment but not as a security?</w:t>
            </w:r>
          </w:p>
        </w:tc>
        <w:tc>
          <w:tcPr>
            <w:tcW w:w="2126" w:type="dxa"/>
          </w:tcPr>
          <w:p w14:paraId="5A567C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Yes – inheritance</w:t>
            </w:r>
          </w:p>
          <w:p w14:paraId="42ED60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Yes – pension lump sum</w:t>
            </w:r>
          </w:p>
          <w:p w14:paraId="27AAB6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C = Yes – claims pay out</w:t>
            </w:r>
          </w:p>
          <w:p w14:paraId="5B1FF5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Yes – settlement following litigation</w:t>
            </w:r>
          </w:p>
          <w:p w14:paraId="74274B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 Yes – other</w:t>
            </w:r>
          </w:p>
          <w:p w14:paraId="22945D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 Yes – unknown future lump sum type</w:t>
            </w:r>
          </w:p>
          <w:p w14:paraId="30D109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w:t>
            </w:r>
          </w:p>
          <w:p w14:paraId="5E78541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93F17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"Whether the regulated credit agreement is expected to be repaid. in part or in full, by a future lump sum expected to be received by the borrower(s), and, if relevant, the type of the future lump sum.</w:t>
            </w:r>
          </w:p>
          <w:p w14:paraId="146AE5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3E90E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a future lump sum which is provided, by assignment or otherwise, as a security by the borrower(s) under the regulated credit agreement.</w:t>
            </w:r>
          </w:p>
          <w:p w14:paraId="7EDD5C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D3DEF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C132E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Yes – inheritance</w:t>
            </w:r>
          </w:p>
          <w:p w14:paraId="26F26F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3DA974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8E72C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the proceeds expected to be received by the borrower(s) from an estate of a person who has died.</w:t>
            </w:r>
          </w:p>
          <w:p w14:paraId="479FB7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Yes – pension lump sum</w:t>
            </w:r>
          </w:p>
          <w:p w14:paraId="5542021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605661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CE75A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a pension commencement lump sum expected to be received by the borrower(s).</w:t>
            </w:r>
          </w:p>
          <w:p w14:paraId="027828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Yes – claims pay out</w:t>
            </w:r>
          </w:p>
          <w:p w14:paraId="56B4CC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712836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EB975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an amount expected to be recovered for the borrower(s) in relation to a claim."</w:t>
            </w:r>
          </w:p>
          <w:p w14:paraId="1BEA38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Yes – settlement following litigation</w:t>
            </w:r>
          </w:p>
          <w:p w14:paraId="03783C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36AF43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CB974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expected future lump sum is a settlement expected to be received by the borrower(s) in relation to a legal case </w:t>
            </w:r>
            <w:r>
              <w:lastRenderedPageBreak/>
              <w:t>other than a legal case in relation to a claim.</w:t>
            </w:r>
          </w:p>
          <w:p w14:paraId="71BA01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Yes – other</w:t>
            </w:r>
          </w:p>
          <w:p w14:paraId="07C6F4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769F26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29984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not captured by any of the specific options above.</w:t>
            </w:r>
          </w:p>
          <w:p w14:paraId="667225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Yes – unknown future lump sum type</w:t>
            </w:r>
          </w:p>
          <w:p w14:paraId="44249B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4B7FD0B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1768D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future lump sum is one of the specific options above.</w:t>
            </w:r>
          </w:p>
          <w:p w14:paraId="3C1637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w:t>
            </w:r>
          </w:p>
          <w:p w14:paraId="3B5E11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not expected to be repaid, in part or in full, by a future lump sum.</w:t>
            </w:r>
          </w:p>
          <w:p w14:paraId="22E010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8F7D1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regulated credit agreement is expected to be repaid. in part or in full, by a future lump sum."</w:t>
            </w:r>
          </w:p>
        </w:tc>
      </w:tr>
      <w:tr w:rsidR="00095E11" w14:paraId="2AD7A5E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3BEAEAE" w14:textId="77777777" w:rsidR="00095E11" w:rsidRPr="00F21C76" w:rsidRDefault="00095E11" w:rsidP="008D651F">
            <w:pPr>
              <w:pStyle w:val="BodyText"/>
            </w:pPr>
            <w:r w:rsidRPr="00285A6C">
              <w:lastRenderedPageBreak/>
              <w:t>70A</w:t>
            </w:r>
          </w:p>
        </w:tc>
        <w:tc>
          <w:tcPr>
            <w:tcW w:w="2410" w:type="dxa"/>
          </w:tcPr>
          <w:p w14:paraId="05402F9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85A6C">
              <w:t>Is repayment through a future earnings agreement/income share agreement?</w:t>
            </w:r>
          </w:p>
        </w:tc>
        <w:tc>
          <w:tcPr>
            <w:tcW w:w="2126" w:type="dxa"/>
          </w:tcPr>
          <w:p w14:paraId="0A6D85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26B2BED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324F64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92214">
              <w:t>Whether the regulated credit agreement is to be repaid via a percentage of the borrower(s)’ future earnings rather than via a fixed repayment schedule.</w:t>
            </w:r>
          </w:p>
        </w:tc>
      </w:tr>
      <w:tr w:rsidR="00095E11" w14:paraId="1F0A7EC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E05996B" w14:textId="77777777" w:rsidR="00095E11" w:rsidRPr="00F21C76" w:rsidRDefault="00095E11" w:rsidP="008D651F">
            <w:pPr>
              <w:pStyle w:val="BodyText"/>
            </w:pPr>
            <w:r w:rsidRPr="00285A6C">
              <w:t>71A</w:t>
            </w:r>
          </w:p>
        </w:tc>
        <w:tc>
          <w:tcPr>
            <w:tcW w:w="2410" w:type="dxa"/>
          </w:tcPr>
          <w:p w14:paraId="27DB5E5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85A6C">
              <w:t xml:space="preserve">Combined number of financial </w:t>
            </w:r>
            <w:proofErr w:type="spellStart"/>
            <w:r w:rsidRPr="00285A6C">
              <w:t>dependants</w:t>
            </w:r>
            <w:proofErr w:type="spellEnd"/>
            <w:r w:rsidRPr="00285A6C">
              <w:t xml:space="preserve"> for the borrower(s)</w:t>
            </w:r>
          </w:p>
        </w:tc>
        <w:tc>
          <w:tcPr>
            <w:tcW w:w="2126" w:type="dxa"/>
          </w:tcPr>
          <w:p w14:paraId="25BDDE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"0 = No financial </w:t>
            </w:r>
            <w:proofErr w:type="spellStart"/>
            <w:r>
              <w:t>dependants</w:t>
            </w:r>
            <w:proofErr w:type="spellEnd"/>
          </w:p>
          <w:p w14:paraId="0012AF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 1 financial </w:t>
            </w:r>
            <w:proofErr w:type="spellStart"/>
            <w:r>
              <w:t>dependant</w:t>
            </w:r>
            <w:proofErr w:type="spellEnd"/>
          </w:p>
          <w:p w14:paraId="67F08D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2 = 2 financial </w:t>
            </w:r>
            <w:proofErr w:type="spellStart"/>
            <w:r>
              <w:t>dependants</w:t>
            </w:r>
            <w:proofErr w:type="spellEnd"/>
          </w:p>
          <w:p w14:paraId="126E12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 3 financial </w:t>
            </w:r>
            <w:proofErr w:type="spellStart"/>
            <w:r>
              <w:t>dependants</w:t>
            </w:r>
            <w:proofErr w:type="spellEnd"/>
          </w:p>
          <w:p w14:paraId="23BCE4D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xml:space="preserve">4 = 4 financial </w:t>
            </w:r>
            <w:proofErr w:type="spellStart"/>
            <w:r>
              <w:t>dependants</w:t>
            </w:r>
            <w:proofErr w:type="spellEnd"/>
          </w:p>
          <w:p w14:paraId="20A44D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5 = 5 financial </w:t>
            </w:r>
            <w:proofErr w:type="spellStart"/>
            <w:r>
              <w:t>dependants</w:t>
            </w:r>
            <w:proofErr w:type="spellEnd"/>
          </w:p>
          <w:p w14:paraId="5A2F748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6 = 6 financial </w:t>
            </w:r>
            <w:proofErr w:type="spellStart"/>
            <w:r>
              <w:t>dependants</w:t>
            </w:r>
            <w:proofErr w:type="spellEnd"/>
          </w:p>
          <w:p w14:paraId="699555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7 = 7 financial </w:t>
            </w:r>
            <w:proofErr w:type="spellStart"/>
            <w:r>
              <w:t>dependants</w:t>
            </w:r>
            <w:proofErr w:type="spellEnd"/>
          </w:p>
          <w:p w14:paraId="20F730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8 = 8 financial </w:t>
            </w:r>
            <w:proofErr w:type="spellStart"/>
            <w:r>
              <w:t>dependants</w:t>
            </w:r>
            <w:proofErr w:type="spellEnd"/>
          </w:p>
          <w:p w14:paraId="460DDA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9 = 9 financial </w:t>
            </w:r>
            <w:proofErr w:type="spellStart"/>
            <w:r>
              <w:t>dependants</w:t>
            </w:r>
            <w:proofErr w:type="spellEnd"/>
          </w:p>
          <w:p w14:paraId="1C7F70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10 = 10 financial </w:t>
            </w:r>
            <w:proofErr w:type="spellStart"/>
            <w:r>
              <w:t>dependants</w:t>
            </w:r>
            <w:proofErr w:type="spellEnd"/>
          </w:p>
          <w:p w14:paraId="6000B1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W = More than 10 financial </w:t>
            </w:r>
            <w:proofErr w:type="spellStart"/>
            <w:r>
              <w:t>dependants</w:t>
            </w:r>
            <w:proofErr w:type="spellEnd"/>
          </w:p>
          <w:p w14:paraId="15A8DB6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9F4A1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combined number of natural persons who rely on the borrower(s) financially, as recorded by the reporting firm.</w:t>
            </w:r>
          </w:p>
          <w:p w14:paraId="08DA26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40312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reporting firm only records data on the borrower(s)’ financial </w:t>
            </w:r>
            <w:proofErr w:type="spellStart"/>
            <w:r>
              <w:t>dependants</w:t>
            </w:r>
            <w:proofErr w:type="spellEnd"/>
            <w:r>
              <w:t xml:space="preserve"> up to a certain number even where the borrower(s)’ financial </w:t>
            </w:r>
            <w:proofErr w:type="spellStart"/>
            <w:r>
              <w:t>dependants</w:t>
            </w:r>
            <w:proofErr w:type="spellEnd"/>
            <w:r>
              <w:t xml:space="preserve"> exceed that number, the </w:t>
            </w:r>
            <w:r>
              <w:lastRenderedPageBreak/>
              <w:t>reporting firm should report the highest number it records for such borrower(s).</w:t>
            </w:r>
          </w:p>
          <w:p w14:paraId="74EB8B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B483D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For example, if a reporting firm only records data on up to 5 financial </w:t>
            </w:r>
            <w:proofErr w:type="spellStart"/>
            <w:r>
              <w:t>dependants</w:t>
            </w:r>
            <w:proofErr w:type="spellEnd"/>
            <w:r>
              <w:t xml:space="preserve">, in circumstances where the borrower(s) has 5 or more financial </w:t>
            </w:r>
            <w:proofErr w:type="spellStart"/>
            <w:r>
              <w:t>dependants</w:t>
            </w:r>
            <w:proofErr w:type="spellEnd"/>
            <w:r>
              <w:t xml:space="preserve">, the reporting firm should report this as ‘5: 5 financial </w:t>
            </w:r>
            <w:proofErr w:type="spellStart"/>
            <w:r>
              <w:t>dependants</w:t>
            </w:r>
            <w:proofErr w:type="spellEnd"/>
            <w:r>
              <w:t>’.</w:t>
            </w:r>
          </w:p>
          <w:p w14:paraId="6D7AC17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95D05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0AA5D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0: No financial </w:t>
            </w:r>
            <w:proofErr w:type="spellStart"/>
            <w:r>
              <w:t>dependants</w:t>
            </w:r>
            <w:proofErr w:type="spellEnd"/>
          </w:p>
          <w:p w14:paraId="42C512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1 financial </w:t>
            </w:r>
            <w:proofErr w:type="spellStart"/>
            <w:r>
              <w:t>dependant</w:t>
            </w:r>
            <w:proofErr w:type="spellEnd"/>
          </w:p>
          <w:p w14:paraId="1D7267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2 financial </w:t>
            </w:r>
            <w:proofErr w:type="spellStart"/>
            <w:r>
              <w:t>dependants</w:t>
            </w:r>
            <w:proofErr w:type="spellEnd"/>
          </w:p>
          <w:p w14:paraId="48F00B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3 financial </w:t>
            </w:r>
            <w:proofErr w:type="spellStart"/>
            <w:r>
              <w:t>dependants</w:t>
            </w:r>
            <w:proofErr w:type="spellEnd"/>
          </w:p>
          <w:p w14:paraId="3C023D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4: 4 financial </w:t>
            </w:r>
            <w:proofErr w:type="spellStart"/>
            <w:r>
              <w:t>dependants</w:t>
            </w:r>
            <w:proofErr w:type="spellEnd"/>
          </w:p>
          <w:p w14:paraId="3D03D2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5: 5 financial </w:t>
            </w:r>
            <w:proofErr w:type="spellStart"/>
            <w:r>
              <w:t>dependants</w:t>
            </w:r>
            <w:proofErr w:type="spellEnd"/>
          </w:p>
          <w:p w14:paraId="56A711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6: 6 financial </w:t>
            </w:r>
            <w:proofErr w:type="spellStart"/>
            <w:r>
              <w:t>dependants</w:t>
            </w:r>
            <w:proofErr w:type="spellEnd"/>
          </w:p>
          <w:p w14:paraId="624C248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7: 7 financial </w:t>
            </w:r>
            <w:proofErr w:type="spellStart"/>
            <w:r>
              <w:t>dependants</w:t>
            </w:r>
            <w:proofErr w:type="spellEnd"/>
          </w:p>
          <w:p w14:paraId="1E2215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8: 8 financial </w:t>
            </w:r>
            <w:proofErr w:type="spellStart"/>
            <w:r>
              <w:t>dependants</w:t>
            </w:r>
            <w:proofErr w:type="spellEnd"/>
          </w:p>
          <w:p w14:paraId="1CA758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9: 9 financial </w:t>
            </w:r>
            <w:proofErr w:type="spellStart"/>
            <w:r>
              <w:t>dependants</w:t>
            </w:r>
            <w:proofErr w:type="spellEnd"/>
          </w:p>
          <w:p w14:paraId="5B099C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10: 10 financial </w:t>
            </w:r>
            <w:proofErr w:type="spellStart"/>
            <w:r>
              <w:t>dependants</w:t>
            </w:r>
            <w:proofErr w:type="spellEnd"/>
          </w:p>
          <w:p w14:paraId="1ABE64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More than 10 financial </w:t>
            </w:r>
            <w:proofErr w:type="spellStart"/>
            <w:r>
              <w:t>dependants</w:t>
            </w:r>
            <w:proofErr w:type="spellEnd"/>
          </w:p>
          <w:p w14:paraId="15133E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E5ADE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information on the natural persons who rely on the borrower(s) financially."</w:t>
            </w:r>
          </w:p>
        </w:tc>
      </w:tr>
      <w:tr w:rsidR="00095E11" w14:paraId="5C68CDF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AE59A1" w14:textId="77777777" w:rsidR="00095E11" w:rsidRPr="00F21C76" w:rsidRDefault="00095E11" w:rsidP="008D651F">
            <w:pPr>
              <w:pStyle w:val="BodyText"/>
            </w:pPr>
            <w:r w:rsidRPr="00285A6C">
              <w:lastRenderedPageBreak/>
              <w:t>72A</w:t>
            </w:r>
          </w:p>
        </w:tc>
        <w:tc>
          <w:tcPr>
            <w:tcW w:w="2410" w:type="dxa"/>
          </w:tcPr>
          <w:p w14:paraId="6BB15E5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85A6C">
              <w:t>Net or gross income values for borrower(s)</w:t>
            </w:r>
          </w:p>
        </w:tc>
        <w:tc>
          <w:tcPr>
            <w:tcW w:w="2126" w:type="dxa"/>
          </w:tcPr>
          <w:p w14:paraId="0E7C01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Net</w:t>
            </w:r>
          </w:p>
          <w:p w14:paraId="464E73E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Gross"</w:t>
            </w:r>
          </w:p>
        </w:tc>
        <w:tc>
          <w:tcPr>
            <w:tcW w:w="3963" w:type="dxa"/>
          </w:tcPr>
          <w:p w14:paraId="4AC15A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income information held by the reporting firm for the creditworthiness assessment of the borrower(s) in relation to the regulated credit agreement. The income value(s) reported in the relevant data element(s) must correspond with the selection made.</w:t>
            </w:r>
          </w:p>
          <w:p w14:paraId="76BBDA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FAD82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both net and gross income values are held, the reporting firm should select ‘A: </w:t>
            </w:r>
            <w:r>
              <w:lastRenderedPageBreak/>
              <w:t>Net’ and provide the net income value(s) in the relevant data element(s).</w:t>
            </w:r>
          </w:p>
          <w:p w14:paraId="5E7940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CB0B6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2687C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Net</w:t>
            </w:r>
          </w:p>
          <w:p w14:paraId="0D8C42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borrower(s)’ income as net of mandatory deductions such as tax, national insurance and student loans. This should not include any deductions for non-discretionary expenditure.</w:t>
            </w:r>
          </w:p>
          <w:p w14:paraId="58E2AB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Gross</w:t>
            </w:r>
          </w:p>
          <w:p w14:paraId="0AE05D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borrower(s)’ income as gross income."</w:t>
            </w:r>
          </w:p>
        </w:tc>
      </w:tr>
      <w:tr w:rsidR="00095E11" w14:paraId="5992D3D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BB3030E" w14:textId="77777777" w:rsidR="00095E11" w:rsidRPr="00285A6C" w:rsidRDefault="00095E11" w:rsidP="008D651F">
            <w:pPr>
              <w:pStyle w:val="BodyText"/>
            </w:pPr>
            <w:r w:rsidRPr="00EC6A55">
              <w:lastRenderedPageBreak/>
              <w:t>73A</w:t>
            </w:r>
          </w:p>
        </w:tc>
        <w:tc>
          <w:tcPr>
            <w:tcW w:w="2410" w:type="dxa"/>
          </w:tcPr>
          <w:p w14:paraId="5D89070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A55">
              <w:t>Combined monthly income of the borrower(s) used by the reporting firm</w:t>
            </w:r>
          </w:p>
        </w:tc>
        <w:tc>
          <w:tcPr>
            <w:tcW w:w="2126" w:type="dxa"/>
          </w:tcPr>
          <w:p w14:paraId="6CDE7F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A55">
              <w:t>Numeric £</w:t>
            </w:r>
          </w:p>
        </w:tc>
        <w:tc>
          <w:tcPr>
            <w:tcW w:w="3963" w:type="dxa"/>
          </w:tcPr>
          <w:p w14:paraId="2EDA2F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income of the borrower(s) which was used by the reporting firm in the final stage of the creditworthiness assessment for the regulated credit agreement.</w:t>
            </w:r>
          </w:p>
          <w:p w14:paraId="03525D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9D8B4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income figure used in the final stage of the creditworthiness assessment for the regulated credit agreement was for a different time period, this should include a derivation of this figure to estimate the monthly equivalent."</w:t>
            </w:r>
          </w:p>
        </w:tc>
      </w:tr>
      <w:tr w:rsidR="00095E11" w14:paraId="5A330BA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D601C3" w14:textId="77777777" w:rsidR="00095E11" w:rsidRPr="00285A6C" w:rsidRDefault="00095E11" w:rsidP="008D651F">
            <w:pPr>
              <w:pStyle w:val="BodyText"/>
            </w:pPr>
            <w:r w:rsidRPr="00606D0D">
              <w:t>74A</w:t>
            </w:r>
          </w:p>
        </w:tc>
        <w:tc>
          <w:tcPr>
            <w:tcW w:w="2410" w:type="dxa"/>
          </w:tcPr>
          <w:p w14:paraId="5D0E93D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6D0D">
              <w:t>Combined total monthly expenditure of the borrower(s) used by the reporting firm</w:t>
            </w:r>
          </w:p>
        </w:tc>
        <w:tc>
          <w:tcPr>
            <w:tcW w:w="2126" w:type="dxa"/>
          </w:tcPr>
          <w:p w14:paraId="134B99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A55">
              <w:t>Numeric £</w:t>
            </w:r>
          </w:p>
        </w:tc>
        <w:tc>
          <w:tcPr>
            <w:tcW w:w="3963" w:type="dxa"/>
          </w:tcPr>
          <w:p w14:paraId="564F3B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non-discretionary expenditure of the borrower(s) which was used by the reporting firm in the final stage of the creditworthiness assessment for the regulated credit agreement.</w:t>
            </w:r>
          </w:p>
          <w:p w14:paraId="38A77F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DB75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figure used in the final stage of the creditworthiness assessment for the regulated credit agreement was for a different time period, this should include a derivation of this figure to estimate the monthly equivalent."</w:t>
            </w:r>
          </w:p>
        </w:tc>
      </w:tr>
      <w:tr w:rsidR="00095E11" w14:paraId="09748DD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35260A7" w14:textId="77777777" w:rsidR="00095E11" w:rsidRPr="00285A6C" w:rsidRDefault="00095E11" w:rsidP="008D651F">
            <w:pPr>
              <w:pStyle w:val="BodyText"/>
            </w:pPr>
            <w:r w:rsidRPr="00DA4468">
              <w:lastRenderedPageBreak/>
              <w:t>75A</w:t>
            </w:r>
          </w:p>
        </w:tc>
        <w:tc>
          <w:tcPr>
            <w:tcW w:w="2410" w:type="dxa"/>
          </w:tcPr>
          <w:p w14:paraId="3A52CAD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A4468">
              <w:t>Combined monthly income declared by the borrower(s)</w:t>
            </w:r>
          </w:p>
        </w:tc>
        <w:tc>
          <w:tcPr>
            <w:tcW w:w="2126" w:type="dxa"/>
          </w:tcPr>
          <w:p w14:paraId="153CBB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A4468">
              <w:t>Numeric £</w:t>
            </w:r>
          </w:p>
        </w:tc>
        <w:tc>
          <w:tcPr>
            <w:tcW w:w="3963" w:type="dxa"/>
          </w:tcPr>
          <w:p w14:paraId="55E3A1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income declared by the borrower(s).</w:t>
            </w:r>
          </w:p>
          <w:p w14:paraId="18C034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0982F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income was declared by the borrower(s) for a different time period, this should include a derivation of this figure to estimate the monthly equivalent."</w:t>
            </w:r>
          </w:p>
        </w:tc>
      </w:tr>
      <w:tr w:rsidR="00095E11" w14:paraId="6F10AEB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7714D29" w14:textId="77777777" w:rsidR="00095E11" w:rsidRPr="00285A6C" w:rsidRDefault="00095E11" w:rsidP="008D651F">
            <w:pPr>
              <w:pStyle w:val="BodyText"/>
            </w:pPr>
            <w:r w:rsidRPr="000F14EA">
              <w:t>76A</w:t>
            </w:r>
          </w:p>
        </w:tc>
        <w:tc>
          <w:tcPr>
            <w:tcW w:w="2410" w:type="dxa"/>
          </w:tcPr>
          <w:p w14:paraId="30AA0D9D"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F14EA">
              <w:t>Combined total monthly expenditure declared by the borrower(s)</w:t>
            </w:r>
          </w:p>
        </w:tc>
        <w:tc>
          <w:tcPr>
            <w:tcW w:w="2126" w:type="dxa"/>
          </w:tcPr>
          <w:p w14:paraId="06D913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F14EA">
              <w:t>Numeric £</w:t>
            </w:r>
          </w:p>
        </w:tc>
        <w:tc>
          <w:tcPr>
            <w:tcW w:w="3963" w:type="dxa"/>
          </w:tcPr>
          <w:p w14:paraId="50C2A3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non-discretionary expenditure declared by the borrower(s).</w:t>
            </w:r>
          </w:p>
          <w:p w14:paraId="56096D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2B9DA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was declared by the borrower(s) for a different time period, this should include a derivation of this figure to estimate the monthly equivalent."</w:t>
            </w:r>
          </w:p>
        </w:tc>
      </w:tr>
      <w:tr w:rsidR="00095E11" w14:paraId="0292053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E0C26B4" w14:textId="77777777" w:rsidR="00095E11" w:rsidRPr="00285A6C" w:rsidRDefault="00095E11" w:rsidP="008D651F">
            <w:pPr>
              <w:pStyle w:val="BodyText"/>
            </w:pPr>
            <w:r w:rsidRPr="007B59AB">
              <w:t>77A</w:t>
            </w:r>
          </w:p>
        </w:tc>
        <w:tc>
          <w:tcPr>
            <w:tcW w:w="2410" w:type="dxa"/>
          </w:tcPr>
          <w:p w14:paraId="6335C17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B59AB">
              <w:t>Specific type of combined monthly expenditure of the borrower(s) used by the reporting firm</w:t>
            </w:r>
          </w:p>
        </w:tc>
        <w:tc>
          <w:tcPr>
            <w:tcW w:w="2126" w:type="dxa"/>
          </w:tcPr>
          <w:p w14:paraId="204B2E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Housing costs</w:t>
            </w:r>
          </w:p>
          <w:p w14:paraId="7F4670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Existing credit commitments</w:t>
            </w:r>
          </w:p>
          <w:p w14:paraId="4C459A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Other expenditure"</w:t>
            </w:r>
          </w:p>
        </w:tc>
        <w:tc>
          <w:tcPr>
            <w:tcW w:w="3963" w:type="dxa"/>
          </w:tcPr>
          <w:p w14:paraId="2551BD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BEBA5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Housing costs</w:t>
            </w:r>
          </w:p>
          <w:p w14:paraId="2A3E26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Housing costs should include any rent, mortgage payments, ground rent or service charges for the dwelling(s) in which the borrower(s) live.</w:t>
            </w:r>
          </w:p>
          <w:p w14:paraId="2D4D21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Existing credit commitments</w:t>
            </w:r>
          </w:p>
          <w:p w14:paraId="030C73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Existing credit commitments should include repayments of outstanding credit agreements or mortgage agreements not for the purchase of the dwelling(s) in which the borrower(s) live.</w:t>
            </w:r>
          </w:p>
          <w:p w14:paraId="0FC6B3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Other expenditure</w:t>
            </w:r>
          </w:p>
          <w:p w14:paraId="54E57A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Other costs should not include non-discretionary expenditure related to housing costs or existing credit commitments. It should include, but is not limited to, living expenses."</w:t>
            </w:r>
          </w:p>
        </w:tc>
      </w:tr>
      <w:tr w:rsidR="00095E11" w14:paraId="5B5943E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6DFB526" w14:textId="77777777" w:rsidR="00095E11" w:rsidRPr="00285A6C" w:rsidRDefault="00095E11" w:rsidP="008D651F">
            <w:pPr>
              <w:pStyle w:val="BodyText"/>
            </w:pPr>
            <w:r w:rsidRPr="007B59AB">
              <w:t>77B</w:t>
            </w:r>
          </w:p>
        </w:tc>
        <w:tc>
          <w:tcPr>
            <w:tcW w:w="2410" w:type="dxa"/>
          </w:tcPr>
          <w:p w14:paraId="3F35514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B59AB">
              <w:t>Specific combined total monthly expenditure of the borrower(s) used by the reporting firm</w:t>
            </w:r>
          </w:p>
        </w:tc>
        <w:tc>
          <w:tcPr>
            <w:tcW w:w="2126" w:type="dxa"/>
          </w:tcPr>
          <w:p w14:paraId="7B7C769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293B">
              <w:t>Numeric £</w:t>
            </w:r>
          </w:p>
        </w:tc>
        <w:tc>
          <w:tcPr>
            <w:tcW w:w="3963" w:type="dxa"/>
          </w:tcPr>
          <w:p w14:paraId="70DEA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expenditure of the borrower(s), covering the costs associated with the specific expenditure type, which was used by the reporting firm in the final stage of the creditworthiness assessment.</w:t>
            </w:r>
          </w:p>
          <w:p w14:paraId="29040BF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B4C5B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figure used in the final stage of the creditworthiness assessment for the regulated credit agreement was for a different time period, this should include a derivation of this figure to estimate the monthly equivalent."</w:t>
            </w:r>
          </w:p>
        </w:tc>
      </w:tr>
      <w:tr w:rsidR="00095E11" w14:paraId="57867B2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A8E6483" w14:textId="77777777" w:rsidR="00095E11" w:rsidRPr="00285A6C" w:rsidRDefault="00095E11" w:rsidP="008D651F">
            <w:pPr>
              <w:pStyle w:val="BodyText"/>
            </w:pPr>
            <w:r w:rsidRPr="007748BC">
              <w:lastRenderedPageBreak/>
              <w:t>78A</w:t>
            </w:r>
          </w:p>
        </w:tc>
        <w:tc>
          <w:tcPr>
            <w:tcW w:w="2410" w:type="dxa"/>
          </w:tcPr>
          <w:p w14:paraId="13B2B18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48BC">
              <w:t>Type of security provided by borrower(s) in relation to agreement</w:t>
            </w:r>
          </w:p>
        </w:tc>
        <w:tc>
          <w:tcPr>
            <w:tcW w:w="2126" w:type="dxa"/>
          </w:tcPr>
          <w:p w14:paraId="495194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Guarantee or indemnity</w:t>
            </w:r>
          </w:p>
          <w:p w14:paraId="59B095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Motor vehicle/logbook</w:t>
            </w:r>
          </w:p>
          <w:p w14:paraId="667237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Any other physical asset</w:t>
            </w:r>
          </w:p>
          <w:p w14:paraId="46D53D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Future lump sum</w:t>
            </w:r>
          </w:p>
          <w:p w14:paraId="7D9C7E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Financial product</w:t>
            </w:r>
          </w:p>
          <w:p w14:paraId="77A12C5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Title restriction</w:t>
            </w:r>
          </w:p>
          <w:p w14:paraId="7D2F9F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security</w:t>
            </w:r>
          </w:p>
          <w:p w14:paraId="26FD9F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 security</w:t>
            </w:r>
          </w:p>
          <w:p w14:paraId="6ACCEF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309F9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relates to any security provided by the borrower(s) under the regulated credit agreement.</w:t>
            </w:r>
          </w:p>
          <w:p w14:paraId="40BC03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7E481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any goods which have been financed by the regulated credit agreement as a borrower-lender-supplier agreement, such as hire-purchase agreements and conditional sale agreements.</w:t>
            </w:r>
          </w:p>
          <w:p w14:paraId="6442F3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7918E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60F916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Guarantee or indemnity</w:t>
            </w:r>
          </w:p>
          <w:p w14:paraId="3E48F9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person other than the borrower(s) has provided a guarantee or an indemnity (or both) in relation to the regulated credit agreement.</w:t>
            </w:r>
          </w:p>
          <w:p w14:paraId="108548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Motor vehicle/logbook</w:t>
            </w:r>
          </w:p>
          <w:p w14:paraId="64458A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has taken a motor vehicle as security.</w:t>
            </w:r>
          </w:p>
          <w:p w14:paraId="5AD5AD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26F5D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includes, but is not limited to, a bill of sale loan agreement for which ownership of a motor vehicle is the good transferred, or a regulated credit agreement which has taken a motor vehicle as an article in pawn.</w:t>
            </w:r>
          </w:p>
          <w:p w14:paraId="155E08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Any other physical asset</w:t>
            </w:r>
          </w:p>
          <w:p w14:paraId="5372AA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has taken a physical asset other than a motor vehicle as security.</w:t>
            </w:r>
          </w:p>
          <w:p w14:paraId="71089E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2BE47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includes, but is not limited to, a bill of sale loan agreement for which ownership of a physical asset other than motor </w:t>
            </w:r>
            <w:r>
              <w:lastRenderedPageBreak/>
              <w:t>vehicle is the good transferred, or a regulated credit agreement has taken a physical asset other than a motor vehicle as an article in pawn."</w:t>
            </w:r>
          </w:p>
          <w:p w14:paraId="08C10C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Future lump sum</w:t>
            </w:r>
          </w:p>
          <w:p w14:paraId="70F9A9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secured, by assignment or otherwise, on a future lump sum expected to be received by the borrower(s) such as, but not limited to, an inheritance, a pension lump sum, a claims pay out or a settlement following litigation.</w:t>
            </w:r>
          </w:p>
          <w:p w14:paraId="34D8D6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Financial product</w:t>
            </w:r>
          </w:p>
          <w:p w14:paraId="7DA17C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secured on another financial product such as, but not limited to, an investment portfolio or a life insurance policy.</w:t>
            </w:r>
          </w:p>
          <w:p w14:paraId="374416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Title restriction</w:t>
            </w:r>
          </w:p>
          <w:p w14:paraId="4A29A9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secured by a title restriction at the Land Registry.</w:t>
            </w:r>
          </w:p>
          <w:p w14:paraId="3B66E6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security</w:t>
            </w:r>
          </w:p>
          <w:p w14:paraId="759E99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other security which is not covered by the specified options which has been provided in relation to the regulated credit agreement.</w:t>
            </w:r>
          </w:p>
          <w:p w14:paraId="6073A8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 security</w:t>
            </w:r>
          </w:p>
          <w:p w14:paraId="501FB07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 security was provided in relation to the regulated credit agreement.</w:t>
            </w:r>
          </w:p>
          <w:p w14:paraId="6AC29A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6AC35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 security has been provided in relation to the regulated credit agreement."</w:t>
            </w:r>
          </w:p>
        </w:tc>
      </w:tr>
      <w:tr w:rsidR="00095E11" w14:paraId="5BF54F6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D307F3B" w14:textId="77777777" w:rsidR="00095E11" w:rsidRPr="00285A6C" w:rsidRDefault="00095E11" w:rsidP="008D651F">
            <w:pPr>
              <w:pStyle w:val="BodyText"/>
            </w:pPr>
            <w:r w:rsidRPr="00AC674C">
              <w:lastRenderedPageBreak/>
              <w:t>79A</w:t>
            </w:r>
          </w:p>
        </w:tc>
        <w:tc>
          <w:tcPr>
            <w:tcW w:w="2410" w:type="dxa"/>
          </w:tcPr>
          <w:p w14:paraId="288DED6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Estimated value of security provided by borrower(s) in relation to agreement</w:t>
            </w:r>
          </w:p>
        </w:tc>
        <w:tc>
          <w:tcPr>
            <w:tcW w:w="2126" w:type="dxa"/>
          </w:tcPr>
          <w:p w14:paraId="67D847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D2218">
              <w:t>Numeric £</w:t>
            </w:r>
          </w:p>
        </w:tc>
        <w:tc>
          <w:tcPr>
            <w:tcW w:w="3963" w:type="dxa"/>
          </w:tcPr>
          <w:p w14:paraId="6F4677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pawn agreement, the estimated value of the articles taken in pawn under the regulated credit agreement.</w:t>
            </w:r>
          </w:p>
          <w:p w14:paraId="7D5804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4C09A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bill of sale loan agreement, the estimated value of the goods for which ownership has transferred to the lender."</w:t>
            </w:r>
          </w:p>
        </w:tc>
      </w:tr>
      <w:tr w:rsidR="00095E11" w14:paraId="16A940E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CF46095" w14:textId="77777777" w:rsidR="00095E11" w:rsidRPr="00285A6C" w:rsidRDefault="00095E11" w:rsidP="008D651F">
            <w:pPr>
              <w:pStyle w:val="BodyText"/>
            </w:pPr>
            <w:r w:rsidRPr="00AC674C">
              <w:t>80A</w:t>
            </w:r>
          </w:p>
        </w:tc>
        <w:tc>
          <w:tcPr>
            <w:tcW w:w="2410" w:type="dxa"/>
          </w:tcPr>
          <w:p w14:paraId="762A347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What type of future lump sum is the security?</w:t>
            </w:r>
          </w:p>
        </w:tc>
        <w:tc>
          <w:tcPr>
            <w:tcW w:w="2126" w:type="dxa"/>
          </w:tcPr>
          <w:p w14:paraId="4C2C32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Inheritance</w:t>
            </w:r>
          </w:p>
          <w:p w14:paraId="569518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B = Pension lump sum</w:t>
            </w:r>
          </w:p>
          <w:p w14:paraId="30D393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Claims pay out</w:t>
            </w:r>
          </w:p>
          <w:p w14:paraId="3FCBA3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Settlement following litigation</w:t>
            </w:r>
          </w:p>
          <w:p w14:paraId="025C811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31D0CF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2A710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xml:space="preserve">"The type of future lump sum expected to be received by the borrower(s) which has been provided by the borrower(s) as </w:t>
            </w:r>
            <w:r>
              <w:lastRenderedPageBreak/>
              <w:t>a security under the regulated credit agreement.</w:t>
            </w:r>
          </w:p>
          <w:p w14:paraId="4E28B58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AC9FE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227D1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Inheritance</w:t>
            </w:r>
          </w:p>
          <w:p w14:paraId="4C99D9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proceeds expected to be received by the borrower(s) from an estate of a person who has died.</w:t>
            </w:r>
          </w:p>
          <w:p w14:paraId="4526BA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Pension lump sum</w:t>
            </w:r>
          </w:p>
          <w:p w14:paraId="79D762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pension commencement lump sum expected to be received by the borrower(s).</w:t>
            </w:r>
          </w:p>
          <w:p w14:paraId="56DFCB9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Claims pay out</w:t>
            </w:r>
          </w:p>
          <w:p w14:paraId="62926A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 amount expected to be recovered for the borrower(s) in relation to a claim.</w:t>
            </w:r>
          </w:p>
          <w:p w14:paraId="260E5F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Settlement following litigation</w:t>
            </w:r>
          </w:p>
          <w:p w14:paraId="105FF4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settlement expected to be received by the borrower(s) in relation to a legal case other than a legal case in relation to a claim.</w:t>
            </w:r>
          </w:p>
          <w:p w14:paraId="4C2DB04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0FD08B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future lump sum is not as described by any of the specific options above.</w:t>
            </w:r>
          </w:p>
          <w:p w14:paraId="4E887D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54EAF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future lump sum is one of the specific options above."</w:t>
            </w:r>
          </w:p>
        </w:tc>
      </w:tr>
      <w:tr w:rsidR="00095E11" w14:paraId="377FEB1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62A818D" w14:textId="77777777" w:rsidR="00095E11" w:rsidRPr="00285A6C" w:rsidRDefault="00095E11" w:rsidP="008D651F">
            <w:pPr>
              <w:pStyle w:val="BodyText"/>
            </w:pPr>
            <w:r w:rsidRPr="00AC674C">
              <w:lastRenderedPageBreak/>
              <w:t>81A</w:t>
            </w:r>
          </w:p>
        </w:tc>
        <w:tc>
          <w:tcPr>
            <w:tcW w:w="2410" w:type="dxa"/>
          </w:tcPr>
          <w:p w14:paraId="57B8F68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Is the person who has provided the guarantee or the indemnity (or both) a natural person?</w:t>
            </w:r>
          </w:p>
        </w:tc>
        <w:tc>
          <w:tcPr>
            <w:tcW w:w="2126" w:type="dxa"/>
          </w:tcPr>
          <w:p w14:paraId="6DD79A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3621A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65A64A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06758">
              <w:t>Whether the person who has provided the guarantee or the indemnity (or both) as security in relation to the regulated credit agreement is a natural person.</w:t>
            </w:r>
          </w:p>
        </w:tc>
      </w:tr>
      <w:tr w:rsidR="00095E11" w14:paraId="22AB902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6A9D42" w14:textId="77777777" w:rsidR="00095E11" w:rsidRPr="00285A6C" w:rsidRDefault="00095E11" w:rsidP="008D651F">
            <w:pPr>
              <w:pStyle w:val="BodyText"/>
            </w:pPr>
            <w:r w:rsidRPr="00AC674C">
              <w:t>82A</w:t>
            </w:r>
          </w:p>
        </w:tc>
        <w:tc>
          <w:tcPr>
            <w:tcW w:w="2410" w:type="dxa"/>
          </w:tcPr>
          <w:p w14:paraId="321FC6E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Reporting firm’s unique reference for natural person acting as guarantor</w:t>
            </w:r>
          </w:p>
        </w:tc>
        <w:tc>
          <w:tcPr>
            <w:tcW w:w="2126" w:type="dxa"/>
          </w:tcPr>
          <w:p w14:paraId="081DF17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D2218">
              <w:t>Alphanumeric</w:t>
            </w:r>
          </w:p>
        </w:tc>
        <w:tc>
          <w:tcPr>
            <w:tcW w:w="3963" w:type="dxa"/>
          </w:tcPr>
          <w:p w14:paraId="7FC55DD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unique reference used by the reporting firm in its records to identify the natural person who has provided a guarantee or an indemnity (or both) in relation to the regulated credit agreement.</w:t>
            </w:r>
          </w:p>
          <w:p w14:paraId="51AEB5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6848D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the natural person’s name or a derivation of their name.</w:t>
            </w:r>
          </w:p>
          <w:p w14:paraId="163FA3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2676C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unique reference must be used consistently for the same natural person who has provided a guarantee or an indemnity (or both) in any performance data reports for the regulated credit agreement.</w:t>
            </w:r>
          </w:p>
          <w:p w14:paraId="74C1F8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06DE3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unique reference for the same natural person, across all relevant regulated credit agreements included in the reporting firm’s back-book, sales and performance data reports. This includes a unique reference for any natural person who is a borrower under a relevant regulated credit agreement."</w:t>
            </w:r>
          </w:p>
        </w:tc>
      </w:tr>
      <w:tr w:rsidR="00095E11" w14:paraId="6806934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AC73298" w14:textId="77777777" w:rsidR="00095E11" w:rsidRPr="00285A6C" w:rsidRDefault="00095E11" w:rsidP="008D651F">
            <w:pPr>
              <w:pStyle w:val="BodyText"/>
            </w:pPr>
            <w:r w:rsidRPr="00ED1266">
              <w:lastRenderedPageBreak/>
              <w:t>83A</w:t>
            </w:r>
          </w:p>
        </w:tc>
        <w:tc>
          <w:tcPr>
            <w:tcW w:w="2410" w:type="dxa"/>
          </w:tcPr>
          <w:p w14:paraId="36ECAAB1"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date of birth</w:t>
            </w:r>
          </w:p>
        </w:tc>
        <w:tc>
          <w:tcPr>
            <w:tcW w:w="2126" w:type="dxa"/>
          </w:tcPr>
          <w:p w14:paraId="305D07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0654">
              <w:t>DD/MM/YYYY</w:t>
            </w:r>
          </w:p>
        </w:tc>
        <w:tc>
          <w:tcPr>
            <w:tcW w:w="3963" w:type="dxa"/>
          </w:tcPr>
          <w:p w14:paraId="7C085D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7A25">
              <w:t>The date of birth of the natural person who has provided a guarantee or an indemnity (or both) in relation to the regulated credit agreement.</w:t>
            </w:r>
          </w:p>
        </w:tc>
      </w:tr>
      <w:tr w:rsidR="00095E11" w14:paraId="49739E7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F4DAF89" w14:textId="77777777" w:rsidR="00095E11" w:rsidRPr="00285A6C" w:rsidRDefault="00095E11" w:rsidP="008D651F">
            <w:pPr>
              <w:pStyle w:val="BodyText"/>
            </w:pPr>
            <w:r w:rsidRPr="00ED1266">
              <w:t>84A</w:t>
            </w:r>
          </w:p>
        </w:tc>
        <w:tc>
          <w:tcPr>
            <w:tcW w:w="2410" w:type="dxa"/>
          </w:tcPr>
          <w:p w14:paraId="42540E4F"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residential address type</w:t>
            </w:r>
          </w:p>
        </w:tc>
        <w:tc>
          <w:tcPr>
            <w:tcW w:w="2126" w:type="dxa"/>
          </w:tcPr>
          <w:p w14:paraId="2DB5C9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United Kingdom</w:t>
            </w:r>
          </w:p>
          <w:p w14:paraId="3212A7D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British Forces Post Office</w:t>
            </w:r>
          </w:p>
          <w:p w14:paraId="10BE58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Overseas</w:t>
            </w:r>
          </w:p>
          <w:p w14:paraId="714A55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4BC39E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2A9E20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main residence for the guarantor on the date the regulated credit agreement was executed.</w:t>
            </w:r>
          </w:p>
          <w:p w14:paraId="0F52F2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C3589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CD8AC1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United Kingdom</w:t>
            </w:r>
          </w:p>
          <w:p w14:paraId="0F4FCB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in the United Kingdom or a Crown Dependency and is not a British Forces Post Office address.</w:t>
            </w:r>
          </w:p>
          <w:p w14:paraId="033CB85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British Forces Post Office</w:t>
            </w:r>
          </w:p>
          <w:p w14:paraId="4B79D3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a British Forces Post Office address.</w:t>
            </w:r>
          </w:p>
          <w:p w14:paraId="1BC032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Overseas</w:t>
            </w:r>
          </w:p>
          <w:p w14:paraId="3750CD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not in the United Kingdom or a Crown Dependency and is not a British Forces Post Office address.</w:t>
            </w:r>
          </w:p>
          <w:p w14:paraId="31DEC3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4A0D47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main residence for the guarantor is not as described by any of the specific options above.</w:t>
            </w:r>
          </w:p>
          <w:p w14:paraId="7A8F5F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956FE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a residential address type which the reporting firm cannot determine to be one of the specific options above."</w:t>
            </w:r>
          </w:p>
        </w:tc>
      </w:tr>
      <w:tr w:rsidR="00095E11" w14:paraId="5AC79F15"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39205C0" w14:textId="77777777" w:rsidR="00095E11" w:rsidRPr="00285A6C" w:rsidRDefault="00095E11" w:rsidP="008D651F">
            <w:pPr>
              <w:pStyle w:val="BodyText"/>
            </w:pPr>
            <w:r w:rsidRPr="00ED1266">
              <w:lastRenderedPageBreak/>
              <w:t>85A</w:t>
            </w:r>
          </w:p>
        </w:tc>
        <w:tc>
          <w:tcPr>
            <w:tcW w:w="2410" w:type="dxa"/>
          </w:tcPr>
          <w:p w14:paraId="43F3998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residential postcode on the agreement execution date</w:t>
            </w:r>
          </w:p>
        </w:tc>
        <w:tc>
          <w:tcPr>
            <w:tcW w:w="2126" w:type="dxa"/>
          </w:tcPr>
          <w:p w14:paraId="73549B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roofErr w:type="spellStart"/>
            <w:r w:rsidRPr="00EB0654">
              <w:t>eg</w:t>
            </w:r>
            <w:proofErr w:type="spellEnd"/>
            <w:r w:rsidRPr="00EB0654">
              <w:t>, XY45 6XX</w:t>
            </w:r>
          </w:p>
        </w:tc>
        <w:tc>
          <w:tcPr>
            <w:tcW w:w="3963" w:type="dxa"/>
          </w:tcPr>
          <w:p w14:paraId="0FF1269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full postcode or equivalent of the main residence for the guarantor on the date the regulated credit agreement was executed.</w:t>
            </w:r>
          </w:p>
          <w:p w14:paraId="3162DF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917A2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UK and British Forces Post Office postcodes should take the form of, </w:t>
            </w:r>
            <w:proofErr w:type="spellStart"/>
            <w:r>
              <w:t>eg</w:t>
            </w:r>
            <w:proofErr w:type="spellEnd"/>
            <w:r>
              <w:t>, XY45 6XX."</w:t>
            </w:r>
          </w:p>
        </w:tc>
      </w:tr>
      <w:tr w:rsidR="00095E11" w14:paraId="2AB5607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72ECE3C" w14:textId="77777777" w:rsidR="00095E11" w:rsidRPr="00285A6C" w:rsidRDefault="00095E11" w:rsidP="008D651F">
            <w:pPr>
              <w:pStyle w:val="BodyText"/>
            </w:pPr>
            <w:r w:rsidRPr="00ED1266">
              <w:t>86A</w:t>
            </w:r>
          </w:p>
        </w:tc>
        <w:tc>
          <w:tcPr>
            <w:tcW w:w="2410" w:type="dxa"/>
          </w:tcPr>
          <w:p w14:paraId="19AA92F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residential status on the agreement execution date</w:t>
            </w:r>
          </w:p>
        </w:tc>
        <w:tc>
          <w:tcPr>
            <w:tcW w:w="2126" w:type="dxa"/>
          </w:tcPr>
          <w:p w14:paraId="3FD4C5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Owner occupier – own outright</w:t>
            </w:r>
          </w:p>
          <w:p w14:paraId="60B9F7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Owner occupier – mortgage</w:t>
            </w:r>
          </w:p>
          <w:p w14:paraId="59636F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Owner occupier – unspecified</w:t>
            </w:r>
          </w:p>
          <w:p w14:paraId="56BD26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B1 = Renting – private landlord</w:t>
            </w:r>
          </w:p>
          <w:p w14:paraId="31775E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B2 = Renting – social landlord</w:t>
            </w:r>
          </w:p>
          <w:p w14:paraId="4B6636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 Renting – unspecified</w:t>
            </w:r>
          </w:p>
          <w:p w14:paraId="2B3940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Living with relatives or friends</w:t>
            </w:r>
          </w:p>
          <w:p w14:paraId="4E5EEF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2B268C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0D6758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residential status of the guarantor on the date the regulated credit agreement was executed.</w:t>
            </w:r>
          </w:p>
          <w:p w14:paraId="3E66BFF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6DF220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392832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63712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9C704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Owner occupier – own outright</w:t>
            </w:r>
          </w:p>
          <w:p w14:paraId="0317745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owns their main residence without a mortgage to pay for the residence.</w:t>
            </w:r>
          </w:p>
          <w:p w14:paraId="35D809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Owner occupier – mortgage</w:t>
            </w:r>
          </w:p>
          <w:p w14:paraId="3BFCB4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owns their main residence while repaying a mortgage to pay for the residence.</w:t>
            </w:r>
          </w:p>
          <w:p w14:paraId="6898DD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Owner occupier – unspecified</w:t>
            </w:r>
          </w:p>
          <w:p w14:paraId="4B7224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owns their main residence and whether they have a mortgage to pay for the residence is not recorded."</w:t>
            </w:r>
          </w:p>
          <w:p w14:paraId="74E5FD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"B1: Renting – private landlord</w:t>
            </w:r>
          </w:p>
          <w:p w14:paraId="363AE5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renting their main residence from a private landlord.</w:t>
            </w:r>
          </w:p>
          <w:p w14:paraId="0C77BD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B2: Renting – social landlord</w:t>
            </w:r>
          </w:p>
          <w:p w14:paraId="68A622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renting their main residence from a social landlord.</w:t>
            </w:r>
          </w:p>
          <w:p w14:paraId="489093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Renting – unspecified</w:t>
            </w:r>
          </w:p>
          <w:p w14:paraId="6D715E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renting their main residence and the type of landlord is not recorded.</w:t>
            </w:r>
          </w:p>
          <w:p w14:paraId="3135C7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Living with relatives or friends</w:t>
            </w:r>
          </w:p>
          <w:p w14:paraId="7722F3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living with relatives or friends, without a tenancy agreement.</w:t>
            </w:r>
          </w:p>
          <w:p w14:paraId="12EC05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03899FB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guarantor’s residential status is not as described by any of the specific options above.</w:t>
            </w:r>
          </w:p>
          <w:p w14:paraId="51C0A5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68C2D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guarantor’s residential status to be one of the specific options above."</w:t>
            </w:r>
          </w:p>
        </w:tc>
      </w:tr>
      <w:tr w:rsidR="00095E11" w14:paraId="7BCA016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B419B1B" w14:textId="77777777" w:rsidR="00095E11" w:rsidRPr="00285A6C" w:rsidRDefault="00095E11" w:rsidP="008D651F">
            <w:pPr>
              <w:pStyle w:val="BodyText"/>
            </w:pPr>
            <w:r w:rsidRPr="003627F0">
              <w:lastRenderedPageBreak/>
              <w:t>87A</w:t>
            </w:r>
          </w:p>
        </w:tc>
        <w:tc>
          <w:tcPr>
            <w:tcW w:w="2410" w:type="dxa"/>
          </w:tcPr>
          <w:p w14:paraId="6EE81C4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27F0">
              <w:t>Guarantor’s employment status on the agreement execution date</w:t>
            </w:r>
          </w:p>
        </w:tc>
        <w:tc>
          <w:tcPr>
            <w:tcW w:w="2126" w:type="dxa"/>
          </w:tcPr>
          <w:p w14:paraId="599260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Employed – permanent or fixed-term</w:t>
            </w:r>
          </w:p>
          <w:p w14:paraId="5F7A02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Employed – temporary</w:t>
            </w:r>
          </w:p>
          <w:p w14:paraId="66CB00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Employed – unspecified</w:t>
            </w:r>
          </w:p>
          <w:p w14:paraId="14EB13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Self-employed</w:t>
            </w:r>
          </w:p>
          <w:p w14:paraId="194BFA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Not employed</w:t>
            </w:r>
          </w:p>
          <w:p w14:paraId="12CDF1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01BB73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F5AF4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employment status of the guarantor on the date the regulated credit agreement was executed.</w:t>
            </w:r>
          </w:p>
          <w:p w14:paraId="2F69B0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49772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41192A0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D6D39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24145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Employed permanent or fixed-term</w:t>
            </w:r>
          </w:p>
          <w:p w14:paraId="7D1B86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had a permanent or fixed-term contract(s) to work for an employer(s).</w:t>
            </w:r>
          </w:p>
          <w:p w14:paraId="24065E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Employed temporary</w:t>
            </w:r>
          </w:p>
          <w:p w14:paraId="236E42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guarantor was working through a recruitment agency.</w:t>
            </w:r>
          </w:p>
          <w:p w14:paraId="58082B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Employed unspecified</w:t>
            </w:r>
          </w:p>
          <w:p w14:paraId="4C71C4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was working for an employer(s) and the type of employment is not recorded.</w:t>
            </w:r>
          </w:p>
          <w:p w14:paraId="4390E2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Self-employed</w:t>
            </w:r>
          </w:p>
          <w:p w14:paraId="285100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was working for themself as a sole trader.</w:t>
            </w:r>
          </w:p>
          <w:p w14:paraId="469DC1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Not employed</w:t>
            </w:r>
          </w:p>
          <w:p w14:paraId="2D1006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was not employed.</w:t>
            </w:r>
          </w:p>
          <w:p w14:paraId="5ACC63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6E074E5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guarantor is not covered by the specified options.</w:t>
            </w:r>
          </w:p>
          <w:p w14:paraId="2955F2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13CFD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guarantor was not recorded by the reporting firm."</w:t>
            </w:r>
          </w:p>
        </w:tc>
      </w:tr>
      <w:tr w:rsidR="00095E11" w14:paraId="0F04D1B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A422D6" w14:textId="77777777" w:rsidR="00095E11" w:rsidRPr="00285A6C" w:rsidRDefault="00095E11" w:rsidP="008D651F">
            <w:pPr>
              <w:pStyle w:val="BodyText"/>
            </w:pPr>
            <w:r w:rsidRPr="003627F0">
              <w:lastRenderedPageBreak/>
              <w:t>88A</w:t>
            </w:r>
          </w:p>
        </w:tc>
        <w:tc>
          <w:tcPr>
            <w:tcW w:w="2410" w:type="dxa"/>
          </w:tcPr>
          <w:p w14:paraId="26D9269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27F0">
              <w:t>Detail of guarantor’s employment</w:t>
            </w:r>
          </w:p>
        </w:tc>
        <w:tc>
          <w:tcPr>
            <w:tcW w:w="2126" w:type="dxa"/>
          </w:tcPr>
          <w:p w14:paraId="73A92C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Full-time</w:t>
            </w:r>
          </w:p>
          <w:p w14:paraId="3C16F1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Part-time</w:t>
            </w:r>
          </w:p>
          <w:p w14:paraId="572D4B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Casual</w:t>
            </w:r>
          </w:p>
          <w:p w14:paraId="7FBBA5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5CC702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59BA74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employment status of the guarantor on the date the regulated credit agreement was executed.</w:t>
            </w:r>
          </w:p>
          <w:p w14:paraId="6105EE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BA34B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029929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8EBD7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ABEC8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Full-time</w:t>
            </w:r>
          </w:p>
          <w:p w14:paraId="2414D7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guarantor as full-time.</w:t>
            </w:r>
          </w:p>
          <w:p w14:paraId="4EA2E9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Part-time</w:t>
            </w:r>
          </w:p>
          <w:p w14:paraId="5AF520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guarantor as part-time.</w:t>
            </w:r>
          </w:p>
          <w:p w14:paraId="08E830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Casual</w:t>
            </w:r>
          </w:p>
          <w:p w14:paraId="4E879A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reporting firm </w:t>
            </w:r>
            <w:proofErr w:type="spellStart"/>
            <w:r>
              <w:t>categorised</w:t>
            </w:r>
            <w:proofErr w:type="spellEnd"/>
            <w:r>
              <w:t xml:space="preserve"> the employment of the guarantor as casual. This includes a zero-hours contract.</w:t>
            </w:r>
          </w:p>
          <w:p w14:paraId="4338E9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7974E4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employment of the guarantor in a way that is not covered by the specified options above.</w:t>
            </w:r>
          </w:p>
          <w:p w14:paraId="1474A3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59AE4E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has not </w:t>
            </w:r>
            <w:proofErr w:type="spellStart"/>
            <w:r>
              <w:t>categorised</w:t>
            </w:r>
            <w:proofErr w:type="spellEnd"/>
            <w:r>
              <w:t xml:space="preserve"> the employment of the guarantor in this way."</w:t>
            </w:r>
          </w:p>
        </w:tc>
      </w:tr>
      <w:tr w:rsidR="00095E11" w14:paraId="745239D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6EF4DCD" w14:textId="77777777" w:rsidR="00095E11" w:rsidRPr="00285A6C" w:rsidRDefault="00095E11" w:rsidP="008D651F">
            <w:pPr>
              <w:pStyle w:val="BodyText"/>
            </w:pPr>
            <w:r w:rsidRPr="00BE7FD0">
              <w:lastRenderedPageBreak/>
              <w:t>89A</w:t>
            </w:r>
          </w:p>
        </w:tc>
        <w:tc>
          <w:tcPr>
            <w:tcW w:w="2410" w:type="dxa"/>
          </w:tcPr>
          <w:p w14:paraId="65887AE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7FD0">
              <w:t>Detail of guarantor’s not employed status</w:t>
            </w:r>
          </w:p>
        </w:tc>
        <w:tc>
          <w:tcPr>
            <w:tcW w:w="2126" w:type="dxa"/>
          </w:tcPr>
          <w:p w14:paraId="3FDFCA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Seeking work</w:t>
            </w:r>
          </w:p>
          <w:p w14:paraId="075768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 education</w:t>
            </w:r>
          </w:p>
          <w:p w14:paraId="3F55D7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Retired</w:t>
            </w:r>
          </w:p>
          <w:p w14:paraId="5B42FD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Looking after the home or family</w:t>
            </w:r>
          </w:p>
          <w:p w14:paraId="33F8718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5D2941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12B85C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detail of the not employed status of the guarantor on the data the regulated credit agreement was executed.</w:t>
            </w:r>
          </w:p>
          <w:p w14:paraId="45CD4C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FE9EE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7C743A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ED95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290477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Seeking work</w:t>
            </w:r>
          </w:p>
          <w:p w14:paraId="5412DE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detail of the guarantor’s status as looking for and available for work.</w:t>
            </w:r>
          </w:p>
          <w:p w14:paraId="72F6488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 education</w:t>
            </w:r>
          </w:p>
          <w:p w14:paraId="6D4932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detail of the guarantor’s status as being in education.</w:t>
            </w:r>
          </w:p>
          <w:p w14:paraId="2C166E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Retired</w:t>
            </w:r>
          </w:p>
          <w:p w14:paraId="73910E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detail of the guarantor’s status as being retired.</w:t>
            </w:r>
          </w:p>
          <w:p w14:paraId="1ED40E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Looking after the home or family</w:t>
            </w:r>
          </w:p>
          <w:p w14:paraId="484C0D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w:t>
            </w:r>
            <w:proofErr w:type="spellStart"/>
            <w:r>
              <w:t>categorised</w:t>
            </w:r>
            <w:proofErr w:type="spellEnd"/>
            <w:r>
              <w:t xml:space="preserve"> the detail of the guarantor’s status as looking after the home or family. This includes being a carer for a close family member.</w:t>
            </w:r>
          </w:p>
          <w:p w14:paraId="28ADFA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3571EF6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reporting firm </w:t>
            </w:r>
            <w:proofErr w:type="spellStart"/>
            <w:r>
              <w:t>categorised</w:t>
            </w:r>
            <w:proofErr w:type="spellEnd"/>
            <w:r>
              <w:t xml:space="preserve"> the detail of the guarantor’s status in a way that is not covered by the specified options above.</w:t>
            </w:r>
          </w:p>
          <w:p w14:paraId="6EF935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697CD0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has not </w:t>
            </w:r>
            <w:proofErr w:type="spellStart"/>
            <w:r>
              <w:t>categorised</w:t>
            </w:r>
            <w:proofErr w:type="spellEnd"/>
            <w:r>
              <w:t xml:space="preserve"> the detail of the guarantor’s status in this way."</w:t>
            </w:r>
          </w:p>
        </w:tc>
      </w:tr>
      <w:tr w:rsidR="00095E11" w14:paraId="4A41E76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18257A2" w14:textId="77777777" w:rsidR="00095E11" w:rsidRPr="00285A6C" w:rsidRDefault="00095E11" w:rsidP="008D651F">
            <w:pPr>
              <w:pStyle w:val="BodyText"/>
            </w:pPr>
            <w:r w:rsidRPr="0008283F">
              <w:lastRenderedPageBreak/>
              <w:t>90A</w:t>
            </w:r>
          </w:p>
        </w:tc>
        <w:tc>
          <w:tcPr>
            <w:tcW w:w="2410" w:type="dxa"/>
          </w:tcPr>
          <w:p w14:paraId="5068AA0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83F">
              <w:t>Did the creditworthiness assessment of the guarantor for the agreement include any manual underwriting check?</w:t>
            </w:r>
          </w:p>
        </w:tc>
        <w:tc>
          <w:tcPr>
            <w:tcW w:w="2126" w:type="dxa"/>
          </w:tcPr>
          <w:p w14:paraId="5A4EE57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1FC6F9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2F643E3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3B336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D3005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366108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guarantor for the regulated credit agreement involved a manual intervention/ assessment by a natural person.</w:t>
            </w:r>
          </w:p>
          <w:p w14:paraId="437FC8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182E2E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guarantor for the regulated credit agreement did not involve a manual intervention/ assessment by a natural person.</w:t>
            </w:r>
          </w:p>
          <w:p w14:paraId="3EB3FB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9CF8C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creditworthiness assessment of the guarantor for the regulated credit agreement involved any manual intervention/ assessment by a natural person."</w:t>
            </w:r>
          </w:p>
        </w:tc>
      </w:tr>
      <w:tr w:rsidR="00095E11" w14:paraId="1BE5DD3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D582034" w14:textId="77777777" w:rsidR="00095E11" w:rsidRPr="00285A6C" w:rsidRDefault="00095E11" w:rsidP="008D651F">
            <w:pPr>
              <w:pStyle w:val="BodyText"/>
            </w:pPr>
            <w:r w:rsidRPr="0008283F">
              <w:t>91A</w:t>
            </w:r>
          </w:p>
        </w:tc>
        <w:tc>
          <w:tcPr>
            <w:tcW w:w="2410" w:type="dxa"/>
          </w:tcPr>
          <w:p w14:paraId="18D8626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83F">
              <w:t>Income and expenditure information held in relation to the creditworthiness assessment of the guarantor</w:t>
            </w:r>
          </w:p>
        </w:tc>
        <w:tc>
          <w:tcPr>
            <w:tcW w:w="2126" w:type="dxa"/>
          </w:tcPr>
          <w:p w14:paraId="4043D86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No income and expenditure</w:t>
            </w:r>
          </w:p>
          <w:p w14:paraId="05D15F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Income and expenditure, no declared income and expenditure, no breakdown</w:t>
            </w:r>
          </w:p>
          <w:p w14:paraId="4C45BB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Income and expenditure, with declared income and expenditure, no breakdown</w:t>
            </w:r>
          </w:p>
          <w:p w14:paraId="2A38CE7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Income and expenditure, no declared income and expenditure, with breakdown</w:t>
            </w:r>
          </w:p>
          <w:p w14:paraId="605669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E = Income and expenditure, with declared income and expenditure, with breakdown</w:t>
            </w:r>
          </w:p>
          <w:p w14:paraId="6E09EB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DA303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"This should reflect the income and non-discretionary expenditure information held by the reporting firm for the creditworthiness assessment of the guarantor in relation to the regulated credit agreement.</w:t>
            </w:r>
          </w:p>
          <w:p w14:paraId="41C23D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3D038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60AAA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No income and expenditure</w:t>
            </w:r>
          </w:p>
          <w:p w14:paraId="124DBD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considered the guarantor’s income and non-discretionary expenditure in accordance with CONC 5.2A.31R and CONC 5.2A.32G.</w:t>
            </w:r>
          </w:p>
          <w:p w14:paraId="4B5922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Income and expenditure, no declared income and expenditure, no breakdown</w:t>
            </w:r>
          </w:p>
          <w:p w14:paraId="359C2F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(1) The reporting firm holds the values used for the guarantor’s income and non-discretionary expenditure in relation to the creditworthiness assessment of the guarantor;</w:t>
            </w:r>
          </w:p>
          <w:p w14:paraId="43D889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guarantor for their income and non-discretionary expenditure; and</w:t>
            </w:r>
          </w:p>
          <w:p w14:paraId="6511F2E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does not hold values for the non-discretionary expenditure broken down to housing, existing credit commitments and/or other costs.</w:t>
            </w:r>
          </w:p>
          <w:p w14:paraId="7CA09D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Income and expenditure, with declared income and expenditure, no breakdown</w:t>
            </w:r>
          </w:p>
          <w:p w14:paraId="38C33A3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guarantor’s income and non-discretionary expenditure in relation to the creditworthiness assessment of the guarantor;</w:t>
            </w:r>
          </w:p>
          <w:p w14:paraId="349CC9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guarantor for their income and non-discretionary expenditure; and</w:t>
            </w:r>
          </w:p>
          <w:p w14:paraId="7DE3D58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does not hold values for the non-discretionary expenditure broken down to housing, existing credit commitments and/or other costs."</w:t>
            </w:r>
          </w:p>
          <w:p w14:paraId="2883A9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Income and expenditure, no declared income and expenditure, with breakdown</w:t>
            </w:r>
          </w:p>
          <w:p w14:paraId="5E0D97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guarantor’s income and non-discretionary expenditure in relation to the creditworthiness assessment of the guarantor;</w:t>
            </w:r>
          </w:p>
          <w:p w14:paraId="4A7E3D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guarantor for their income and non-discretionary expenditure; and</w:t>
            </w:r>
          </w:p>
          <w:p w14:paraId="6813AE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holds values for the non-discretionary expenditure broken down to housing, existing credit commitments and/or other costs.</w:t>
            </w:r>
          </w:p>
          <w:p w14:paraId="562647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Income and expenditure, with declared income and expenditure, with breakdown</w:t>
            </w:r>
          </w:p>
          <w:p w14:paraId="157F3C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guarantor’s income and non-</w:t>
            </w:r>
            <w:r>
              <w:lastRenderedPageBreak/>
              <w:t>discretionary expenditure in relation to the creditworthiness assessment of the guarantor;</w:t>
            </w:r>
          </w:p>
          <w:p w14:paraId="4D2F58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guarantor for their income and non-discretionary expenditure; and</w:t>
            </w:r>
          </w:p>
          <w:p w14:paraId="2C6E6C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holds values for the non-discretionary expenditure broken down to housing, existing credit commitments, and/or other costs.</w:t>
            </w:r>
          </w:p>
          <w:p w14:paraId="2333A4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F4D19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the values used for the guarantor’s income and non-discretionary expenditure in relation to the creditworthiness assessment of the guarantor."</w:t>
            </w:r>
          </w:p>
        </w:tc>
      </w:tr>
      <w:tr w:rsidR="00095E11" w14:paraId="014C099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C6588EF" w14:textId="77777777" w:rsidR="00095E11" w:rsidRPr="00285A6C" w:rsidRDefault="00095E11" w:rsidP="008D651F">
            <w:pPr>
              <w:pStyle w:val="BodyText"/>
            </w:pPr>
            <w:r w:rsidRPr="001D6292">
              <w:lastRenderedPageBreak/>
              <w:t>92A</w:t>
            </w:r>
          </w:p>
        </w:tc>
        <w:tc>
          <w:tcPr>
            <w:tcW w:w="2410" w:type="dxa"/>
          </w:tcPr>
          <w:p w14:paraId="3E432AD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D6292">
              <w:t xml:space="preserve">Number of financial </w:t>
            </w:r>
            <w:proofErr w:type="spellStart"/>
            <w:r w:rsidRPr="001D6292">
              <w:t>dependants</w:t>
            </w:r>
            <w:proofErr w:type="spellEnd"/>
            <w:r w:rsidRPr="001D6292">
              <w:t xml:space="preserve"> for the guarantor</w:t>
            </w:r>
          </w:p>
        </w:tc>
        <w:tc>
          <w:tcPr>
            <w:tcW w:w="2126" w:type="dxa"/>
          </w:tcPr>
          <w:p w14:paraId="31D04B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"0 = No financial </w:t>
            </w:r>
            <w:proofErr w:type="spellStart"/>
            <w:r>
              <w:t>dependants</w:t>
            </w:r>
            <w:proofErr w:type="spellEnd"/>
          </w:p>
          <w:p w14:paraId="1EF351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 = 1 financial </w:t>
            </w:r>
            <w:proofErr w:type="spellStart"/>
            <w:r>
              <w:t>dependant</w:t>
            </w:r>
            <w:proofErr w:type="spellEnd"/>
          </w:p>
          <w:p w14:paraId="77789A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2 = 2 financial </w:t>
            </w:r>
            <w:proofErr w:type="spellStart"/>
            <w:r>
              <w:t>dependants</w:t>
            </w:r>
            <w:proofErr w:type="spellEnd"/>
          </w:p>
          <w:p w14:paraId="68C8AD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 3 financial </w:t>
            </w:r>
            <w:proofErr w:type="spellStart"/>
            <w:r>
              <w:t>dependants</w:t>
            </w:r>
            <w:proofErr w:type="spellEnd"/>
          </w:p>
          <w:p w14:paraId="75BB7F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4 = 4 financial </w:t>
            </w:r>
            <w:proofErr w:type="spellStart"/>
            <w:r>
              <w:t>dependants</w:t>
            </w:r>
            <w:proofErr w:type="spellEnd"/>
          </w:p>
          <w:p w14:paraId="35102C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5 = 5 financial </w:t>
            </w:r>
            <w:proofErr w:type="spellStart"/>
            <w:r>
              <w:t>dependants</w:t>
            </w:r>
            <w:proofErr w:type="spellEnd"/>
          </w:p>
          <w:p w14:paraId="48872D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6 = 6 financial </w:t>
            </w:r>
            <w:proofErr w:type="spellStart"/>
            <w:r>
              <w:t>dependants</w:t>
            </w:r>
            <w:proofErr w:type="spellEnd"/>
          </w:p>
          <w:p w14:paraId="04E742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7 = 7 financial </w:t>
            </w:r>
            <w:proofErr w:type="spellStart"/>
            <w:r>
              <w:t>dependants</w:t>
            </w:r>
            <w:proofErr w:type="spellEnd"/>
          </w:p>
          <w:p w14:paraId="36E2E1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8 = 8 financial </w:t>
            </w:r>
            <w:proofErr w:type="spellStart"/>
            <w:r>
              <w:t>dependants</w:t>
            </w:r>
            <w:proofErr w:type="spellEnd"/>
          </w:p>
          <w:p w14:paraId="38FBC3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9 = 9 financial </w:t>
            </w:r>
            <w:proofErr w:type="spellStart"/>
            <w:r>
              <w:t>dependants</w:t>
            </w:r>
            <w:proofErr w:type="spellEnd"/>
          </w:p>
          <w:p w14:paraId="2D920C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10 = 10 financial </w:t>
            </w:r>
            <w:proofErr w:type="spellStart"/>
            <w:r>
              <w:t>dependants</w:t>
            </w:r>
            <w:proofErr w:type="spellEnd"/>
          </w:p>
          <w:p w14:paraId="56F44D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W = More than 10 financial </w:t>
            </w:r>
            <w:proofErr w:type="spellStart"/>
            <w:r>
              <w:t>dependants</w:t>
            </w:r>
            <w:proofErr w:type="spellEnd"/>
          </w:p>
          <w:p w14:paraId="755C69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Z = Unknown"</w:t>
            </w:r>
          </w:p>
        </w:tc>
        <w:tc>
          <w:tcPr>
            <w:tcW w:w="3963" w:type="dxa"/>
          </w:tcPr>
          <w:p w14:paraId="75521A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number of natural persons who rely on the guarantor financially, as recorded by the reporting firm.</w:t>
            </w:r>
          </w:p>
          <w:p w14:paraId="69BF72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0AA57C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reporting firm only records data on the guarantor’s financial </w:t>
            </w:r>
            <w:proofErr w:type="spellStart"/>
            <w:r>
              <w:t>dependants</w:t>
            </w:r>
            <w:proofErr w:type="spellEnd"/>
            <w:r>
              <w:t xml:space="preserve"> up to a certain number even where the guarantor’s financial </w:t>
            </w:r>
            <w:proofErr w:type="spellStart"/>
            <w:r>
              <w:t>dependants</w:t>
            </w:r>
            <w:proofErr w:type="spellEnd"/>
            <w:r>
              <w:t xml:space="preserve"> exceed that number, the reporting firm should report the highest number it records for such a guarantor.</w:t>
            </w:r>
          </w:p>
          <w:p w14:paraId="51F561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DB4E1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For example, if a reporting firm only records data on up to 5 financial </w:t>
            </w:r>
            <w:proofErr w:type="spellStart"/>
            <w:r>
              <w:t>dependants</w:t>
            </w:r>
            <w:proofErr w:type="spellEnd"/>
            <w:r>
              <w:t xml:space="preserve">, in circumstances where a guarantor has 5 or more financial </w:t>
            </w:r>
            <w:proofErr w:type="spellStart"/>
            <w:r>
              <w:t>dependants</w:t>
            </w:r>
            <w:proofErr w:type="spellEnd"/>
            <w:r>
              <w:t xml:space="preserve">, the reporting firm should report this as ‘5: 5 financial </w:t>
            </w:r>
            <w:proofErr w:type="spellStart"/>
            <w:r>
              <w:t>dependants</w:t>
            </w:r>
            <w:proofErr w:type="spellEnd"/>
            <w:r>
              <w:t>’.</w:t>
            </w:r>
          </w:p>
          <w:p w14:paraId="2F2A1C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DA706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BAC83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0: No financial </w:t>
            </w:r>
            <w:proofErr w:type="spellStart"/>
            <w:r>
              <w:t>dependants</w:t>
            </w:r>
            <w:proofErr w:type="spellEnd"/>
          </w:p>
          <w:p w14:paraId="7438759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1 financial </w:t>
            </w:r>
            <w:proofErr w:type="spellStart"/>
            <w:r>
              <w:t>dependant</w:t>
            </w:r>
            <w:proofErr w:type="spellEnd"/>
          </w:p>
          <w:p w14:paraId="350487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2 financial </w:t>
            </w:r>
            <w:proofErr w:type="spellStart"/>
            <w:r>
              <w:t>dependants</w:t>
            </w:r>
            <w:proofErr w:type="spellEnd"/>
          </w:p>
          <w:p w14:paraId="09D25C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3 financial </w:t>
            </w:r>
            <w:proofErr w:type="spellStart"/>
            <w:r>
              <w:t>dependants</w:t>
            </w:r>
            <w:proofErr w:type="spellEnd"/>
          </w:p>
          <w:p w14:paraId="662197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4: 4 financial </w:t>
            </w:r>
            <w:proofErr w:type="spellStart"/>
            <w:r>
              <w:t>dependants</w:t>
            </w:r>
            <w:proofErr w:type="spellEnd"/>
          </w:p>
          <w:p w14:paraId="31B3F4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5: 5 financial </w:t>
            </w:r>
            <w:proofErr w:type="spellStart"/>
            <w:r>
              <w:t>dependants</w:t>
            </w:r>
            <w:proofErr w:type="spellEnd"/>
          </w:p>
          <w:p w14:paraId="5FB4B7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6: 6 financial </w:t>
            </w:r>
            <w:proofErr w:type="spellStart"/>
            <w:r>
              <w:t>dependants</w:t>
            </w:r>
            <w:proofErr w:type="spellEnd"/>
          </w:p>
          <w:p w14:paraId="32EA51D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7: 7 financial </w:t>
            </w:r>
            <w:proofErr w:type="spellStart"/>
            <w:r>
              <w:t>dependants</w:t>
            </w:r>
            <w:proofErr w:type="spellEnd"/>
          </w:p>
          <w:p w14:paraId="625322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8: 8 financial </w:t>
            </w:r>
            <w:proofErr w:type="spellStart"/>
            <w:r>
              <w:t>dependants</w:t>
            </w:r>
            <w:proofErr w:type="spellEnd"/>
          </w:p>
          <w:p w14:paraId="2A6B60C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9: 9 financial </w:t>
            </w:r>
            <w:proofErr w:type="spellStart"/>
            <w:r>
              <w:t>dependants</w:t>
            </w:r>
            <w:proofErr w:type="spellEnd"/>
          </w:p>
          <w:p w14:paraId="746B81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10: 10 financial </w:t>
            </w:r>
            <w:proofErr w:type="spellStart"/>
            <w:r>
              <w:t>dependants</w:t>
            </w:r>
            <w:proofErr w:type="spellEnd"/>
          </w:p>
          <w:p w14:paraId="5B5DF1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More than 10 financial </w:t>
            </w:r>
            <w:proofErr w:type="spellStart"/>
            <w:r>
              <w:t>dependants</w:t>
            </w:r>
            <w:proofErr w:type="spellEnd"/>
          </w:p>
          <w:p w14:paraId="3E1134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3511A7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information on the natural persons who rely on the guarantor financially."</w:t>
            </w:r>
          </w:p>
        </w:tc>
      </w:tr>
      <w:tr w:rsidR="00095E11" w14:paraId="077B261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D17DC49" w14:textId="77777777" w:rsidR="00095E11" w:rsidRPr="00285A6C" w:rsidRDefault="00095E11" w:rsidP="008D651F">
            <w:pPr>
              <w:pStyle w:val="BodyText"/>
            </w:pPr>
            <w:r w:rsidRPr="001D6292">
              <w:lastRenderedPageBreak/>
              <w:t>93A</w:t>
            </w:r>
          </w:p>
        </w:tc>
        <w:tc>
          <w:tcPr>
            <w:tcW w:w="2410" w:type="dxa"/>
          </w:tcPr>
          <w:p w14:paraId="776AC9D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D6292">
              <w:t>Net or gross income values for guarantor</w:t>
            </w:r>
          </w:p>
        </w:tc>
        <w:tc>
          <w:tcPr>
            <w:tcW w:w="2126" w:type="dxa"/>
          </w:tcPr>
          <w:p w14:paraId="56CE22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Net</w:t>
            </w:r>
          </w:p>
          <w:p w14:paraId="3D1EFE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Gross"</w:t>
            </w:r>
          </w:p>
        </w:tc>
        <w:tc>
          <w:tcPr>
            <w:tcW w:w="3963" w:type="dxa"/>
          </w:tcPr>
          <w:p w14:paraId="692849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income information held by the reporting firm for the creditworthiness assessment of the guarantor in relation to the regulated credit agreement. The income value(s) reported in the relevant data element(s) must correspond with the selection made.</w:t>
            </w:r>
          </w:p>
          <w:p w14:paraId="498F48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8E353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both net and gross income values are held, the reporting firm should select ‘A: Net’ and provide the net income value(s) in the relevant data element(s).</w:t>
            </w:r>
          </w:p>
          <w:p w14:paraId="640793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B041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1CD91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Net</w:t>
            </w:r>
          </w:p>
          <w:p w14:paraId="3644AF3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guarantor’s income as net of mandatory deductions such as tax, national insurance, and student loans. This should not include any deductions for non-discretionary expenditure.</w:t>
            </w:r>
          </w:p>
          <w:p w14:paraId="0401EAB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Gross</w:t>
            </w:r>
          </w:p>
          <w:p w14:paraId="5895D7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guarantor’s income as gross income."</w:t>
            </w:r>
          </w:p>
        </w:tc>
      </w:tr>
      <w:tr w:rsidR="00095E11" w14:paraId="49F27A4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A7159D0" w14:textId="77777777" w:rsidR="00095E11" w:rsidRPr="00285A6C" w:rsidRDefault="00095E11" w:rsidP="008D651F">
            <w:pPr>
              <w:pStyle w:val="BodyText"/>
            </w:pPr>
            <w:r w:rsidRPr="00D84BE6">
              <w:lastRenderedPageBreak/>
              <w:t>94A</w:t>
            </w:r>
          </w:p>
        </w:tc>
        <w:tc>
          <w:tcPr>
            <w:tcW w:w="2410" w:type="dxa"/>
          </w:tcPr>
          <w:p w14:paraId="098F340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Monthly income of the guarantor used by the reporting firm</w:t>
            </w:r>
          </w:p>
        </w:tc>
        <w:tc>
          <w:tcPr>
            <w:tcW w:w="2126" w:type="dxa"/>
          </w:tcPr>
          <w:p w14:paraId="55CC35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Numeric £</w:t>
            </w:r>
          </w:p>
        </w:tc>
        <w:tc>
          <w:tcPr>
            <w:tcW w:w="3963" w:type="dxa"/>
          </w:tcPr>
          <w:p w14:paraId="1625CA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monthly income of the guarantor which was used by the reporting firm in the final stage of the creditworthiness assessment of the guarantor for the regulated credit agreement.</w:t>
            </w:r>
          </w:p>
          <w:p w14:paraId="42DF0F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26DD0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income figure used in the final stage of the creditworthiness assessment of the guarantor for the regulated credit agreement was for a different time period, this should include a derivation of this figure to estimate the monthly equivalent."</w:t>
            </w:r>
          </w:p>
        </w:tc>
      </w:tr>
      <w:tr w:rsidR="00095E11" w14:paraId="1112A51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6493D39" w14:textId="77777777" w:rsidR="00095E11" w:rsidRPr="00285A6C" w:rsidRDefault="00095E11" w:rsidP="008D651F">
            <w:pPr>
              <w:pStyle w:val="BodyText"/>
            </w:pPr>
            <w:r w:rsidRPr="00D84BE6">
              <w:t>95A</w:t>
            </w:r>
          </w:p>
        </w:tc>
        <w:tc>
          <w:tcPr>
            <w:tcW w:w="2410" w:type="dxa"/>
          </w:tcPr>
          <w:p w14:paraId="72BE9F3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Total monthly expenditure of the guarantor used by the reporting firm</w:t>
            </w:r>
          </w:p>
        </w:tc>
        <w:tc>
          <w:tcPr>
            <w:tcW w:w="2126" w:type="dxa"/>
          </w:tcPr>
          <w:p w14:paraId="15EF67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Numeric £</w:t>
            </w:r>
          </w:p>
        </w:tc>
        <w:tc>
          <w:tcPr>
            <w:tcW w:w="3963" w:type="dxa"/>
          </w:tcPr>
          <w:p w14:paraId="1C5289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monthly non-discretionary expenditure of the guarantor which was used by the reporting firm in the final stage of the creditworthiness assessment of the guarantor for the regulated credit agreement.</w:t>
            </w:r>
          </w:p>
          <w:p w14:paraId="258298F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E3277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figure used in the final stage of the creditworthiness assessment of the guarantor for the regulated credit agreement was for a different time period, this should include a derivation of this figure to estimate the monthly equivalent."</w:t>
            </w:r>
          </w:p>
        </w:tc>
      </w:tr>
      <w:tr w:rsidR="00095E11" w14:paraId="04FEE4A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354D9A6" w14:textId="77777777" w:rsidR="00095E11" w:rsidRPr="00285A6C" w:rsidRDefault="00095E11" w:rsidP="008D651F">
            <w:pPr>
              <w:pStyle w:val="BodyText"/>
            </w:pPr>
            <w:r w:rsidRPr="002F1102">
              <w:t>96A</w:t>
            </w:r>
          </w:p>
        </w:tc>
        <w:tc>
          <w:tcPr>
            <w:tcW w:w="2410" w:type="dxa"/>
          </w:tcPr>
          <w:p w14:paraId="392E6AC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1102">
              <w:t>Monthly income declared by the guarantor</w:t>
            </w:r>
          </w:p>
        </w:tc>
        <w:tc>
          <w:tcPr>
            <w:tcW w:w="2126" w:type="dxa"/>
          </w:tcPr>
          <w:p w14:paraId="44C42ED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1102">
              <w:t>Numeric £</w:t>
            </w:r>
          </w:p>
        </w:tc>
        <w:tc>
          <w:tcPr>
            <w:tcW w:w="3963" w:type="dxa"/>
          </w:tcPr>
          <w:p w14:paraId="3545A4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income declared by the guarantor.</w:t>
            </w:r>
          </w:p>
          <w:p w14:paraId="4BD5FCF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B570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income was declared by the guarantor for a different time period, this should include a derivation of this figure to estimate the monthly equivalent."</w:t>
            </w:r>
          </w:p>
        </w:tc>
      </w:tr>
      <w:tr w:rsidR="00095E11" w14:paraId="2126656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960806" w14:textId="77777777" w:rsidR="00095E11" w:rsidRPr="00285A6C" w:rsidRDefault="00095E11" w:rsidP="008D651F">
            <w:pPr>
              <w:pStyle w:val="BodyText"/>
            </w:pPr>
            <w:r w:rsidRPr="000C51A7">
              <w:t>97A</w:t>
            </w:r>
          </w:p>
        </w:tc>
        <w:tc>
          <w:tcPr>
            <w:tcW w:w="2410" w:type="dxa"/>
          </w:tcPr>
          <w:p w14:paraId="33BE9A9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C51A7">
              <w:t>Total monthly expenditure declared by the guarantor</w:t>
            </w:r>
          </w:p>
        </w:tc>
        <w:tc>
          <w:tcPr>
            <w:tcW w:w="2126" w:type="dxa"/>
          </w:tcPr>
          <w:p w14:paraId="323E10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1102">
              <w:t>Numeric £</w:t>
            </w:r>
          </w:p>
        </w:tc>
        <w:tc>
          <w:tcPr>
            <w:tcW w:w="3963" w:type="dxa"/>
          </w:tcPr>
          <w:p w14:paraId="12111F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non-discretionary expenditure declared by the guarantor.</w:t>
            </w:r>
          </w:p>
          <w:p w14:paraId="35ED57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D3EE6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was declared by the guarantor for a different time period, this should include a derivation of this figure to estimate the monthly equivalent."</w:t>
            </w:r>
          </w:p>
        </w:tc>
      </w:tr>
      <w:tr w:rsidR="00095E11" w14:paraId="0B8B8E68"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0C2529" w14:textId="77777777" w:rsidR="00095E11" w:rsidRPr="00285A6C" w:rsidRDefault="00095E11" w:rsidP="008D651F">
            <w:pPr>
              <w:pStyle w:val="BodyText"/>
            </w:pPr>
            <w:r w:rsidRPr="00B95A68">
              <w:lastRenderedPageBreak/>
              <w:t>98A</w:t>
            </w:r>
          </w:p>
        </w:tc>
        <w:tc>
          <w:tcPr>
            <w:tcW w:w="2410" w:type="dxa"/>
          </w:tcPr>
          <w:p w14:paraId="41FA777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95A68">
              <w:t>Specific type of monthly expenditure of the guarantor used by the reporting firm</w:t>
            </w:r>
          </w:p>
        </w:tc>
        <w:tc>
          <w:tcPr>
            <w:tcW w:w="2126" w:type="dxa"/>
          </w:tcPr>
          <w:p w14:paraId="40C563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Housing costs</w:t>
            </w:r>
          </w:p>
          <w:p w14:paraId="6F8CAE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Existing credit commitments</w:t>
            </w:r>
          </w:p>
          <w:p w14:paraId="03048F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Other expenditure"</w:t>
            </w:r>
          </w:p>
        </w:tc>
        <w:tc>
          <w:tcPr>
            <w:tcW w:w="3963" w:type="dxa"/>
          </w:tcPr>
          <w:p w14:paraId="60F4D2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B3341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Housing costs</w:t>
            </w:r>
          </w:p>
          <w:p w14:paraId="685C82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Housing costs should include any rent, mortgage payments, ground rent or service charges for the dwelling in which the guarantor lives.</w:t>
            </w:r>
          </w:p>
          <w:p w14:paraId="4003B7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Existing credit commitments</w:t>
            </w:r>
          </w:p>
          <w:p w14:paraId="699FF2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Existing credit commitments should include repayments of outstanding credit agreements or mortgage agreements not for the purchase of the dwelling in which the guarantor lives.</w:t>
            </w:r>
          </w:p>
          <w:p w14:paraId="382C39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Other expenditure</w:t>
            </w:r>
          </w:p>
          <w:p w14:paraId="13AA69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Other costs should not include non-discretionary expenditure relating to housing costs or existing credit commitments. It should include, but is not limited to, living expenses."</w:t>
            </w:r>
          </w:p>
        </w:tc>
      </w:tr>
      <w:tr w:rsidR="00095E11" w14:paraId="4314109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E2D7FE" w14:textId="77777777" w:rsidR="00095E11" w:rsidRPr="00285A6C" w:rsidRDefault="00095E11" w:rsidP="008D651F">
            <w:pPr>
              <w:pStyle w:val="BodyText"/>
            </w:pPr>
            <w:r w:rsidRPr="00B95A68">
              <w:t>98B</w:t>
            </w:r>
          </w:p>
        </w:tc>
        <w:tc>
          <w:tcPr>
            <w:tcW w:w="2410" w:type="dxa"/>
          </w:tcPr>
          <w:p w14:paraId="3084E53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95A68">
              <w:t>Specific total monthly expenditure of the guarantor used by the reporting firm</w:t>
            </w:r>
          </w:p>
        </w:tc>
        <w:tc>
          <w:tcPr>
            <w:tcW w:w="2126" w:type="dxa"/>
          </w:tcPr>
          <w:p w14:paraId="755972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2453E">
              <w:t>Numeric £</w:t>
            </w:r>
          </w:p>
        </w:tc>
        <w:tc>
          <w:tcPr>
            <w:tcW w:w="3963" w:type="dxa"/>
          </w:tcPr>
          <w:p w14:paraId="0382C4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expenditure of the guarantor, covering the costs associated with the specific expenditure type, which was used by the reporting firm in the final stage of the creditworthiness assessment of the guarantor.</w:t>
            </w:r>
          </w:p>
          <w:p w14:paraId="4AAE86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478A30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figure used in the final stage of the creditworthiness assessment of the guarantor for the regulated credit agreement was for a different time period, this should include a derivation of this figure to estimate the monthly equivalent."</w:t>
            </w:r>
          </w:p>
        </w:tc>
      </w:tr>
      <w:tr w:rsidR="00095E11" w14:paraId="6AF6483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3CDA67B" w14:textId="77777777" w:rsidR="00095E11" w:rsidRPr="00285A6C" w:rsidRDefault="00095E11" w:rsidP="008D651F">
            <w:pPr>
              <w:pStyle w:val="BodyText"/>
            </w:pPr>
            <w:r w:rsidRPr="00A75AA6">
              <w:t>99A</w:t>
            </w:r>
          </w:p>
        </w:tc>
        <w:tc>
          <w:tcPr>
            <w:tcW w:w="2410" w:type="dxa"/>
          </w:tcPr>
          <w:p w14:paraId="3378A1E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Total amount of credit</w:t>
            </w:r>
          </w:p>
        </w:tc>
        <w:tc>
          <w:tcPr>
            <w:tcW w:w="2126" w:type="dxa"/>
          </w:tcPr>
          <w:p w14:paraId="35E850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2C6F69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 limit or the total sums made available under the regulated credit agreement, as on the date the regulated credit agreement was executed.</w:t>
            </w:r>
          </w:p>
          <w:p w14:paraId="4928E4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0E34C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facility under the regulated credit agreement is for running-account credit and the credit limit was not known when the regulated credit </w:t>
            </w:r>
            <w:r>
              <w:lastRenderedPageBreak/>
              <w:t>agreement was executed, provide the value for the total amount of credit which was used in the calculation of the APR for the regulated credit agreement."</w:t>
            </w:r>
          </w:p>
        </w:tc>
      </w:tr>
      <w:tr w:rsidR="00095E11" w14:paraId="0A7B7F9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53CF5B8" w14:textId="77777777" w:rsidR="00095E11" w:rsidRPr="00285A6C" w:rsidRDefault="00095E11" w:rsidP="008D651F">
            <w:pPr>
              <w:pStyle w:val="BodyText"/>
            </w:pPr>
            <w:r w:rsidRPr="00A75AA6">
              <w:lastRenderedPageBreak/>
              <w:t>100A</w:t>
            </w:r>
          </w:p>
        </w:tc>
        <w:tc>
          <w:tcPr>
            <w:tcW w:w="2410" w:type="dxa"/>
          </w:tcPr>
          <w:p w14:paraId="0EAB4D0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The value of the total amount of credit which is not advanced to the borrower(s) at the start of the agreement</w:t>
            </w:r>
          </w:p>
        </w:tc>
        <w:tc>
          <w:tcPr>
            <w:tcW w:w="2126" w:type="dxa"/>
          </w:tcPr>
          <w:p w14:paraId="5CB65C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5B0C85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C0F05">
              <w:t>The value of any part of the total amount of credit which is not advanced to the borrower(s) at the start of the agreement but is instead available to be drawn down at a later date.</w:t>
            </w:r>
          </w:p>
        </w:tc>
      </w:tr>
      <w:tr w:rsidR="00095E11" w14:paraId="210607A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EDB76B0" w14:textId="77777777" w:rsidR="00095E11" w:rsidRPr="00285A6C" w:rsidRDefault="00095E11" w:rsidP="008D651F">
            <w:pPr>
              <w:pStyle w:val="BodyText"/>
            </w:pPr>
            <w:r w:rsidRPr="00A75AA6">
              <w:t>101A</w:t>
            </w:r>
          </w:p>
        </w:tc>
        <w:tc>
          <w:tcPr>
            <w:tcW w:w="2410" w:type="dxa"/>
          </w:tcPr>
          <w:p w14:paraId="046510D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Total cash price of all goods and services financed by the agreement</w:t>
            </w:r>
          </w:p>
        </w:tc>
        <w:tc>
          <w:tcPr>
            <w:tcW w:w="2126" w:type="dxa"/>
          </w:tcPr>
          <w:p w14:paraId="3442AA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7CA6AB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E04">
              <w:t>The total cash price of all goods and services financed by the regulated credit agreement.</w:t>
            </w:r>
          </w:p>
        </w:tc>
      </w:tr>
      <w:tr w:rsidR="00095E11" w14:paraId="644BD08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F5F8BEB" w14:textId="77777777" w:rsidR="00095E11" w:rsidRPr="00285A6C" w:rsidRDefault="00095E11" w:rsidP="008D651F">
            <w:pPr>
              <w:pStyle w:val="BodyText"/>
            </w:pPr>
            <w:r w:rsidRPr="00A75AA6">
              <w:t>102A</w:t>
            </w:r>
          </w:p>
        </w:tc>
        <w:tc>
          <w:tcPr>
            <w:tcW w:w="2410" w:type="dxa"/>
          </w:tcPr>
          <w:p w14:paraId="0F87ADCF"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Advance payment</w:t>
            </w:r>
          </w:p>
        </w:tc>
        <w:tc>
          <w:tcPr>
            <w:tcW w:w="2126" w:type="dxa"/>
          </w:tcPr>
          <w:p w14:paraId="6323A6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69B1C7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E04">
              <w:t>Any advance payment made by the borrower(s).</w:t>
            </w:r>
          </w:p>
        </w:tc>
      </w:tr>
      <w:tr w:rsidR="00095E11" w14:paraId="26A01A6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B8BB3F1" w14:textId="77777777" w:rsidR="00095E11" w:rsidRPr="00285A6C" w:rsidRDefault="00095E11" w:rsidP="008D651F">
            <w:pPr>
              <w:pStyle w:val="BodyText"/>
            </w:pPr>
            <w:r w:rsidRPr="001A0286">
              <w:t>103A</w:t>
            </w:r>
          </w:p>
        </w:tc>
        <w:tc>
          <w:tcPr>
            <w:tcW w:w="2410" w:type="dxa"/>
          </w:tcPr>
          <w:p w14:paraId="498309C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APR</w:t>
            </w:r>
          </w:p>
        </w:tc>
        <w:tc>
          <w:tcPr>
            <w:tcW w:w="2126" w:type="dxa"/>
          </w:tcPr>
          <w:p w14:paraId="431B00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334EC">
              <w:t>Numeric %</w:t>
            </w:r>
          </w:p>
        </w:tc>
        <w:tc>
          <w:tcPr>
            <w:tcW w:w="3963" w:type="dxa"/>
          </w:tcPr>
          <w:p w14:paraId="7DE8FC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percentage rate of charge for the regulated credit agreement calculated in accordance with CONC App 1.2 as on the date the regulated credit agreement was executed.</w:t>
            </w:r>
          </w:p>
          <w:p w14:paraId="6E35F25F" w14:textId="77777777" w:rsidR="00095E11" w:rsidRPr="00604832"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604832">
              <w:rPr>
                <w:b/>
                <w:bCs/>
              </w:rPr>
              <w:t>This number should be reported as a percentage to 2 decimal places (</w:t>
            </w:r>
            <w:proofErr w:type="spellStart"/>
            <w:r w:rsidRPr="00604832">
              <w:rPr>
                <w:b/>
                <w:bCs/>
              </w:rPr>
              <w:t>eg</w:t>
            </w:r>
            <w:proofErr w:type="spellEnd"/>
            <w:r w:rsidRPr="00604832">
              <w:rPr>
                <w:b/>
                <w:bCs/>
              </w:rPr>
              <w:t>, 3.49 represents 3.49%, not 349%)."</w:t>
            </w:r>
          </w:p>
        </w:tc>
      </w:tr>
      <w:tr w:rsidR="00095E11" w14:paraId="789A5E1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722A16F" w14:textId="77777777" w:rsidR="00095E11" w:rsidRPr="00285A6C" w:rsidRDefault="00095E11" w:rsidP="008D651F">
            <w:pPr>
              <w:pStyle w:val="BodyText"/>
            </w:pPr>
            <w:r w:rsidRPr="001A0286">
              <w:t>104A</w:t>
            </w:r>
          </w:p>
        </w:tc>
        <w:tc>
          <w:tcPr>
            <w:tcW w:w="2410" w:type="dxa"/>
          </w:tcPr>
          <w:p w14:paraId="3698175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Is the annual interest rate fixed or variable?</w:t>
            </w:r>
          </w:p>
        </w:tc>
        <w:tc>
          <w:tcPr>
            <w:tcW w:w="2126" w:type="dxa"/>
          </w:tcPr>
          <w:p w14:paraId="03C4FD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Fixed rate</w:t>
            </w:r>
          </w:p>
          <w:p w14:paraId="3749E2C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Variable rate"</w:t>
            </w:r>
          </w:p>
        </w:tc>
        <w:tc>
          <w:tcPr>
            <w:tcW w:w="3963" w:type="dxa"/>
          </w:tcPr>
          <w:p w14:paraId="288E2B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119A9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Fixed rate</w:t>
            </w:r>
          </w:p>
          <w:p w14:paraId="008FCC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for the regulated credit agreement is fixed for the duration of the regulated credit agreement.</w:t>
            </w:r>
          </w:p>
          <w:p w14:paraId="2798FB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regulated credit agreements with a lower annual interest rate for an initial promotional period, which then reverts to a different fixed rate for the remaining term of the agreement.</w:t>
            </w:r>
          </w:p>
          <w:p w14:paraId="32FBAB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Variable rate</w:t>
            </w:r>
          </w:p>
          <w:p w14:paraId="7BF81D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for the regulated credit agreement is not fixed for the duration of the regulated credit agreement."</w:t>
            </w:r>
          </w:p>
        </w:tc>
      </w:tr>
      <w:tr w:rsidR="00095E11" w14:paraId="32B168F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519CE29" w14:textId="77777777" w:rsidR="00095E11" w:rsidRPr="00285A6C" w:rsidRDefault="00095E11" w:rsidP="008D651F">
            <w:pPr>
              <w:pStyle w:val="BodyText"/>
            </w:pPr>
            <w:r w:rsidRPr="001A0286">
              <w:lastRenderedPageBreak/>
              <w:t>105A</w:t>
            </w:r>
          </w:p>
        </w:tc>
        <w:tc>
          <w:tcPr>
            <w:tcW w:w="2410" w:type="dxa"/>
          </w:tcPr>
          <w:p w14:paraId="5A06E15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Does the rate of interest reduce over time in response to indicators of reduced risk?</w:t>
            </w:r>
          </w:p>
        </w:tc>
        <w:tc>
          <w:tcPr>
            <w:tcW w:w="2126" w:type="dxa"/>
          </w:tcPr>
          <w:p w14:paraId="54FEEC3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52B9DE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3F8AE5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E8CF6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10CCDF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includes terms to reduce the interest rate applied to the credit balance in response to indicators of reduced risk, such as improvements to the borrower(s)’ credit score(s) or a sequence of successful repayments in line with the repayment schedule.</w:t>
            </w:r>
          </w:p>
          <w:p w14:paraId="1EA0A8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46F1F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option should be selected even if there are additional terms covering other circumstances for which the rate of interest could reduce.</w:t>
            </w:r>
          </w:p>
          <w:p w14:paraId="0627FC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471604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does not include terms to reduce the interest rate applied to the credit balance in response to indicators of reduced risk, such as improvements to the borrower(s)’ credit score(s) or a sequence of successful repayments in line with the repayment schedule."</w:t>
            </w:r>
          </w:p>
        </w:tc>
      </w:tr>
      <w:tr w:rsidR="00095E11" w14:paraId="53CC97C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B1523D3" w14:textId="77777777" w:rsidR="00095E11" w:rsidRPr="00285A6C" w:rsidRDefault="00095E11" w:rsidP="008D651F">
            <w:pPr>
              <w:pStyle w:val="BodyText"/>
            </w:pPr>
            <w:r w:rsidRPr="001A0286">
              <w:t>106A</w:t>
            </w:r>
          </w:p>
        </w:tc>
        <w:tc>
          <w:tcPr>
            <w:tcW w:w="2410" w:type="dxa"/>
          </w:tcPr>
          <w:p w14:paraId="550C29C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Annual interest rate</w:t>
            </w:r>
          </w:p>
        </w:tc>
        <w:tc>
          <w:tcPr>
            <w:tcW w:w="2126" w:type="dxa"/>
          </w:tcPr>
          <w:p w14:paraId="4EAC50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334EC">
              <w:t>Numeric %</w:t>
            </w:r>
          </w:p>
        </w:tc>
        <w:tc>
          <w:tcPr>
            <w:tcW w:w="3963" w:type="dxa"/>
          </w:tcPr>
          <w:p w14:paraId="43906D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regulated credit agreements with a lower annual interest rate for an initial promotional period, this should reflect the annual interest rate following this initial promotional period.</w:t>
            </w:r>
          </w:p>
          <w:p w14:paraId="16B6C9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all other regulated credit agreements, this should reflect the annual interest rate on the date the regulated credit agreement was executed.</w:t>
            </w:r>
          </w:p>
          <w:p w14:paraId="7D62D685" w14:textId="77777777" w:rsidR="00095E11" w:rsidRPr="00604832"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604832">
              <w:rPr>
                <w:b/>
                <w:bCs/>
              </w:rPr>
              <w:t>This number should be reported as a percentage to 2 decimal places (</w:t>
            </w:r>
            <w:proofErr w:type="spellStart"/>
            <w:r w:rsidRPr="00604832">
              <w:rPr>
                <w:b/>
                <w:bCs/>
              </w:rPr>
              <w:t>eg</w:t>
            </w:r>
            <w:proofErr w:type="spellEnd"/>
            <w:r w:rsidRPr="00604832">
              <w:rPr>
                <w:b/>
                <w:bCs/>
              </w:rPr>
              <w:t>, 3.49 represents 3.49%, not 349%)."</w:t>
            </w:r>
          </w:p>
        </w:tc>
      </w:tr>
      <w:tr w:rsidR="00095E11" w14:paraId="5B17759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AE6FFF6" w14:textId="77777777" w:rsidR="00095E11" w:rsidRPr="00285A6C" w:rsidRDefault="00095E11" w:rsidP="008D651F">
            <w:pPr>
              <w:pStyle w:val="BodyText"/>
            </w:pPr>
            <w:r w:rsidRPr="00FD61F1">
              <w:t>107A</w:t>
            </w:r>
          </w:p>
        </w:tc>
        <w:tc>
          <w:tcPr>
            <w:tcW w:w="2410" w:type="dxa"/>
          </w:tcPr>
          <w:p w14:paraId="3AF65E5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Total charge for credit</w:t>
            </w:r>
          </w:p>
        </w:tc>
        <w:tc>
          <w:tcPr>
            <w:tcW w:w="2126" w:type="dxa"/>
          </w:tcPr>
          <w:p w14:paraId="188D8D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Numeric £</w:t>
            </w:r>
          </w:p>
        </w:tc>
        <w:tc>
          <w:tcPr>
            <w:tcW w:w="3963" w:type="dxa"/>
          </w:tcPr>
          <w:p w14:paraId="098C01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09BC">
              <w:t>The true cost to the borrower(s) of the credit provided, or to be provided, under the regulated credit agreement calculated in accordance with CONC App 1.2.</w:t>
            </w:r>
          </w:p>
        </w:tc>
      </w:tr>
      <w:tr w:rsidR="00095E11" w14:paraId="7897F07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E062CAB" w14:textId="77777777" w:rsidR="00095E11" w:rsidRPr="00285A6C" w:rsidRDefault="00095E11" w:rsidP="008D651F">
            <w:pPr>
              <w:pStyle w:val="BodyText"/>
            </w:pPr>
            <w:r w:rsidRPr="00FD61F1">
              <w:t>108A</w:t>
            </w:r>
          </w:p>
        </w:tc>
        <w:tc>
          <w:tcPr>
            <w:tcW w:w="2410" w:type="dxa"/>
          </w:tcPr>
          <w:p w14:paraId="3DEC72A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 xml:space="preserve">Total charge for credit: Total fees or charges </w:t>
            </w:r>
            <w:r w:rsidRPr="00FD61F1">
              <w:lastRenderedPageBreak/>
              <w:t>payable by the borrower(s) to a credit broker in connection with the agreement</w:t>
            </w:r>
          </w:p>
        </w:tc>
        <w:tc>
          <w:tcPr>
            <w:tcW w:w="2126" w:type="dxa"/>
          </w:tcPr>
          <w:p w14:paraId="32F7B5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lastRenderedPageBreak/>
              <w:t>Numeric £</w:t>
            </w:r>
          </w:p>
        </w:tc>
        <w:tc>
          <w:tcPr>
            <w:tcW w:w="3963" w:type="dxa"/>
          </w:tcPr>
          <w:p w14:paraId="640395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09BC">
              <w:t xml:space="preserve">Any fee or charge payable by the borrower(s) to a credit broker in </w:t>
            </w:r>
            <w:r w:rsidRPr="003609BC">
              <w:lastRenderedPageBreak/>
              <w:t>connection with the regulated credit agreement (if the fee or charge is known to the reporting firm), which is included in the total charge for credit.</w:t>
            </w:r>
          </w:p>
        </w:tc>
      </w:tr>
      <w:tr w:rsidR="00095E11" w14:paraId="7169BF1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7F1924B" w14:textId="77777777" w:rsidR="00095E11" w:rsidRPr="00285A6C" w:rsidRDefault="00095E11" w:rsidP="008D651F">
            <w:pPr>
              <w:pStyle w:val="BodyText"/>
            </w:pPr>
            <w:r w:rsidRPr="00FD61F1">
              <w:lastRenderedPageBreak/>
              <w:t>109A</w:t>
            </w:r>
          </w:p>
        </w:tc>
        <w:tc>
          <w:tcPr>
            <w:tcW w:w="2410" w:type="dxa"/>
          </w:tcPr>
          <w:p w14:paraId="098651F1"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Total charge for credit: Total one-off costs payable to the reporting firm upon entering into the agreement</w:t>
            </w:r>
          </w:p>
        </w:tc>
        <w:tc>
          <w:tcPr>
            <w:tcW w:w="2126" w:type="dxa"/>
          </w:tcPr>
          <w:p w14:paraId="010246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Numeric £</w:t>
            </w:r>
          </w:p>
        </w:tc>
        <w:tc>
          <w:tcPr>
            <w:tcW w:w="3963" w:type="dxa"/>
          </w:tcPr>
          <w:p w14:paraId="4F5455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09BC">
              <w:t>Any one-off costs payable by the borrower(s) to the reporting firm upon entering into the regulated credit agreement which are included in the total charge for credit.</w:t>
            </w:r>
          </w:p>
        </w:tc>
      </w:tr>
      <w:tr w:rsidR="00095E11" w14:paraId="14C5584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0D60BEA" w14:textId="77777777" w:rsidR="00095E11" w:rsidRPr="00285A6C" w:rsidRDefault="00095E11" w:rsidP="008D651F">
            <w:pPr>
              <w:pStyle w:val="BodyText"/>
            </w:pPr>
            <w:r w:rsidRPr="00E75377">
              <w:t>110A</w:t>
            </w:r>
          </w:p>
        </w:tc>
        <w:tc>
          <w:tcPr>
            <w:tcW w:w="2410" w:type="dxa"/>
          </w:tcPr>
          <w:p w14:paraId="2E93C908"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Total charge for credit: Total periodic fees or charges payable</w:t>
            </w:r>
          </w:p>
        </w:tc>
        <w:tc>
          <w:tcPr>
            <w:tcW w:w="2126" w:type="dxa"/>
          </w:tcPr>
          <w:p w14:paraId="7693F4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Numeric £</w:t>
            </w:r>
          </w:p>
        </w:tc>
        <w:tc>
          <w:tcPr>
            <w:tcW w:w="3963" w:type="dxa"/>
          </w:tcPr>
          <w:p w14:paraId="250A3C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33259">
              <w:t>Any fees or charges payable by the borrower(s) to the reporting firm as a membership fee, subscription fee or any other fee or charge payable on a periodic basis which are included in the total charge for credit.</w:t>
            </w:r>
          </w:p>
        </w:tc>
      </w:tr>
      <w:tr w:rsidR="00095E11" w14:paraId="2305238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1D8DA42" w14:textId="77777777" w:rsidR="00095E11" w:rsidRPr="00285A6C" w:rsidRDefault="00095E11" w:rsidP="008D651F">
            <w:pPr>
              <w:pStyle w:val="BodyText"/>
            </w:pPr>
            <w:r w:rsidRPr="00E75377">
              <w:t>111A</w:t>
            </w:r>
          </w:p>
        </w:tc>
        <w:tc>
          <w:tcPr>
            <w:tcW w:w="2410" w:type="dxa"/>
          </w:tcPr>
          <w:p w14:paraId="273A0BD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Total periodic fees or charges payable in an annual period</w:t>
            </w:r>
          </w:p>
        </w:tc>
        <w:tc>
          <w:tcPr>
            <w:tcW w:w="2126" w:type="dxa"/>
          </w:tcPr>
          <w:p w14:paraId="78E506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Numeric £</w:t>
            </w:r>
          </w:p>
        </w:tc>
        <w:tc>
          <w:tcPr>
            <w:tcW w:w="3963" w:type="dxa"/>
          </w:tcPr>
          <w:p w14:paraId="052FB7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an open-end agreement, the sum of any fees or charges payable by the borrower to the lender as a membership fee, subscription fee or any other fee payable on a periodic basis over the course of an annual period.</w:t>
            </w:r>
          </w:p>
          <w:p w14:paraId="12B0C8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an annual period after any initial promotional period when periodic fees are not due or are payable at a lower amount."</w:t>
            </w:r>
          </w:p>
        </w:tc>
      </w:tr>
      <w:tr w:rsidR="00095E11" w14:paraId="26079F1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7310BE0" w14:textId="77777777" w:rsidR="00095E11" w:rsidRPr="00285A6C" w:rsidRDefault="00095E11" w:rsidP="008D651F">
            <w:pPr>
              <w:pStyle w:val="BodyText"/>
            </w:pPr>
            <w:r w:rsidRPr="0076759B">
              <w:t>112A</w:t>
            </w:r>
          </w:p>
        </w:tc>
        <w:tc>
          <w:tcPr>
            <w:tcW w:w="2410" w:type="dxa"/>
          </w:tcPr>
          <w:p w14:paraId="4FA1405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759B">
              <w:t>Is there an initial promotional period during which regular periodic fees are not charged?</w:t>
            </w:r>
          </w:p>
        </w:tc>
        <w:tc>
          <w:tcPr>
            <w:tcW w:w="2126" w:type="dxa"/>
          </w:tcPr>
          <w:p w14:paraId="782DB9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D43542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6B0125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1E">
              <w:t>Whether there is an initial promotional period during which a membership fee, subscription fee or any other fee payable on a periodic basis is not charged.</w:t>
            </w:r>
          </w:p>
        </w:tc>
      </w:tr>
      <w:tr w:rsidR="00095E11" w14:paraId="16148AD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D6E6928" w14:textId="77777777" w:rsidR="00095E11" w:rsidRPr="00285A6C" w:rsidRDefault="00095E11" w:rsidP="008D651F">
            <w:pPr>
              <w:pStyle w:val="BodyText"/>
            </w:pPr>
            <w:r w:rsidRPr="0076759B">
              <w:t>113A</w:t>
            </w:r>
          </w:p>
        </w:tc>
        <w:tc>
          <w:tcPr>
            <w:tcW w:w="2410" w:type="dxa"/>
          </w:tcPr>
          <w:p w14:paraId="5FC4E16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759B">
              <w:t>Total charge for credit: Total interest payable</w:t>
            </w:r>
          </w:p>
        </w:tc>
        <w:tc>
          <w:tcPr>
            <w:tcW w:w="2126" w:type="dxa"/>
          </w:tcPr>
          <w:p w14:paraId="1F08C7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71110">
              <w:t>Numeric £</w:t>
            </w:r>
          </w:p>
        </w:tc>
        <w:tc>
          <w:tcPr>
            <w:tcW w:w="3963" w:type="dxa"/>
          </w:tcPr>
          <w:p w14:paraId="2ED756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1E">
              <w:t>Any interest payable by the borrower(s) to the reporting firm which is included in the total charge for credit.</w:t>
            </w:r>
          </w:p>
        </w:tc>
      </w:tr>
      <w:tr w:rsidR="00095E11" w14:paraId="57224EB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D1E959F" w14:textId="77777777" w:rsidR="00095E11" w:rsidRPr="00285A6C" w:rsidRDefault="00095E11" w:rsidP="008D651F">
            <w:pPr>
              <w:pStyle w:val="BodyText"/>
            </w:pPr>
            <w:r w:rsidRPr="0076759B">
              <w:t>114A</w:t>
            </w:r>
          </w:p>
        </w:tc>
        <w:tc>
          <w:tcPr>
            <w:tcW w:w="2410" w:type="dxa"/>
          </w:tcPr>
          <w:p w14:paraId="095ECDD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759B">
              <w:t>Total charge for credit: Total other costs included in the total charge for credit</w:t>
            </w:r>
          </w:p>
        </w:tc>
        <w:tc>
          <w:tcPr>
            <w:tcW w:w="2126" w:type="dxa"/>
          </w:tcPr>
          <w:p w14:paraId="150BFCE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71110">
              <w:t>Numeric £</w:t>
            </w:r>
          </w:p>
        </w:tc>
        <w:tc>
          <w:tcPr>
            <w:tcW w:w="3963" w:type="dxa"/>
          </w:tcPr>
          <w:p w14:paraId="07F252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fees or charges payable by the borrower(s) to the reporting firm which are included in the total charge for credit, and have not been reported as one of:</w:t>
            </w:r>
          </w:p>
          <w:p w14:paraId="766272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Total fees or charges payable by the borrower(s) to a credit broker in connection with the agreement;</w:t>
            </w:r>
          </w:p>
          <w:p w14:paraId="39D286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Total one-off costs payable to the reporting firm upon entering into the agreement;</w:t>
            </w:r>
          </w:p>
          <w:p w14:paraId="5C87B4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Total periodic fees or charges payable; or</w:t>
            </w:r>
          </w:p>
          <w:p w14:paraId="5D27B39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Total interest payable."</w:t>
            </w:r>
          </w:p>
        </w:tc>
      </w:tr>
      <w:tr w:rsidR="00095E11" w14:paraId="4A0B834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A31F980" w14:textId="77777777" w:rsidR="00095E11" w:rsidRPr="00285A6C" w:rsidRDefault="00095E11" w:rsidP="008D651F">
            <w:pPr>
              <w:pStyle w:val="BodyText"/>
            </w:pPr>
            <w:r w:rsidRPr="005A2C55">
              <w:lastRenderedPageBreak/>
              <w:t>115A</w:t>
            </w:r>
          </w:p>
        </w:tc>
        <w:tc>
          <w:tcPr>
            <w:tcW w:w="2410" w:type="dxa"/>
          </w:tcPr>
          <w:p w14:paraId="4A3D807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A2C55">
              <w:t>Can qualifying drawdowns for purchases be repaid with an instalment plan?</w:t>
            </w:r>
          </w:p>
        </w:tc>
        <w:tc>
          <w:tcPr>
            <w:tcW w:w="2126" w:type="dxa"/>
          </w:tcPr>
          <w:p w14:paraId="3476FE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All purchases are treated as instalment plans</w:t>
            </w:r>
          </w:p>
          <w:p w14:paraId="541B90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Certain purchases can be repaid as an instalment plan</w:t>
            </w:r>
          </w:p>
          <w:p w14:paraId="4086CE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No purchases can be repaid with an instalment plan"</w:t>
            </w:r>
          </w:p>
        </w:tc>
        <w:tc>
          <w:tcPr>
            <w:tcW w:w="3963" w:type="dxa"/>
          </w:tcPr>
          <w:p w14:paraId="0EB8F9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 instalment plan includes drawdowns for purchases which are repaid with a specified repayment schedule.</w:t>
            </w:r>
          </w:p>
          <w:p w14:paraId="693DDC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5457C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5BBAD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All purchases are treated as instalment plans</w:t>
            </w:r>
          </w:p>
          <w:p w14:paraId="1BF4B3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drawdowns for purchases are treated as an instalment plan.</w:t>
            </w:r>
          </w:p>
          <w:p w14:paraId="159CBC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Certain purchases can be repaid as an instalment plan</w:t>
            </w:r>
          </w:p>
          <w:p w14:paraId="38E9E2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When certain qualifying drawdowns for purchases are made, the borrower(s) can choose to treat the drawdown as an instalment plan.</w:t>
            </w:r>
          </w:p>
          <w:p w14:paraId="7FADCD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No purchases can be repaid with an instalment plan</w:t>
            </w:r>
          </w:p>
          <w:p w14:paraId="49A7EB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 drawdowns for purchases can be treated as an instalment plan."</w:t>
            </w:r>
          </w:p>
        </w:tc>
      </w:tr>
      <w:tr w:rsidR="00095E11" w14:paraId="4496C22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6B74D66" w14:textId="77777777" w:rsidR="00095E11" w:rsidRPr="00285A6C" w:rsidRDefault="00095E11" w:rsidP="008D651F">
            <w:pPr>
              <w:pStyle w:val="BodyText"/>
            </w:pPr>
            <w:r w:rsidRPr="005A2C55">
              <w:t>116A</w:t>
            </w:r>
          </w:p>
        </w:tc>
        <w:tc>
          <w:tcPr>
            <w:tcW w:w="2410" w:type="dxa"/>
          </w:tcPr>
          <w:p w14:paraId="3121146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A2C55">
              <w:t>Does the product include any rewards for making qualifying drawdowns?</w:t>
            </w:r>
          </w:p>
        </w:tc>
        <w:tc>
          <w:tcPr>
            <w:tcW w:w="2126" w:type="dxa"/>
          </w:tcPr>
          <w:p w14:paraId="5D187E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FC527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198D5A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"Rewards should directly relate to drawdowns for purchases and take the form of cashback or points that can be converted into vouchers.</w:t>
            </w:r>
          </w:p>
          <w:p w14:paraId="5EE116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C32D1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These rewards should relate to the usage of running-account credit outside of any initial promotional period."</w:t>
            </w:r>
          </w:p>
        </w:tc>
      </w:tr>
      <w:tr w:rsidR="00095E11" w14:paraId="28DECA9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6A395F4" w14:textId="77777777" w:rsidR="00095E11" w:rsidRPr="00285A6C" w:rsidRDefault="00095E11" w:rsidP="008D651F">
            <w:pPr>
              <w:pStyle w:val="BodyText"/>
            </w:pPr>
            <w:r w:rsidRPr="00A32A60">
              <w:t>117A</w:t>
            </w:r>
          </w:p>
        </w:tc>
        <w:tc>
          <w:tcPr>
            <w:tcW w:w="2410" w:type="dxa"/>
          </w:tcPr>
          <w:p w14:paraId="2CBCA388"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32A60">
              <w:t>Type of rewards for borrower(s) to make drawdowns</w:t>
            </w:r>
          </w:p>
        </w:tc>
        <w:tc>
          <w:tcPr>
            <w:tcW w:w="2126" w:type="dxa"/>
          </w:tcPr>
          <w:p w14:paraId="5BDA75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Cashback for purchases</w:t>
            </w:r>
          </w:p>
          <w:p w14:paraId="66E7A6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Cashback for purchases from specified retailers</w:t>
            </w:r>
          </w:p>
          <w:p w14:paraId="5FE59E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C = Rewards other than cashback for specified retailers</w:t>
            </w:r>
          </w:p>
          <w:p w14:paraId="06EEB8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Any other rewards"</w:t>
            </w:r>
          </w:p>
        </w:tc>
        <w:tc>
          <w:tcPr>
            <w:tcW w:w="3963" w:type="dxa"/>
          </w:tcPr>
          <w:p w14:paraId="0F2B4E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"Select all options which are included for the regulated credit agreement.</w:t>
            </w:r>
          </w:p>
          <w:p w14:paraId="0B7C88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39A67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58D69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Cashback for purchases</w:t>
            </w:r>
          </w:p>
          <w:p w14:paraId="6D23DC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percentage of the value of qualifying drawdowns will be paid to the borrower(s) as a money transfer or as credit on the regulated credit agreement. This option should not be limited to a specified list of retailers.</w:t>
            </w:r>
          </w:p>
          <w:p w14:paraId="13C8DC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Cashback for purchases from specified retailers</w:t>
            </w:r>
          </w:p>
          <w:p w14:paraId="1BB6A4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percentage of the value of qualifying drawdowns with specified retailers will be paid to the borrower(s) as a money transfer or as credit on the regulated credit agreement. This option should include products which have a higher percentage cashback for a specified list of retailers, even if cashback is also available more generally.</w:t>
            </w:r>
          </w:p>
          <w:p w14:paraId="48C312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Rewards other than cashback for specified retailers</w:t>
            </w:r>
          </w:p>
          <w:p w14:paraId="7EA6BF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Points are accrued relating to the value of qualifying drawdowns with specified retailers, which can be converted to vouchers to use at the specified retailers.</w:t>
            </w:r>
          </w:p>
          <w:p w14:paraId="5E0505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Any other rewards</w:t>
            </w:r>
          </w:p>
          <w:p w14:paraId="01A819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other rewards directly relating to drawdowns for purchases, which are not covered by the specified options above."</w:t>
            </w:r>
          </w:p>
        </w:tc>
      </w:tr>
      <w:tr w:rsidR="00095E11" w14:paraId="24C8F07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60F61EC" w14:textId="77777777" w:rsidR="00095E11" w:rsidRPr="00285A6C" w:rsidRDefault="00095E11" w:rsidP="008D651F">
            <w:pPr>
              <w:pStyle w:val="BodyText"/>
            </w:pPr>
            <w:r w:rsidRPr="00162984">
              <w:lastRenderedPageBreak/>
              <w:t>118A</w:t>
            </w:r>
          </w:p>
        </w:tc>
        <w:tc>
          <w:tcPr>
            <w:tcW w:w="2410" w:type="dxa"/>
          </w:tcPr>
          <w:p w14:paraId="172C4FE6"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t>Regular (non-promotional) percentage fee for non-sterling drawdowns</w:t>
            </w:r>
          </w:p>
        </w:tc>
        <w:tc>
          <w:tcPr>
            <w:tcW w:w="2126" w:type="dxa"/>
          </w:tcPr>
          <w:p w14:paraId="1A01EC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t>Numeric %</w:t>
            </w:r>
          </w:p>
        </w:tc>
        <w:tc>
          <w:tcPr>
            <w:tcW w:w="3963" w:type="dxa"/>
          </w:tcPr>
          <w:p w14:paraId="56D621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percentage value for any fee charged which is calculated as a percentage of the value of a drawdown, for non-sterling drawdowns which facilitate payment for goods or services.</w:t>
            </w:r>
          </w:p>
          <w:p w14:paraId="6FDBFF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5DAD0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promotional percentage fee which may apply for particular qualifying drawdowns, or during a promotional period.</w:t>
            </w:r>
          </w:p>
          <w:p w14:paraId="168256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13C63A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number should be reported as a percentage to 2 decimal places (</w:t>
            </w:r>
            <w:proofErr w:type="spellStart"/>
            <w:r>
              <w:t>eg</w:t>
            </w:r>
            <w:proofErr w:type="spellEnd"/>
            <w:r>
              <w:t>, 3.49 represents 3.49%, not 349%)."</w:t>
            </w:r>
          </w:p>
        </w:tc>
      </w:tr>
      <w:tr w:rsidR="00095E11" w14:paraId="2B0DA71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BBEC2ED" w14:textId="77777777" w:rsidR="00095E11" w:rsidRPr="00285A6C" w:rsidRDefault="00095E11" w:rsidP="008D651F">
            <w:pPr>
              <w:pStyle w:val="BodyText"/>
            </w:pPr>
            <w:r w:rsidRPr="00162984">
              <w:t>119A</w:t>
            </w:r>
          </w:p>
        </w:tc>
        <w:tc>
          <w:tcPr>
            <w:tcW w:w="2410" w:type="dxa"/>
          </w:tcPr>
          <w:p w14:paraId="7048DDE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t xml:space="preserve">Regular (non-promotional) minimum </w:t>
            </w:r>
            <w:r w:rsidRPr="00162984">
              <w:lastRenderedPageBreak/>
              <w:t>fee for non-sterling drawdowns</w:t>
            </w:r>
          </w:p>
        </w:tc>
        <w:tc>
          <w:tcPr>
            <w:tcW w:w="2126" w:type="dxa"/>
          </w:tcPr>
          <w:p w14:paraId="3676D9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lastRenderedPageBreak/>
              <w:t>Numeric £</w:t>
            </w:r>
          </w:p>
        </w:tc>
        <w:tc>
          <w:tcPr>
            <w:tcW w:w="3963" w:type="dxa"/>
          </w:tcPr>
          <w:p w14:paraId="08835F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minimum fee value per drawdown, for any fee charged which is calculated as a percentage of the value of a drawdown, </w:t>
            </w:r>
            <w:r>
              <w:lastRenderedPageBreak/>
              <w:t>for non-sterling drawdowns which facilitate payment for goods or services.</w:t>
            </w:r>
          </w:p>
          <w:p w14:paraId="32FBC3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F7E4A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minimum fee value which may apply for particular qualifying drawdowns, or during a promotional period."</w:t>
            </w:r>
          </w:p>
        </w:tc>
      </w:tr>
      <w:tr w:rsidR="00095E11" w14:paraId="7593674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5D0D9C7" w14:textId="77777777" w:rsidR="00095E11" w:rsidRPr="00285A6C" w:rsidRDefault="00095E11" w:rsidP="008D651F">
            <w:pPr>
              <w:pStyle w:val="BodyText"/>
            </w:pPr>
            <w:r w:rsidRPr="009B5A48">
              <w:lastRenderedPageBreak/>
              <w:t>120A</w:t>
            </w:r>
          </w:p>
        </w:tc>
        <w:tc>
          <w:tcPr>
            <w:tcW w:w="2410" w:type="dxa"/>
          </w:tcPr>
          <w:p w14:paraId="783F83C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B5A48">
              <w:t>Drawdown type</w:t>
            </w:r>
          </w:p>
        </w:tc>
        <w:tc>
          <w:tcPr>
            <w:tcW w:w="2126" w:type="dxa"/>
          </w:tcPr>
          <w:p w14:paraId="37AE62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Purchases</w:t>
            </w:r>
          </w:p>
          <w:p w14:paraId="380584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Balance transfers</w:t>
            </w:r>
          </w:p>
          <w:p w14:paraId="46C528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Money transfers</w:t>
            </w:r>
          </w:p>
          <w:p w14:paraId="14A5454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Other cash transactions</w:t>
            </w:r>
          </w:p>
          <w:p w14:paraId="235EEF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drawdown type"</w:t>
            </w:r>
          </w:p>
        </w:tc>
        <w:tc>
          <w:tcPr>
            <w:tcW w:w="3963" w:type="dxa"/>
          </w:tcPr>
          <w:p w14:paraId="0C1361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E8A2A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Purchases</w:t>
            </w:r>
          </w:p>
          <w:p w14:paraId="7589D5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facilitate payment for goods or services.</w:t>
            </w:r>
          </w:p>
          <w:p w14:paraId="43DF33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Balance transfers</w:t>
            </w:r>
          </w:p>
          <w:p w14:paraId="64D49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transfer money to a different account with running-account credit, excluding a current account with an overdraft facility or in respect of which there had been an unarranged overdraft within the meaning of CONC 5C.5.1R(6).</w:t>
            </w:r>
          </w:p>
          <w:p w14:paraId="4AFC4D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Money transfers</w:t>
            </w:r>
          </w:p>
          <w:p w14:paraId="4C394C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transfer money to a bank account or an electronic money account.</w:t>
            </w:r>
          </w:p>
          <w:p w14:paraId="4D4748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Other cash transactions</w:t>
            </w:r>
          </w:p>
          <w:p w14:paraId="42AE8A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Drawdowns for cash transactions, excluding balance transfers and money transfers. This should include cash advances, direct debits, </w:t>
            </w:r>
            <w:proofErr w:type="spellStart"/>
            <w:r>
              <w:t>travellers’</w:t>
            </w:r>
            <w:proofErr w:type="spellEnd"/>
            <w:r>
              <w:t xml:space="preserve"> cheques, foreign currency and any cash substitutes.</w:t>
            </w:r>
          </w:p>
          <w:p w14:paraId="3CFB45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drawdown type</w:t>
            </w:r>
          </w:p>
          <w:p w14:paraId="0E9497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do not meet any of the specified options above."</w:t>
            </w:r>
          </w:p>
        </w:tc>
      </w:tr>
      <w:tr w:rsidR="00095E11" w14:paraId="2C346F1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2ED249F" w14:textId="77777777" w:rsidR="00095E11" w:rsidRPr="00285A6C" w:rsidRDefault="00095E11" w:rsidP="008D651F">
            <w:pPr>
              <w:pStyle w:val="BodyText"/>
            </w:pPr>
            <w:r w:rsidRPr="009B5A48">
              <w:t>120B</w:t>
            </w:r>
          </w:p>
        </w:tc>
        <w:tc>
          <w:tcPr>
            <w:tcW w:w="2410" w:type="dxa"/>
          </w:tcPr>
          <w:p w14:paraId="4EA2B2E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B5A48">
              <w:t>Is there an initial promotional period for drawdowns?</w:t>
            </w:r>
          </w:p>
        </w:tc>
        <w:tc>
          <w:tcPr>
            <w:tcW w:w="2126" w:type="dxa"/>
          </w:tcPr>
          <w:p w14:paraId="52B69B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28A2E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A1BEB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D56E8">
              <w:t>An ‘initial promotional period’ means a set initial period of the agreement when no, or reduced, interest or charges are payable by the borrower(s) in respect of a specified drawdown type.</w:t>
            </w:r>
          </w:p>
        </w:tc>
      </w:tr>
      <w:tr w:rsidR="00095E11" w14:paraId="2B5748D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2970EE9" w14:textId="77777777" w:rsidR="00095E11" w:rsidRPr="00285A6C" w:rsidRDefault="00095E11" w:rsidP="008D651F">
            <w:pPr>
              <w:pStyle w:val="BodyText"/>
            </w:pPr>
            <w:r w:rsidRPr="009B5A48">
              <w:t>120C</w:t>
            </w:r>
          </w:p>
        </w:tc>
        <w:tc>
          <w:tcPr>
            <w:tcW w:w="2410" w:type="dxa"/>
          </w:tcPr>
          <w:p w14:paraId="2823F203"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B5A48">
              <w:t>Promotional annual interest rate for drawdowns</w:t>
            </w:r>
          </w:p>
        </w:tc>
        <w:tc>
          <w:tcPr>
            <w:tcW w:w="2126" w:type="dxa"/>
          </w:tcPr>
          <w:p w14:paraId="060830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D56E8">
              <w:t>Numeric %</w:t>
            </w:r>
          </w:p>
        </w:tc>
        <w:tc>
          <w:tcPr>
            <w:tcW w:w="3963" w:type="dxa"/>
          </w:tcPr>
          <w:p w14:paraId="032D65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payable, during the initial promotional period, on qualifying balances.</w:t>
            </w:r>
          </w:p>
          <w:p w14:paraId="7FA629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4960C0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number should be reported as a percentage to 2 decimal places (</w:t>
            </w:r>
            <w:proofErr w:type="spellStart"/>
            <w:r>
              <w:t>eg</w:t>
            </w:r>
            <w:proofErr w:type="spellEnd"/>
            <w:r>
              <w:t>, 3.49 represents 3.49%, not 349%)."</w:t>
            </w:r>
          </w:p>
        </w:tc>
      </w:tr>
      <w:tr w:rsidR="00095E11" w14:paraId="25C2838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E9369EE" w14:textId="77777777" w:rsidR="00095E11" w:rsidRPr="00285A6C" w:rsidRDefault="00095E11" w:rsidP="008D651F">
            <w:pPr>
              <w:pStyle w:val="BodyText"/>
            </w:pPr>
            <w:r w:rsidRPr="00EC69C3">
              <w:lastRenderedPageBreak/>
              <w:t>120D</w:t>
            </w:r>
          </w:p>
        </w:tc>
        <w:tc>
          <w:tcPr>
            <w:tcW w:w="2410" w:type="dxa"/>
          </w:tcPr>
          <w:p w14:paraId="08539DE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Promotional percentage fee for drawdowns</w:t>
            </w:r>
          </w:p>
        </w:tc>
        <w:tc>
          <w:tcPr>
            <w:tcW w:w="2126" w:type="dxa"/>
          </w:tcPr>
          <w:p w14:paraId="0ADDD4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Numeric %</w:t>
            </w:r>
          </w:p>
        </w:tc>
        <w:tc>
          <w:tcPr>
            <w:tcW w:w="3963" w:type="dxa"/>
          </w:tcPr>
          <w:p w14:paraId="7B2673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percentage value for any fee charged, during the initial promotional period, which is calculated as a percentage of the value of a qualifying drawdown, for this drawdown type.</w:t>
            </w:r>
          </w:p>
          <w:p w14:paraId="0D3B13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E5FA1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number should be reported as a percentage to 2 decimal places (</w:t>
            </w:r>
            <w:proofErr w:type="spellStart"/>
            <w:r>
              <w:t>eg</w:t>
            </w:r>
            <w:proofErr w:type="spellEnd"/>
            <w:r>
              <w:t>, 3.49 represents 3.49%, not 349%)."</w:t>
            </w:r>
          </w:p>
        </w:tc>
      </w:tr>
      <w:tr w:rsidR="00095E11" w14:paraId="7AE2F9A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23C094A" w14:textId="77777777" w:rsidR="00095E11" w:rsidRPr="00285A6C" w:rsidRDefault="00095E11" w:rsidP="008D651F">
            <w:pPr>
              <w:pStyle w:val="BodyText"/>
            </w:pPr>
            <w:r w:rsidRPr="00EC69C3">
              <w:t>120E</w:t>
            </w:r>
          </w:p>
        </w:tc>
        <w:tc>
          <w:tcPr>
            <w:tcW w:w="2410" w:type="dxa"/>
          </w:tcPr>
          <w:p w14:paraId="443D276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Promotional minimum fee per drawdown</w:t>
            </w:r>
          </w:p>
        </w:tc>
        <w:tc>
          <w:tcPr>
            <w:tcW w:w="2126" w:type="dxa"/>
          </w:tcPr>
          <w:p w14:paraId="791DC4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Numeric £</w:t>
            </w:r>
          </w:p>
        </w:tc>
        <w:tc>
          <w:tcPr>
            <w:tcW w:w="3963" w:type="dxa"/>
          </w:tcPr>
          <w:p w14:paraId="060B4F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03BB1">
              <w:t>The minimum fee value per qualifying drawdown during the initial promotional period, for a fee charged, which is calculated as a percentage of the value of a drawdown.</w:t>
            </w:r>
          </w:p>
        </w:tc>
      </w:tr>
      <w:tr w:rsidR="00095E11" w14:paraId="6A8AC27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8FA9FE" w14:textId="77777777" w:rsidR="00095E11" w:rsidRPr="00285A6C" w:rsidRDefault="00095E11" w:rsidP="008D651F">
            <w:pPr>
              <w:pStyle w:val="BodyText"/>
            </w:pPr>
            <w:r w:rsidRPr="00EC69C3">
              <w:t>120F</w:t>
            </w:r>
          </w:p>
        </w:tc>
        <w:tc>
          <w:tcPr>
            <w:tcW w:w="2410" w:type="dxa"/>
          </w:tcPr>
          <w:p w14:paraId="52797613"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Promotional fixed fee per drawdown</w:t>
            </w:r>
          </w:p>
        </w:tc>
        <w:tc>
          <w:tcPr>
            <w:tcW w:w="2126" w:type="dxa"/>
          </w:tcPr>
          <w:p w14:paraId="18B39A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Numeric £</w:t>
            </w:r>
          </w:p>
        </w:tc>
        <w:tc>
          <w:tcPr>
            <w:tcW w:w="3963" w:type="dxa"/>
          </w:tcPr>
          <w:p w14:paraId="3D290A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03BB1">
              <w:t>The value for any fixed fee charged per qualifying drawdown, during the initial promotional period, for this drawdown type.</w:t>
            </w:r>
          </w:p>
        </w:tc>
      </w:tr>
      <w:tr w:rsidR="00095E11" w14:paraId="72ED717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8545874" w14:textId="77777777" w:rsidR="00095E11" w:rsidRPr="00285A6C" w:rsidRDefault="00095E11" w:rsidP="008D651F">
            <w:pPr>
              <w:pStyle w:val="BodyText"/>
            </w:pPr>
            <w:r w:rsidRPr="0071503B">
              <w:t>120G</w:t>
            </w:r>
          </w:p>
        </w:tc>
        <w:tc>
          <w:tcPr>
            <w:tcW w:w="2410" w:type="dxa"/>
          </w:tcPr>
          <w:p w14:paraId="06D23D93"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Promotional end date for qualifying drawdowns</w:t>
            </w:r>
          </w:p>
        </w:tc>
        <w:tc>
          <w:tcPr>
            <w:tcW w:w="2126" w:type="dxa"/>
          </w:tcPr>
          <w:p w14:paraId="4A90E5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DD/MM/YYYY</w:t>
            </w:r>
          </w:p>
        </w:tc>
        <w:tc>
          <w:tcPr>
            <w:tcW w:w="3963" w:type="dxa"/>
          </w:tcPr>
          <w:p w14:paraId="33B99D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015B1">
              <w:t>The last date upon which a drawdown can be made to qualify for the initial promotional period.</w:t>
            </w:r>
          </w:p>
        </w:tc>
      </w:tr>
      <w:tr w:rsidR="00095E11" w14:paraId="3D1B739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A266ADA" w14:textId="77777777" w:rsidR="00095E11" w:rsidRPr="00285A6C" w:rsidRDefault="00095E11" w:rsidP="008D651F">
            <w:pPr>
              <w:pStyle w:val="BodyText"/>
            </w:pPr>
            <w:r w:rsidRPr="0071503B">
              <w:t>120H</w:t>
            </w:r>
          </w:p>
        </w:tc>
        <w:tc>
          <w:tcPr>
            <w:tcW w:w="2410" w:type="dxa"/>
          </w:tcPr>
          <w:p w14:paraId="4EDDDC7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Promotional end date for promotional rate for drawdowns</w:t>
            </w:r>
          </w:p>
        </w:tc>
        <w:tc>
          <w:tcPr>
            <w:tcW w:w="2126" w:type="dxa"/>
          </w:tcPr>
          <w:p w14:paraId="305FFF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DD/MM/YYYY</w:t>
            </w:r>
          </w:p>
        </w:tc>
        <w:tc>
          <w:tcPr>
            <w:tcW w:w="3963" w:type="dxa"/>
          </w:tcPr>
          <w:p w14:paraId="6DD5C6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015B1">
              <w:t>The end date for the initial promotional period, for this drawdown type.</w:t>
            </w:r>
          </w:p>
        </w:tc>
      </w:tr>
      <w:tr w:rsidR="00095E11" w14:paraId="4A0CB50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12ED274" w14:textId="77777777" w:rsidR="00095E11" w:rsidRPr="00285A6C" w:rsidRDefault="00095E11" w:rsidP="008D651F">
            <w:pPr>
              <w:pStyle w:val="BodyText"/>
            </w:pPr>
            <w:r w:rsidRPr="0071503B">
              <w:t>120I</w:t>
            </w:r>
          </w:p>
        </w:tc>
        <w:tc>
          <w:tcPr>
            <w:tcW w:w="2410" w:type="dxa"/>
          </w:tcPr>
          <w:p w14:paraId="5C4CA17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Regular (non-promotional) annual interest rate for drawdowns</w:t>
            </w:r>
          </w:p>
        </w:tc>
        <w:tc>
          <w:tcPr>
            <w:tcW w:w="2126" w:type="dxa"/>
          </w:tcPr>
          <w:p w14:paraId="02DBB0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Numeric %</w:t>
            </w:r>
          </w:p>
        </w:tc>
        <w:tc>
          <w:tcPr>
            <w:tcW w:w="3963" w:type="dxa"/>
          </w:tcPr>
          <w:p w14:paraId="410ADB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payable on balances.</w:t>
            </w:r>
          </w:p>
          <w:p w14:paraId="589FEBE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A2A85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promotional rate which may apply for particular qualifying drawdowns, or during a promotional period.</w:t>
            </w:r>
          </w:p>
          <w:p w14:paraId="1C3EB5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CBF82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This number should be reported as a percentage to 2 decimal places (</w:t>
            </w:r>
            <w:proofErr w:type="spellStart"/>
            <w:r>
              <w:t>eg</w:t>
            </w:r>
            <w:proofErr w:type="spellEnd"/>
            <w:r>
              <w:t>, 3.49 represents 3.49%, not 349%)."</w:t>
            </w:r>
          </w:p>
        </w:tc>
      </w:tr>
      <w:tr w:rsidR="00095E11" w14:paraId="1C613AB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489855D" w14:textId="77777777" w:rsidR="00095E11" w:rsidRPr="00285A6C" w:rsidRDefault="00095E11" w:rsidP="008D651F">
            <w:pPr>
              <w:pStyle w:val="BodyText"/>
            </w:pPr>
            <w:r w:rsidRPr="0071503B">
              <w:lastRenderedPageBreak/>
              <w:t>120J</w:t>
            </w:r>
          </w:p>
        </w:tc>
        <w:tc>
          <w:tcPr>
            <w:tcW w:w="2410" w:type="dxa"/>
          </w:tcPr>
          <w:p w14:paraId="0ACE26F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Regular (non-promotional) percentage fee for drawdowns</w:t>
            </w:r>
          </w:p>
        </w:tc>
        <w:tc>
          <w:tcPr>
            <w:tcW w:w="2126" w:type="dxa"/>
          </w:tcPr>
          <w:p w14:paraId="21BA88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Numeric %</w:t>
            </w:r>
          </w:p>
        </w:tc>
        <w:tc>
          <w:tcPr>
            <w:tcW w:w="3963" w:type="dxa"/>
          </w:tcPr>
          <w:p w14:paraId="0C11D4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percentage value for any fee charged which is calculated as a percentage of the value of a drawdown.</w:t>
            </w:r>
          </w:p>
          <w:p w14:paraId="231072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promotional percentage fee which may apply for particular qualifying drawdowns, or during a promotional period.</w:t>
            </w:r>
          </w:p>
          <w:p w14:paraId="48F93B35" w14:textId="77777777" w:rsidR="00095E11" w:rsidRPr="00414E9F"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414E9F">
              <w:rPr>
                <w:b/>
                <w:bCs/>
              </w:rPr>
              <w:t>This number should be reported as a percentage to 2 decimal places (</w:t>
            </w:r>
            <w:proofErr w:type="spellStart"/>
            <w:r w:rsidRPr="00414E9F">
              <w:rPr>
                <w:b/>
                <w:bCs/>
              </w:rPr>
              <w:t>eg</w:t>
            </w:r>
            <w:proofErr w:type="spellEnd"/>
            <w:r w:rsidRPr="00414E9F">
              <w:rPr>
                <w:b/>
                <w:bCs/>
              </w:rPr>
              <w:t>, 3.49 represents 3.49%, not 349%)."</w:t>
            </w:r>
          </w:p>
        </w:tc>
      </w:tr>
      <w:tr w:rsidR="00095E11" w14:paraId="17A615B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157B5B" w14:textId="77777777" w:rsidR="00095E11" w:rsidRPr="0071503B" w:rsidRDefault="00095E11" w:rsidP="008D651F">
            <w:pPr>
              <w:pStyle w:val="BodyText"/>
            </w:pPr>
            <w:r w:rsidRPr="00F54374">
              <w:t>120K</w:t>
            </w:r>
          </w:p>
        </w:tc>
        <w:tc>
          <w:tcPr>
            <w:tcW w:w="2410" w:type="dxa"/>
          </w:tcPr>
          <w:p w14:paraId="282A30D8"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Regular (non-promotional) minimum fee per drawdown</w:t>
            </w:r>
          </w:p>
        </w:tc>
        <w:tc>
          <w:tcPr>
            <w:tcW w:w="2126" w:type="dxa"/>
          </w:tcPr>
          <w:p w14:paraId="75A09FB0"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Numeric £</w:t>
            </w:r>
          </w:p>
        </w:tc>
        <w:tc>
          <w:tcPr>
            <w:tcW w:w="3963" w:type="dxa"/>
          </w:tcPr>
          <w:p w14:paraId="2E1B1F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minimum fee value per drawdown, for any fee charged which is calculated as a percentage of the value of a drawdown.</w:t>
            </w:r>
          </w:p>
          <w:p w14:paraId="618A74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minimum fee value which may apply for particular qualifying drawdowns, or during a promotional period."</w:t>
            </w:r>
          </w:p>
        </w:tc>
      </w:tr>
      <w:tr w:rsidR="00095E11" w14:paraId="3E773D9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9B2AA6" w14:textId="77777777" w:rsidR="00095E11" w:rsidRPr="0071503B" w:rsidRDefault="00095E11" w:rsidP="008D651F">
            <w:pPr>
              <w:pStyle w:val="BodyText"/>
            </w:pPr>
            <w:r w:rsidRPr="00F54374">
              <w:t>120L</w:t>
            </w:r>
          </w:p>
        </w:tc>
        <w:tc>
          <w:tcPr>
            <w:tcW w:w="2410" w:type="dxa"/>
          </w:tcPr>
          <w:p w14:paraId="30C00C1B"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Regular (non-promotional) fixed fee per drawdown</w:t>
            </w:r>
          </w:p>
        </w:tc>
        <w:tc>
          <w:tcPr>
            <w:tcW w:w="2126" w:type="dxa"/>
          </w:tcPr>
          <w:p w14:paraId="529D2D91"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Numeric £</w:t>
            </w:r>
          </w:p>
        </w:tc>
        <w:tc>
          <w:tcPr>
            <w:tcW w:w="3963" w:type="dxa"/>
          </w:tcPr>
          <w:p w14:paraId="72E9F1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value for any fixed fee charged per drawdown.</w:t>
            </w:r>
          </w:p>
          <w:p w14:paraId="13E7CB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fixed fee value which may apply for particular qualifying drawdowns, or during a promotional period."</w:t>
            </w:r>
          </w:p>
        </w:tc>
      </w:tr>
      <w:tr w:rsidR="00095E11" w14:paraId="5CCAF3A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F821A33" w14:textId="77777777" w:rsidR="00095E11" w:rsidRPr="0071503B" w:rsidRDefault="00095E11" w:rsidP="008D651F">
            <w:pPr>
              <w:pStyle w:val="BodyText"/>
            </w:pPr>
            <w:r w:rsidRPr="00B13546">
              <w:t>121A</w:t>
            </w:r>
          </w:p>
        </w:tc>
        <w:tc>
          <w:tcPr>
            <w:tcW w:w="2410" w:type="dxa"/>
          </w:tcPr>
          <w:p w14:paraId="3D3402A6"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13546">
              <w:t>Annual interest rate for periodic premium or fee</w:t>
            </w:r>
          </w:p>
        </w:tc>
        <w:tc>
          <w:tcPr>
            <w:tcW w:w="2126" w:type="dxa"/>
          </w:tcPr>
          <w:p w14:paraId="0F567858"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13546">
              <w:t>Numeric %</w:t>
            </w:r>
          </w:p>
        </w:tc>
        <w:tc>
          <w:tcPr>
            <w:tcW w:w="3963" w:type="dxa"/>
          </w:tcPr>
          <w:p w14:paraId="035379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payable on balances for running-account credit to pay for periodic premiums or fees.</w:t>
            </w:r>
          </w:p>
          <w:p w14:paraId="347738CE" w14:textId="77777777" w:rsidR="00095E11" w:rsidRPr="00F117FD"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F117FD">
              <w:rPr>
                <w:b/>
                <w:bCs/>
              </w:rPr>
              <w:t>This number should be reported as a percentage to 2 decimal places (</w:t>
            </w:r>
            <w:proofErr w:type="spellStart"/>
            <w:r w:rsidRPr="00F117FD">
              <w:rPr>
                <w:b/>
                <w:bCs/>
              </w:rPr>
              <w:t>eg</w:t>
            </w:r>
            <w:proofErr w:type="spellEnd"/>
            <w:r w:rsidRPr="00F117FD">
              <w:rPr>
                <w:b/>
                <w:bCs/>
              </w:rPr>
              <w:t>, 3.49 represents 3.49%, not 349%)."</w:t>
            </w:r>
          </w:p>
        </w:tc>
      </w:tr>
      <w:tr w:rsidR="00095E11" w14:paraId="16C0FC8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F33792" w14:textId="77777777" w:rsidR="00095E11" w:rsidRPr="0071503B" w:rsidRDefault="00095E11" w:rsidP="008D651F">
            <w:pPr>
              <w:pStyle w:val="BodyText"/>
            </w:pPr>
            <w:r w:rsidRPr="00A650F3">
              <w:t>122A</w:t>
            </w:r>
          </w:p>
        </w:tc>
        <w:tc>
          <w:tcPr>
            <w:tcW w:w="2410" w:type="dxa"/>
          </w:tcPr>
          <w:p w14:paraId="3DA7C251"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Penalty charge for a late repayment</w:t>
            </w:r>
          </w:p>
        </w:tc>
        <w:tc>
          <w:tcPr>
            <w:tcW w:w="2126" w:type="dxa"/>
          </w:tcPr>
          <w:p w14:paraId="67D67504"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Numeric £</w:t>
            </w:r>
          </w:p>
        </w:tc>
        <w:tc>
          <w:tcPr>
            <w:tcW w:w="3963" w:type="dxa"/>
          </w:tcPr>
          <w:p w14:paraId="295401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0E9">
              <w:t>The value of the charge payable by the borrower(s) if a repayment is not made to the reporting firm by a scheduled date.</w:t>
            </w:r>
          </w:p>
        </w:tc>
      </w:tr>
      <w:tr w:rsidR="00095E11" w14:paraId="477FAE4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4A549D9" w14:textId="77777777" w:rsidR="00095E11" w:rsidRPr="0071503B" w:rsidRDefault="00095E11" w:rsidP="008D651F">
            <w:pPr>
              <w:pStyle w:val="BodyText"/>
            </w:pPr>
            <w:r w:rsidRPr="00A650F3">
              <w:t>123A</w:t>
            </w:r>
          </w:p>
        </w:tc>
        <w:tc>
          <w:tcPr>
            <w:tcW w:w="2410" w:type="dxa"/>
          </w:tcPr>
          <w:p w14:paraId="540ECC2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Penalty charge for a repayment returned unpaid</w:t>
            </w:r>
          </w:p>
        </w:tc>
        <w:tc>
          <w:tcPr>
            <w:tcW w:w="2126" w:type="dxa"/>
          </w:tcPr>
          <w:p w14:paraId="56BA77C3"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Numeric £</w:t>
            </w:r>
          </w:p>
        </w:tc>
        <w:tc>
          <w:tcPr>
            <w:tcW w:w="3963" w:type="dxa"/>
          </w:tcPr>
          <w:p w14:paraId="4A9169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0E9">
              <w:t xml:space="preserve">The value of the charge payable by the borrower(s) if an attempted repayment is returned. This includes, but is not limited to, when there </w:t>
            </w:r>
            <w:r w:rsidRPr="005630E9">
              <w:lastRenderedPageBreak/>
              <w:t>are insufficient funds in the borrower(s)’ account, the account is closed or the account is frozen.</w:t>
            </w:r>
          </w:p>
        </w:tc>
      </w:tr>
      <w:tr w:rsidR="00095E11" w14:paraId="745B371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84E3842" w14:textId="77777777" w:rsidR="00095E11" w:rsidRPr="0071503B" w:rsidRDefault="00095E11" w:rsidP="008D651F">
            <w:pPr>
              <w:pStyle w:val="BodyText"/>
            </w:pPr>
            <w:r w:rsidRPr="00A650F3">
              <w:lastRenderedPageBreak/>
              <w:t>124A</w:t>
            </w:r>
          </w:p>
        </w:tc>
        <w:tc>
          <w:tcPr>
            <w:tcW w:w="2410" w:type="dxa"/>
          </w:tcPr>
          <w:p w14:paraId="3BD0FA9E"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Penalty charge for agreement balance being over the agreed credit limit</w:t>
            </w:r>
          </w:p>
        </w:tc>
        <w:tc>
          <w:tcPr>
            <w:tcW w:w="2126" w:type="dxa"/>
          </w:tcPr>
          <w:p w14:paraId="5B2B538B"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Numeric £</w:t>
            </w:r>
          </w:p>
        </w:tc>
        <w:tc>
          <w:tcPr>
            <w:tcW w:w="3963" w:type="dxa"/>
          </w:tcPr>
          <w:p w14:paraId="2830D4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0E9">
              <w:t>The value of the charge payable by the borrower(s) if the balance of the regulated credit agreement exceeds the assigned credit limit.</w:t>
            </w:r>
          </w:p>
        </w:tc>
      </w:tr>
      <w:tr w:rsidR="00095E11" w14:paraId="5AB149B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A5CD261" w14:textId="77777777" w:rsidR="00095E11" w:rsidRPr="0071503B" w:rsidRDefault="00095E11" w:rsidP="008D651F">
            <w:pPr>
              <w:pStyle w:val="BodyText"/>
            </w:pPr>
            <w:r w:rsidRPr="00D5007F">
              <w:t>125A</w:t>
            </w:r>
          </w:p>
        </w:tc>
        <w:tc>
          <w:tcPr>
            <w:tcW w:w="2410" w:type="dxa"/>
          </w:tcPr>
          <w:p w14:paraId="05FFC47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5007F">
              <w:t>Repayment method arranged</w:t>
            </w:r>
          </w:p>
        </w:tc>
        <w:tc>
          <w:tcPr>
            <w:tcW w:w="2126" w:type="dxa"/>
          </w:tcPr>
          <w:p w14:paraId="402081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Direct debit</w:t>
            </w:r>
          </w:p>
          <w:p w14:paraId="3A1843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Standing order</w:t>
            </w:r>
          </w:p>
          <w:p w14:paraId="4FE0FC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Continuous payment authority</w:t>
            </w:r>
          </w:p>
          <w:p w14:paraId="053A232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Direct from salary via employer</w:t>
            </w:r>
          </w:p>
          <w:p w14:paraId="22636B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repayment method</w:t>
            </w:r>
          </w:p>
          <w:p w14:paraId="5B195F63"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776D4C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any repayment method arranged, or in the process of being arranged, for the regulated credit agreement.</w:t>
            </w:r>
          </w:p>
          <w:p w14:paraId="370B8E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176EB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A429D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Direct debit</w:t>
            </w:r>
          </w:p>
          <w:p w14:paraId="48AD98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Consent has been given for repayments under the regulated credit agreement to be made by direct debit to the reporting firm.</w:t>
            </w:r>
          </w:p>
          <w:p w14:paraId="46B1A9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Standing order</w:t>
            </w:r>
          </w:p>
          <w:p w14:paraId="28BC29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standing order has been arranged to make repayments under the regulated credit agreement to the reporting firm.</w:t>
            </w:r>
          </w:p>
          <w:p w14:paraId="559BD0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Continuous payment authority</w:t>
            </w:r>
          </w:p>
          <w:p w14:paraId="5592CA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Consent has been given for a continuous payment authority to make repayments under the regulated credit agreement to the reporting firm.</w:t>
            </w:r>
          </w:p>
          <w:p w14:paraId="7B5C4C6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Direct from salary via employer</w:t>
            </w:r>
          </w:p>
          <w:p w14:paraId="1EEBBC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Consent has been given for repayments under the regulated credit agreement to be deducted from the borrower(s) salary and transferred to the reporting firm by the borrower(s) employer.</w:t>
            </w:r>
          </w:p>
          <w:p w14:paraId="549FAD9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repayment method</w:t>
            </w:r>
          </w:p>
          <w:p w14:paraId="0CD37B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repayment method arranged under the regulated credit agreement is not as described by any of the specific options above.</w:t>
            </w:r>
          </w:p>
          <w:p w14:paraId="283500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46751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is unable to determine the repayment method. This should </w:t>
            </w:r>
            <w:r>
              <w:lastRenderedPageBreak/>
              <w:t>include when there is no regular repayment method arranged under the regulated credit agreement."</w:t>
            </w:r>
          </w:p>
        </w:tc>
      </w:tr>
      <w:tr w:rsidR="00095E11" w14:paraId="5F21E9E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E66F9F4" w14:textId="77777777" w:rsidR="00095E11" w:rsidRPr="0071503B" w:rsidRDefault="00095E11" w:rsidP="008D651F">
            <w:pPr>
              <w:pStyle w:val="BodyText"/>
            </w:pPr>
            <w:r w:rsidRPr="00D5007F">
              <w:lastRenderedPageBreak/>
              <w:t>126A</w:t>
            </w:r>
          </w:p>
        </w:tc>
        <w:tc>
          <w:tcPr>
            <w:tcW w:w="2410" w:type="dxa"/>
          </w:tcPr>
          <w:p w14:paraId="2F8FF01D"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5007F">
              <w:t>Frequency of regular repayments or statements</w:t>
            </w:r>
          </w:p>
        </w:tc>
        <w:tc>
          <w:tcPr>
            <w:tcW w:w="2126" w:type="dxa"/>
          </w:tcPr>
          <w:p w14:paraId="3FFB66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Single repayment</w:t>
            </w:r>
          </w:p>
          <w:p w14:paraId="2A9DA7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Weekly</w:t>
            </w:r>
          </w:p>
          <w:p w14:paraId="7D233E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Fortnightly</w:t>
            </w:r>
          </w:p>
          <w:p w14:paraId="4C0F03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Four-weekly</w:t>
            </w:r>
          </w:p>
          <w:p w14:paraId="76F433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Monthly</w:t>
            </w:r>
          </w:p>
          <w:p w14:paraId="115C4D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Quarterly</w:t>
            </w:r>
          </w:p>
          <w:p w14:paraId="1D12D6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 Annually</w:t>
            </w:r>
          </w:p>
          <w:p w14:paraId="76B4B0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frequency</w:t>
            </w:r>
          </w:p>
          <w:p w14:paraId="0CD4A4A6"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 regular frequency"</w:t>
            </w:r>
          </w:p>
        </w:tc>
        <w:tc>
          <w:tcPr>
            <w:tcW w:w="3963" w:type="dxa"/>
          </w:tcPr>
          <w:p w14:paraId="54BD27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fixed-sum credit facilities, this should reflect the frequency of repayments set out in the regulated credit agreement.</w:t>
            </w:r>
          </w:p>
          <w:p w14:paraId="77A635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E629D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running-account credit facilities, this should reflect the accounting period to which statements to the borrower(s) are issued.</w:t>
            </w:r>
          </w:p>
          <w:p w14:paraId="6832A2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98472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91A8D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Single repayment</w:t>
            </w:r>
          </w:p>
          <w:p w14:paraId="3AA93A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single repayment is scheduled for the total amount payable less any advance payment.</w:t>
            </w:r>
          </w:p>
          <w:p w14:paraId="093F86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Weekly</w:t>
            </w:r>
          </w:p>
          <w:p w14:paraId="650C6A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Fortnightly</w:t>
            </w:r>
          </w:p>
          <w:p w14:paraId="285AF8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Four-weekly</w:t>
            </w:r>
          </w:p>
          <w:p w14:paraId="450546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Monthly</w:t>
            </w:r>
          </w:p>
          <w:p w14:paraId="7660F1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Quarterly</w:t>
            </w:r>
          </w:p>
          <w:p w14:paraId="0016EE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Annually</w:t>
            </w:r>
          </w:p>
          <w:p w14:paraId="0ADA76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frequency</w:t>
            </w:r>
          </w:p>
          <w:p w14:paraId="7A061D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frequency of the regular repayments or accounting periods scheduled under the regulated credit agreement is not as described by any of the specific options above.</w:t>
            </w:r>
          </w:p>
          <w:p w14:paraId="579A96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 regular frequency</w:t>
            </w:r>
          </w:p>
          <w:p w14:paraId="609F6CE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There are no regular repayments or accounting periods scheduled under the regulated credit agreement."</w:t>
            </w:r>
          </w:p>
        </w:tc>
      </w:tr>
      <w:tr w:rsidR="00095E11" w14:paraId="183CCC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3182DA6" w14:textId="77777777" w:rsidR="00095E11" w:rsidRPr="0071503B" w:rsidRDefault="00095E11" w:rsidP="008D651F">
            <w:pPr>
              <w:pStyle w:val="BodyText"/>
            </w:pPr>
            <w:r w:rsidRPr="00335867">
              <w:t>127A</w:t>
            </w:r>
          </w:p>
        </w:tc>
        <w:tc>
          <w:tcPr>
            <w:tcW w:w="2410" w:type="dxa"/>
          </w:tcPr>
          <w:p w14:paraId="419BF92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Number of repayments scheduled</w:t>
            </w:r>
          </w:p>
        </w:tc>
        <w:tc>
          <w:tcPr>
            <w:tcW w:w="2126" w:type="dxa"/>
          </w:tcPr>
          <w:p w14:paraId="17B1D0FE"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Numeric</w:t>
            </w:r>
          </w:p>
        </w:tc>
        <w:tc>
          <w:tcPr>
            <w:tcW w:w="3963" w:type="dxa"/>
          </w:tcPr>
          <w:p w14:paraId="1BAB5D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8376E">
              <w:t>This should reflect the number of repayments set out in the regulated credit agreement.</w:t>
            </w:r>
          </w:p>
        </w:tc>
      </w:tr>
      <w:tr w:rsidR="00095E11" w14:paraId="232482A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F8FE5DC" w14:textId="77777777" w:rsidR="00095E11" w:rsidRPr="0071503B" w:rsidRDefault="00095E11" w:rsidP="008D651F">
            <w:pPr>
              <w:pStyle w:val="BodyText"/>
            </w:pPr>
            <w:r w:rsidRPr="00335867">
              <w:lastRenderedPageBreak/>
              <w:t>128A</w:t>
            </w:r>
          </w:p>
        </w:tc>
        <w:tc>
          <w:tcPr>
            <w:tcW w:w="2410" w:type="dxa"/>
          </w:tcPr>
          <w:p w14:paraId="7E7229B8"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Amount of regular repayment</w:t>
            </w:r>
          </w:p>
        </w:tc>
        <w:tc>
          <w:tcPr>
            <w:tcW w:w="2126" w:type="dxa"/>
          </w:tcPr>
          <w:p w14:paraId="7CB7815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Numeric £</w:t>
            </w:r>
          </w:p>
        </w:tc>
        <w:tc>
          <w:tcPr>
            <w:tcW w:w="3963" w:type="dxa"/>
          </w:tcPr>
          <w:p w14:paraId="26E9A61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value of the regular repayments required under the regulated credit agreement.</w:t>
            </w:r>
          </w:p>
          <w:p w14:paraId="6C94D4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4B016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only the first and/or last repayment scheduled is a different value to all other repayments, these should be discounted.</w:t>
            </w:r>
          </w:p>
          <w:p w14:paraId="126530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F0237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there is no regular repayment value, or the repayment values are unknown when the regulated credit agreement starts, report this as 0.00."</w:t>
            </w:r>
          </w:p>
        </w:tc>
      </w:tr>
    </w:tbl>
    <w:p w14:paraId="1B9B2289" w14:textId="77777777" w:rsidR="00095E11" w:rsidRDefault="00095E11" w:rsidP="00095E11">
      <w:pPr>
        <w:pStyle w:val="BodyText"/>
      </w:pPr>
    </w:p>
    <w:p w14:paraId="48F51C73" w14:textId="77777777" w:rsidR="00095E11" w:rsidRPr="00095E11" w:rsidRDefault="00095E11" w:rsidP="00095E11"/>
    <w:p w14:paraId="2D94962B" w14:textId="4F45C0ED" w:rsidR="009C2478" w:rsidRDefault="00095E11" w:rsidP="00FA6DFC">
      <w:pPr>
        <w:pStyle w:val="Heading1"/>
        <w:numPr>
          <w:ilvl w:val="0"/>
          <w:numId w:val="24"/>
        </w:numPr>
      </w:pPr>
      <w:bookmarkStart w:id="11" w:name="_Toc220409441"/>
      <w:r>
        <w:lastRenderedPageBreak/>
        <w:t>Use</w:t>
      </w:r>
      <w:r w:rsidR="00193784">
        <w:t>r</w:t>
      </w:r>
      <w:r>
        <w:t xml:space="preserve"> </w:t>
      </w:r>
      <w:r w:rsidR="00CB3BFD">
        <w:t>Stories</w:t>
      </w:r>
      <w:bookmarkEnd w:id="11"/>
    </w:p>
    <w:p w14:paraId="42FE523B" w14:textId="6BFC0A91" w:rsidR="006E2644" w:rsidRPr="006E2644" w:rsidRDefault="006E2644" w:rsidP="006E2644">
      <w:pPr>
        <w:spacing w:line="300" w:lineRule="atLeast"/>
        <w:rPr>
          <w:rFonts w:asciiTheme="minorHAnsi" w:eastAsia="Times New Roman" w:hAnsiTheme="minorHAnsi" w:cstheme="minorHAnsi"/>
          <w:kern w:val="0"/>
          <w:sz w:val="21"/>
          <w:szCs w:val="21"/>
          <w:lang w:val="en-GB" w:eastAsia="en-GB"/>
          <w14:ligatures w14:val="none"/>
        </w:rPr>
      </w:pPr>
      <w:r w:rsidRPr="006E2644">
        <w:rPr>
          <w:rFonts w:asciiTheme="minorHAnsi" w:eastAsia="Times New Roman" w:hAnsiTheme="minorHAnsi" w:cstheme="minorHAnsi"/>
          <w:kern w:val="0"/>
          <w:sz w:val="21"/>
          <w:szCs w:val="21"/>
          <w:lang w:val="en-GB" w:eastAsia="en-GB"/>
          <w14:ligatures w14:val="none"/>
        </w:rPr>
        <w:t>The following section outlines the user stories from the perspectives of Regulatory Reporting, Business Analysis, and Development.</w:t>
      </w:r>
    </w:p>
    <w:p w14:paraId="13DC462F" w14:textId="77777777" w:rsidR="00247515" w:rsidRDefault="00247515" w:rsidP="00D419B9">
      <w:pPr>
        <w:pStyle w:val="Heading2"/>
      </w:pPr>
      <w:bookmarkStart w:id="12" w:name="_Toc220409442"/>
      <w:r>
        <w:t>Reg Reporting Analyst</w:t>
      </w:r>
      <w:bookmarkEnd w:id="12"/>
    </w:p>
    <w:p w14:paraId="047D3984" w14:textId="77777777" w:rsidR="00247515" w:rsidRDefault="00247515" w:rsidP="00247515">
      <w:pPr>
        <w:pStyle w:val="NTTBodyText"/>
      </w:pPr>
      <w:r>
        <w:t>As a Regulatory Reporting Analyst, I need to receive automatically interpreted regulatory changes so that I can understand impacts quickly and accurately.</w:t>
      </w:r>
    </w:p>
    <w:p w14:paraId="53143885" w14:textId="77777777" w:rsidR="00247515" w:rsidRDefault="00247515" w:rsidP="00247515">
      <w:pPr>
        <w:pStyle w:val="NTTBodyText"/>
      </w:pPr>
      <w:r>
        <w:t>As a Regulatory Reporting Analyst, I need automated data validation so that I can identify data quality issues before report submission.</w:t>
      </w:r>
    </w:p>
    <w:p w14:paraId="49C92FAA" w14:textId="77777777" w:rsidR="00247515" w:rsidRDefault="00247515" w:rsidP="00247515">
      <w:pPr>
        <w:pStyle w:val="NTTBodyText"/>
      </w:pPr>
      <w:r>
        <w:t>As a Regulatory Reporting Analyst, I need a fully traceable audit pack so that I can provide evidence to compliance with the regulators.</w:t>
      </w:r>
    </w:p>
    <w:p w14:paraId="4636756F" w14:textId="77777777" w:rsidR="00247515" w:rsidRDefault="00247515" w:rsidP="00247515">
      <w:pPr>
        <w:pStyle w:val="NTTBodyText"/>
      </w:pPr>
      <w:r>
        <w:t>As a Regulatory Reporting Analyst, I need to generate FCA</w:t>
      </w:r>
      <w:r>
        <w:rPr>
          <w:rFonts w:ascii="Cambria Math" w:hAnsi="Cambria Math" w:cs="Cambria Math"/>
        </w:rPr>
        <w:t>‑</w:t>
      </w:r>
      <w:r>
        <w:t>compliant PSD CSV outputs automatically so that I can submit reports without manual intervention.</w:t>
      </w:r>
    </w:p>
    <w:p w14:paraId="3243F3A6" w14:textId="77777777" w:rsidR="00247515" w:rsidRDefault="00247515" w:rsidP="00247515">
      <w:pPr>
        <w:pStyle w:val="NTTBodyText"/>
      </w:pPr>
      <w:r>
        <w:t>As a Regulatory Reporting Analyst, I need to provide a single unified user interface so that I can access lineage, mappings, controls, workflow, and output files in one place without switching systems.</w:t>
      </w:r>
    </w:p>
    <w:p w14:paraId="73E6F65A" w14:textId="77777777" w:rsidR="00247515" w:rsidRPr="00D419B9" w:rsidRDefault="00247515" w:rsidP="00D419B9">
      <w:pPr>
        <w:pStyle w:val="Heading2"/>
      </w:pPr>
      <w:bookmarkStart w:id="13" w:name="_Toc220409443"/>
      <w:r w:rsidRPr="00D419B9">
        <w:t>Business Analyst</w:t>
      </w:r>
      <w:bookmarkEnd w:id="13"/>
    </w:p>
    <w:p w14:paraId="7E85CCBC" w14:textId="77777777" w:rsidR="00247515" w:rsidRDefault="00247515" w:rsidP="00247515">
      <w:pPr>
        <w:pStyle w:val="NTTBodyText"/>
      </w:pPr>
      <w:r>
        <w:t>As a Business Analyst, I need to see AI</w:t>
      </w:r>
      <w:r>
        <w:rPr>
          <w:rFonts w:ascii="Cambria Math" w:hAnsi="Cambria Math" w:cs="Cambria Math"/>
        </w:rPr>
        <w:t>‑</w:t>
      </w:r>
      <w:r>
        <w:t>generated functional and data requirements so that I can validate and refine them efficiently.</w:t>
      </w:r>
    </w:p>
    <w:p w14:paraId="6E0C33D1" w14:textId="77777777" w:rsidR="00247515" w:rsidRDefault="00247515" w:rsidP="00247515">
      <w:pPr>
        <w:pStyle w:val="NTTBodyText"/>
      </w:pPr>
      <w:r>
        <w:t>As a Business Analyst, I need auto</w:t>
      </w:r>
      <w:r>
        <w:rPr>
          <w:rFonts w:ascii="Cambria Math" w:hAnsi="Cambria Math" w:cs="Cambria Math"/>
        </w:rPr>
        <w:t>‑</w:t>
      </w:r>
      <w:r>
        <w:t>generated data mappings so that I can ensure all PSD elements have complete sourcing.</w:t>
      </w:r>
    </w:p>
    <w:p w14:paraId="652CCBF0" w14:textId="77777777" w:rsidR="00247515" w:rsidRDefault="00247515" w:rsidP="00247515">
      <w:pPr>
        <w:pStyle w:val="NTTBodyText"/>
      </w:pPr>
      <w:r>
        <w:t>As a Business Analyst, I need auto</w:t>
      </w:r>
      <w:r>
        <w:rPr>
          <w:rFonts w:ascii="Cambria Math" w:hAnsi="Cambria Math" w:cs="Cambria Math"/>
        </w:rPr>
        <w:t>‑</w:t>
      </w:r>
      <w:r>
        <w:t>generated test cases so that I can validate system behaviour aligns to FCA rules.</w:t>
      </w:r>
    </w:p>
    <w:p w14:paraId="0298AF80" w14:textId="77777777" w:rsidR="00247515" w:rsidRDefault="00247515" w:rsidP="00247515">
      <w:pPr>
        <w:pStyle w:val="NTTBodyText"/>
      </w:pPr>
      <w:r>
        <w:t>As a Business Analyst, I need to provide a single unified user interface so that I can access requirements, mappings, tests, lineage, and workflow in one place without switching tools.</w:t>
      </w:r>
    </w:p>
    <w:p w14:paraId="369177E6" w14:textId="77777777" w:rsidR="00247515" w:rsidRDefault="00247515" w:rsidP="00D419B9">
      <w:pPr>
        <w:pStyle w:val="Heading2"/>
      </w:pPr>
      <w:bookmarkStart w:id="14" w:name="_Toc220409444"/>
      <w:r>
        <w:t>Developer</w:t>
      </w:r>
      <w:bookmarkEnd w:id="14"/>
    </w:p>
    <w:p w14:paraId="05B18774" w14:textId="77777777" w:rsidR="00247515" w:rsidRDefault="00247515" w:rsidP="00247515">
      <w:pPr>
        <w:pStyle w:val="NTTBodyText"/>
      </w:pPr>
      <w:r>
        <w:t>As a Developer, I need a structured regulatory rule schema (JSON/Graph format) consumed from Gaia so that Kano can reliably generate requirements, ontology updates, mappings, and test cases.</w:t>
      </w:r>
    </w:p>
    <w:p w14:paraId="06A62FE8" w14:textId="77777777" w:rsidR="00247515" w:rsidRDefault="00247515" w:rsidP="00247515">
      <w:pPr>
        <w:pStyle w:val="NTTBodyText"/>
      </w:pPr>
      <w:r>
        <w:t>As a Developer, I need a Versioned rule set so that changes from the FCA/PRA generate new versions without overwriting historical logic.</w:t>
      </w:r>
    </w:p>
    <w:p w14:paraId="308884B0" w14:textId="77777777" w:rsidR="00247515" w:rsidRDefault="00247515" w:rsidP="00247515">
      <w:pPr>
        <w:pStyle w:val="NTTBodyText"/>
      </w:pPr>
      <w:r>
        <w:t>As a Developer, I need to schedule or trigger ingestion workflows via automation so that the platform can support daily/weekly/monthly regulatory refresh cycles.</w:t>
      </w:r>
    </w:p>
    <w:p w14:paraId="005730A1" w14:textId="77777777" w:rsidR="00247515" w:rsidRDefault="00247515" w:rsidP="00247515">
      <w:pPr>
        <w:pStyle w:val="NTTBodyText"/>
      </w:pPr>
      <w:r>
        <w:t>As a Developer, I need a structured regulatory rule schema from Gaia (e.g., JSON/graph) so that Kano can consistently interpret, transform, and version regulatory updates.</w:t>
      </w:r>
    </w:p>
    <w:p w14:paraId="2BF1380D" w14:textId="77777777" w:rsidR="00247515" w:rsidRDefault="00247515" w:rsidP="00247515">
      <w:pPr>
        <w:pStyle w:val="NTTBodyText"/>
      </w:pPr>
      <w:r>
        <w:t>As a Developer, I Need a deterministic pipeline for mapping execution so that the PSD CSV output is reproducible and testable</w:t>
      </w:r>
    </w:p>
    <w:p w14:paraId="600020F7" w14:textId="77777777" w:rsidR="00247515" w:rsidRDefault="00247515" w:rsidP="00247515">
      <w:pPr>
        <w:pStyle w:val="NTTBodyText"/>
      </w:pPr>
      <w:r>
        <w:t xml:space="preserve">As a Developer, I Need Kano to produce auto-generated test cases in a </w:t>
      </w:r>
      <w:proofErr w:type="gramStart"/>
      <w:r>
        <w:t>machine readable</w:t>
      </w:r>
      <w:proofErr w:type="gramEnd"/>
      <w:r>
        <w:t xml:space="preserve"> format (e.g., JSON) so that I can integrate them into automated test suites.</w:t>
      </w:r>
    </w:p>
    <w:p w14:paraId="7FFD8E93" w14:textId="77777777" w:rsidR="00247515" w:rsidRDefault="00247515" w:rsidP="00247515">
      <w:pPr>
        <w:pStyle w:val="NTTBodyText"/>
      </w:pPr>
      <w:r>
        <w:lastRenderedPageBreak/>
        <w:t xml:space="preserve">As a Developer, I Need a unified test runner API so </w:t>
      </w:r>
      <w:proofErr w:type="spellStart"/>
      <w:r>
        <w:t>Axet</w:t>
      </w:r>
      <w:proofErr w:type="spellEnd"/>
      <w:r>
        <w:t xml:space="preserve"> can display </w:t>
      </w:r>
      <w:proofErr w:type="gramStart"/>
      <w:r>
        <w:t>results</w:t>
      </w:r>
      <w:proofErr w:type="gramEnd"/>
      <w:r>
        <w:t xml:space="preserve"> and the pipeline can stop promotions if tests fail.</w:t>
      </w:r>
    </w:p>
    <w:p w14:paraId="3D539E5B" w14:textId="77777777" w:rsidR="00247515" w:rsidRDefault="00247515" w:rsidP="00247515">
      <w:pPr>
        <w:pStyle w:val="NTTBodyText"/>
      </w:pPr>
      <w:r>
        <w:t>As a developer, I Need a reusable output framework so that future FCA report types (COREP, FINREP, Pillar 2) follow the same pattern.</w:t>
      </w:r>
    </w:p>
    <w:p w14:paraId="6858EC79" w14:textId="4BEED3C3" w:rsidR="00F34816" w:rsidRDefault="00247515" w:rsidP="00247515">
      <w:pPr>
        <w:pStyle w:val="NTTBodyText"/>
      </w:pPr>
      <w:r>
        <w:t>As a developer I need Full telemetry across the pipeline, Structured logging formats (JSON) for downstream ingestion and full audit logs</w:t>
      </w:r>
    </w:p>
    <w:p w14:paraId="16C01A84" w14:textId="77777777" w:rsidR="00CB3BFD" w:rsidRPr="00F34816" w:rsidRDefault="00CB3BFD" w:rsidP="00247515">
      <w:pPr>
        <w:pStyle w:val="NTTBodyText"/>
      </w:pPr>
    </w:p>
    <w:sectPr w:rsidR="00CB3BFD" w:rsidRPr="00F34816" w:rsidSect="00762711">
      <w:headerReference w:type="default" r:id="rId20"/>
      <w:footerReference w:type="default" r:id="rId21"/>
      <w:headerReference w:type="first" r:id="rId22"/>
      <w:footerReference w:type="first" r:id="rId23"/>
      <w:pgSz w:w="11906" w:h="16838"/>
      <w:pgMar w:top="1609" w:right="1134" w:bottom="1134" w:left="1134" w:header="709" w:footer="4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6CD60" w14:textId="77777777" w:rsidR="007E66F4" w:rsidRDefault="007E66F4" w:rsidP="004F71FC">
      <w:r>
        <w:separator/>
      </w:r>
    </w:p>
    <w:p w14:paraId="30119891" w14:textId="77777777" w:rsidR="007E66F4" w:rsidRDefault="007E66F4"/>
  </w:endnote>
  <w:endnote w:type="continuationSeparator" w:id="0">
    <w:p w14:paraId="3C6E6D17" w14:textId="77777777" w:rsidR="007E66F4" w:rsidRDefault="007E66F4" w:rsidP="004F71FC">
      <w:r>
        <w:continuationSeparator/>
      </w:r>
    </w:p>
    <w:p w14:paraId="735BE14C" w14:textId="77777777" w:rsidR="007E66F4" w:rsidRDefault="007E66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26DF" w14:textId="77777777" w:rsidR="00762711" w:rsidRDefault="007627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6E8B" w14:textId="5C1DC18B" w:rsidR="000433E6" w:rsidRDefault="00380132" w:rsidP="00824EC5">
    <w:pPr>
      <w:pStyle w:val="Footer"/>
      <w:tabs>
        <w:tab w:val="clear" w:pos="9026"/>
        <w:tab w:val="right" w:pos="9575"/>
      </w:tabs>
    </w:pPr>
    <w:r w:rsidRPr="001C5D50">
      <w:rPr>
        <w:rFonts w:hint="eastAsia"/>
        <w:bCs/>
        <w:lang w:val="en-GB"/>
      </w:rPr>
      <w:t>©</w:t>
    </w:r>
    <w:r>
      <w:rPr>
        <w:bCs/>
        <w:lang w:val="en-GB"/>
      </w:rPr>
      <w:t xml:space="preserve"> 2023</w:t>
    </w:r>
    <w:r w:rsidRPr="001C5D50">
      <w:rPr>
        <w:bCs/>
        <w:lang w:val="en-GB"/>
      </w:rPr>
      <w:t xml:space="preserve"> </w:t>
    </w:r>
    <w:sdt>
      <w:sdtPr>
        <w:rPr>
          <w:bCs/>
          <w:lang w:val="en-GB"/>
        </w:rPr>
        <w:alias w:val="Company"/>
        <w:tag w:val=""/>
        <w:id w:val="-1979137449"/>
        <w:placeholder>
          <w:docPart w:val="F9B3FD16871F4C54ACF12EFE83A2BD4C"/>
        </w:placeholder>
        <w:dataBinding w:prefixMappings="xmlns:ns0='http://schemas.openxmlformats.org/officeDocument/2006/extended-properties' " w:xpath="/ns0:Properties[1]/ns0:Company[1]" w:storeItemID="{6668398D-A668-4E3E-A5EB-62B293D839F1}"/>
        <w:text/>
      </w:sdtPr>
      <w:sdtEndPr/>
      <w:sdtContent>
        <w:r w:rsidR="00762711">
          <w:rPr>
            <w:bCs/>
            <w:lang w:val="en-GB"/>
          </w:rPr>
          <w:t>NTT DATA, Inc.</w:t>
        </w:r>
      </w:sdtContent>
    </w:sdt>
    <w:r w:rsidRPr="001C5D50">
      <w:rPr>
        <w:b/>
        <w:bCs/>
        <w:lang w:val="en-GB"/>
      </w:rPr>
      <w:t xml:space="preserve"> </w:t>
    </w:r>
    <w:r>
      <w:rPr>
        <w:noProof/>
      </w:rPr>
      <mc:AlternateContent>
        <mc:Choice Requires="wps">
          <w:drawing>
            <wp:anchor distT="45720" distB="45720" distL="114300" distR="114300" simplePos="0" relativeHeight="251694080" behindDoc="0" locked="0" layoutInCell="1" allowOverlap="1" wp14:anchorId="09E117FC" wp14:editId="1B61D5FF">
              <wp:simplePos x="0" y="0"/>
              <wp:positionH relativeFrom="margin">
                <wp:align>right</wp:align>
              </wp:positionH>
              <wp:positionV relativeFrom="paragraph">
                <wp:posOffset>5715</wp:posOffset>
              </wp:positionV>
              <wp:extent cx="804545" cy="160020"/>
              <wp:effectExtent l="0" t="0" r="0" b="0"/>
              <wp:wrapSquare wrapText="bothSides"/>
              <wp:docPr id="1448290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9E117FC" id="_x0000_t202" coordsize="21600,21600" o:spt="202" path="m,l,21600r21600,l21600,xe">
              <v:stroke joinstyle="miter"/>
              <v:path gradientshapeok="t" o:connecttype="rect"/>
            </v:shapetype>
            <v:shape id="Text Box 2" o:spid="_x0000_s1026" type="#_x0000_t202" style="position:absolute;margin-left:12.15pt;margin-top:.45pt;width:63.35pt;height:12.6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" stroked="f">
              <v:textbox style="mso-fit-shape-to-text:t" inset="0,0,0,0">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E39D" w14:textId="089CB0C7" w:rsidR="00824EC5" w:rsidRDefault="00824EC5" w:rsidP="00824EC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E9B6" w14:textId="5E4E05D8" w:rsidR="00762711"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96128" behindDoc="0" locked="0" layoutInCell="1" allowOverlap="1" wp14:anchorId="53D51667" wp14:editId="30C95E7B">
              <wp:simplePos x="0" y="0"/>
              <wp:positionH relativeFrom="margin">
                <wp:align>right</wp:align>
              </wp:positionH>
              <wp:positionV relativeFrom="paragraph">
                <wp:posOffset>4445</wp:posOffset>
              </wp:positionV>
              <wp:extent cx="804545" cy="160020"/>
              <wp:effectExtent l="0" t="0" r="0" b="0"/>
              <wp:wrapSquare wrapText="bothSides"/>
              <wp:docPr id="321570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3D51667" id="_x0000_t202" coordsize="21600,21600" o:spt="202" path="m,l,21600r21600,l21600,xe">
              <v:stroke joinstyle="miter"/>
              <v:path gradientshapeok="t" o:connecttype="rect"/>
            </v:shapetype>
            <v:shape id="_x0000_s1027" type="#_x0000_t202" style="position:absolute;margin-left:12.15pt;margin-top:.35pt;width:63.35pt;height:12.6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" stroked="f">
              <v:textbox style="mso-fit-shape-to-text:t" inset="0,0,0,0">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Pr="001C5D50">
      <w:rPr>
        <w:rFonts w:hint="eastAsia"/>
        <w:bCs/>
        <w:lang w:val="en-GB"/>
      </w:rPr>
      <w:t>©</w:t>
    </w:r>
    <w:r>
      <w:rPr>
        <w:bCs/>
        <w:lang w:val="en-GB"/>
      </w:rPr>
      <w:t xml:space="preserve"> 202</w:t>
    </w:r>
    <w:r w:rsidR="005B0B72">
      <w:rPr>
        <w:bCs/>
        <w:lang w:val="en-GB"/>
      </w:rPr>
      <w:t>6</w:t>
    </w:r>
    <w:r w:rsidRPr="001C5D50">
      <w:rPr>
        <w:bCs/>
        <w:lang w:val="en-GB"/>
      </w:rPr>
      <w:t xml:space="preserve"> </w:t>
    </w:r>
    <w:sdt>
      <w:sdtPr>
        <w:rPr>
          <w:bCs/>
          <w:lang w:val="en-GB"/>
        </w:rPr>
        <w:alias w:val="Company"/>
        <w:tag w:val=""/>
        <w:id w:val="-1607030622"/>
        <w:placeholder>
          <w:docPart w:val="7E69470399464888BD163DC6228BD769"/>
        </w:placeholder>
        <w:dataBinding w:prefixMappings="xmlns:ns0='http://schemas.openxmlformats.org/officeDocument/2006/extended-properties' " w:xpath="/ns0:Properties[1]/ns0:Company[1]" w:storeItemID="{6668398D-A668-4E3E-A5EB-62B293D839F1}"/>
        <w:text/>
      </w:sdtPr>
      <w:sdtEndPr/>
      <w:sdtContent>
        <w:r>
          <w:rPr>
            <w:bCs/>
            <w:lang w:val="en-GB"/>
          </w:rPr>
          <w:t>NTT DATA, Inc.</w:t>
        </w:r>
      </w:sdtContent>
    </w:sdt>
    <w:r>
      <w:rPr>
        <w:bCs/>
        <w:lang w:val="en-G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E498" w14:textId="59A54981" w:rsidR="00C12906"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83840" behindDoc="0" locked="0" layoutInCell="1" allowOverlap="1" wp14:anchorId="123C0B25" wp14:editId="269D6182">
              <wp:simplePos x="0" y="0"/>
              <wp:positionH relativeFrom="margin">
                <wp:align>right</wp:align>
              </wp:positionH>
              <wp:positionV relativeFrom="paragraph">
                <wp:posOffset>4445</wp:posOffset>
              </wp:positionV>
              <wp:extent cx="804545" cy="1600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3C0B25" id="_x0000_t202" coordsize="21600,21600" o:spt="202" path="m,l,21600r21600,l21600,xe">
              <v:stroke joinstyle="miter"/>
              <v:path gradientshapeok="t" o:connecttype="rect"/>
            </v:shapetype>
            <v:shape id="_x0000_s1028" type="#_x0000_t202" style="position:absolute;margin-left:12.15pt;margin-top:.35pt;width:63.35pt;height:12.6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" stroked="f">
              <v:textbox style="mso-fit-shape-to-text:t" inset="0,0,0,0">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001C5D50" w:rsidRPr="001C5D50">
      <w:rPr>
        <w:rFonts w:hint="eastAsia"/>
        <w:bCs/>
        <w:lang w:val="en-GB"/>
      </w:rPr>
      <w:t>©</w:t>
    </w:r>
    <w:r w:rsidR="001C5D50">
      <w:rPr>
        <w:bCs/>
        <w:lang w:val="en-GB"/>
      </w:rPr>
      <w:t xml:space="preserve"> 202</w:t>
    </w:r>
    <w:r w:rsidR="005B0B72">
      <w:rPr>
        <w:bCs/>
        <w:lang w:val="en-GB"/>
      </w:rPr>
      <w:t>6</w:t>
    </w:r>
    <w:r w:rsidR="001C5D50" w:rsidRPr="001C5D50">
      <w:rPr>
        <w:bCs/>
        <w:lang w:val="en-GB"/>
      </w:rPr>
      <w:t xml:space="preserve"> </w:t>
    </w:r>
    <w:sdt>
      <w:sdtPr>
        <w:rPr>
          <w:bCs/>
          <w:lang w:val="en-GB"/>
        </w:rPr>
        <w:alias w:val="Company"/>
        <w:tag w:val=""/>
        <w:id w:val="1613089459"/>
        <w:placeholder>
          <w:docPart w:val="07F13BF82FC6447CAC9D511CF9723222"/>
        </w:placeholder>
        <w:dataBinding w:prefixMappings="xmlns:ns0='http://schemas.openxmlformats.org/officeDocument/2006/extended-properties' " w:xpath="/ns0:Properties[1]/ns0:Company[1]" w:storeItemID="{6668398D-A668-4E3E-A5EB-62B293D839F1}"/>
        <w:text/>
      </w:sdtPr>
      <w:sdtEndPr/>
      <w:sdtContent>
        <w:r w:rsidR="001C17FF">
          <w:rPr>
            <w:bCs/>
            <w:lang w:val="en-GB"/>
          </w:rPr>
          <w:t>NTT DATA, Inc.</w:t>
        </w:r>
      </w:sdtContent>
    </w:sdt>
    <w:r w:rsidR="001C17FF">
      <w:rPr>
        <w:bCs/>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33A4C" w14:textId="77777777" w:rsidR="007E66F4" w:rsidRDefault="007E66F4" w:rsidP="004F71FC">
      <w:r>
        <w:separator/>
      </w:r>
    </w:p>
    <w:p w14:paraId="4C405CA3" w14:textId="77777777" w:rsidR="007E66F4" w:rsidRDefault="007E66F4"/>
  </w:footnote>
  <w:footnote w:type="continuationSeparator" w:id="0">
    <w:p w14:paraId="053381CC" w14:textId="77777777" w:rsidR="007E66F4" w:rsidRDefault="007E66F4" w:rsidP="004F71FC">
      <w:r>
        <w:continuationSeparator/>
      </w:r>
    </w:p>
    <w:p w14:paraId="24072E6D" w14:textId="77777777" w:rsidR="007E66F4" w:rsidRDefault="007E66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94F3" w14:textId="77777777" w:rsidR="00762711" w:rsidRDefault="00762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21457527"/>
      <w:lock w:val="sdtContentLocked"/>
      <w:placeholder>
        <w:docPart w:val="DefaultPlaceholder_-1854013440"/>
      </w:placeholder>
    </w:sdtPr>
    <w:sdtEndPr/>
    <w:sdtContent>
      <w:p w14:paraId="41D7D7DE" w14:textId="122363C8" w:rsidR="00196899" w:rsidRDefault="00063F40" w:rsidP="00B35478">
        <w:pPr>
          <w:pStyle w:val="Header"/>
          <w:tabs>
            <w:tab w:val="clear" w:pos="9026"/>
          </w:tabs>
        </w:pPr>
        <w:r w:rsidRPr="0085122C">
          <w:rPr>
            <w:noProof/>
          </w:rPr>
          <w:drawing>
            <wp:anchor distT="0" distB="0" distL="114300" distR="114300" simplePos="0" relativeHeight="251658240" behindDoc="0" locked="0" layoutInCell="1" allowOverlap="1" wp14:anchorId="66275B9A" wp14:editId="3CB2A46F">
              <wp:simplePos x="0" y="0"/>
              <wp:positionH relativeFrom="margin">
                <wp:align>right</wp:align>
              </wp:positionH>
              <wp:positionV relativeFrom="paragraph">
                <wp:posOffset>-635</wp:posOffset>
              </wp:positionV>
              <wp:extent cx="1223645" cy="249555"/>
              <wp:effectExtent l="0" t="0" r="0" b="0"/>
              <wp:wrapNone/>
              <wp:docPr id="701481139" name="Graphic 701481139">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sidR="00B449AE">
          <w:rPr>
            <w:noProof/>
          </w:rPr>
          <w:fldChar w:fldCharType="begin"/>
        </w:r>
        <w:r w:rsidR="00B449AE">
          <w:rPr>
            <w:noProof/>
          </w:rPr>
          <w:instrText xml:space="preserve"> STYLEREF  Title  \* MERGEFORMAT </w:instrText>
        </w:r>
        <w:r w:rsidR="00B449AE">
          <w:rPr>
            <w:noProof/>
          </w:rPr>
          <w:fldChar w:fldCharType="separate"/>
        </w:r>
        <w:r w:rsidR="005675A2">
          <w:rPr>
            <w:noProof/>
          </w:rPr>
          <w:t>Document title</w:t>
        </w:r>
        <w:r w:rsidR="00B449AE">
          <w:rPr>
            <w:noProof/>
          </w:rPr>
          <w:fldChar w:fldCharType="end"/>
        </w:r>
      </w:p>
    </w:sdtContent>
  </w:sdt>
  <w:p w14:paraId="3787521C" w14:textId="11A5001F" w:rsidR="004F71FC" w:rsidRDefault="004F71FC">
    <w:pPr>
      <w:pStyle w:val="Header"/>
    </w:pPr>
  </w:p>
  <w:p w14:paraId="012B70FF" w14:textId="77777777" w:rsidR="003D63E9" w:rsidRDefault="003D63E9">
    <w:pPr>
      <w:pStyle w:val="Header"/>
    </w:pPr>
  </w:p>
  <w:p w14:paraId="1C8485DD" w14:textId="77777777" w:rsidR="00FE77FD" w:rsidRDefault="00FE77FD" w:rsidP="00F6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66124AD8" w:rsidR="006C3ED2" w:rsidRDefault="0088676D" w:rsidP="00420B06">
    <w:pPr>
      <w:pStyle w:val="Header"/>
    </w:pPr>
    <w:r>
      <w:rPr>
        <w:noProof/>
      </w:rPr>
      <w:drawing>
        <wp:anchor distT="0" distB="0" distL="114300" distR="114300" simplePos="0" relativeHeight="251659264" behindDoc="1" locked="0" layoutInCell="1" allowOverlap="1" wp14:anchorId="04DD549F" wp14:editId="3802B4E8">
          <wp:simplePos x="0" y="0"/>
          <wp:positionH relativeFrom="margin">
            <wp:align>left</wp:align>
          </wp:positionH>
          <wp:positionV relativeFrom="paragraph">
            <wp:posOffset>219710</wp:posOffset>
          </wp:positionV>
          <wp:extent cx="1823577" cy="396000"/>
          <wp:effectExtent l="0" t="0" r="5715" b="4445"/>
          <wp:wrapNone/>
          <wp:docPr id="589847318" name="Picture 589847318"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text on a black background&#10;&#10;Description automatically generated"/>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823577" cy="39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55687943"/>
      <w:lock w:val="sdtContentLocked"/>
      <w:placeholder>
        <w:docPart w:val="95B71A9760304E7D856A924CBB85946C"/>
      </w:placeholder>
    </w:sdtPr>
    <w:sdtEndPr/>
    <w:sdtContent>
      <w:p w14:paraId="1BD9CB79" w14:textId="39979BE9" w:rsidR="005675A2" w:rsidRDefault="005675A2" w:rsidP="00B35478">
        <w:pPr>
          <w:pStyle w:val="Header"/>
          <w:tabs>
            <w:tab w:val="clear" w:pos="9026"/>
          </w:tabs>
        </w:pPr>
        <w:r w:rsidRPr="0085122C">
          <w:rPr>
            <w:noProof/>
          </w:rPr>
          <w:drawing>
            <wp:anchor distT="0" distB="0" distL="114300" distR="114300" simplePos="0" relativeHeight="251689984" behindDoc="0" locked="0" layoutInCell="1" allowOverlap="1" wp14:anchorId="56C108D9" wp14:editId="467D403A">
              <wp:simplePos x="0" y="0"/>
              <wp:positionH relativeFrom="margin">
                <wp:align>right</wp:align>
              </wp:positionH>
              <wp:positionV relativeFrom="paragraph">
                <wp:posOffset>-635</wp:posOffset>
              </wp:positionV>
              <wp:extent cx="1223645" cy="249555"/>
              <wp:effectExtent l="0" t="0" r="0" b="0"/>
              <wp:wrapNone/>
              <wp:docPr id="2054829698" name="Graphic 2054829698">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Pr>
            <w:noProof/>
          </w:rPr>
          <w:fldChar w:fldCharType="begin"/>
        </w:r>
        <w:r>
          <w:rPr>
            <w:noProof/>
          </w:rPr>
          <w:instrText xml:space="preserve"> STYLEREF  Title  \* MERGEFORMAT </w:instrText>
        </w:r>
        <w:r>
          <w:rPr>
            <w:noProof/>
          </w:rPr>
          <w:fldChar w:fldCharType="separate"/>
        </w:r>
        <w:r w:rsidR="00342C6F">
          <w:rPr>
            <w:noProof/>
          </w:rPr>
          <w:t>FCA PSD Reporting</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7087" w14:textId="159921B7" w:rsidR="00F72BF4" w:rsidRPr="005675A2" w:rsidRDefault="00342C6F" w:rsidP="005675A2">
    <w:pPr>
      <w:pStyle w:val="Header"/>
      <w:rPr>
        <w:noProof/>
      </w:rPr>
    </w:pPr>
    <w:sdt>
      <w:sdtPr>
        <w:rPr>
          <w:noProof/>
        </w:rPr>
        <w:alias w:val="Title"/>
        <w:tag w:val="Title"/>
        <w:id w:val="1361085401"/>
        <w:placeholder>
          <w:docPart w:val="7CEF6F5123C545DEAF3672169BE6A63D"/>
        </w:placeholder>
      </w:sdtPr>
      <w:sdtEndPr/>
      <w:sdtContent>
        <w:r w:rsidR="00F72BF4" w:rsidRPr="005675A2">
          <w:rPr>
            <w:noProof/>
          </w:rPr>
          <w:fldChar w:fldCharType="begin"/>
        </w:r>
        <w:r w:rsidR="00F72BF4" w:rsidRPr="005675A2">
          <w:rPr>
            <w:noProof/>
          </w:rPr>
          <w:instrText xml:space="preserve"> STYLEREF  Title  \* MERGEFORMAT </w:instrText>
        </w:r>
        <w:r w:rsidR="00F72BF4" w:rsidRPr="005675A2">
          <w:rPr>
            <w:noProof/>
          </w:rPr>
          <w:fldChar w:fldCharType="separate"/>
        </w:r>
        <w:r>
          <w:rPr>
            <w:noProof/>
          </w:rPr>
          <w:t>FCA PSD Reporting</w:t>
        </w:r>
        <w:r w:rsidR="00F72BF4" w:rsidRPr="005675A2">
          <w:rPr>
            <w:noProof/>
          </w:rPr>
          <w:fldChar w:fldCharType="end"/>
        </w:r>
      </w:sdtContent>
    </w:sdt>
    <w:r w:rsidR="00F72BF4" w:rsidRPr="005675A2">
      <w:rPr>
        <w:noProof/>
      </w:rPr>
      <w:drawing>
        <wp:anchor distT="0" distB="0" distL="114300" distR="114300" simplePos="0" relativeHeight="251692032" behindDoc="1" locked="0" layoutInCell="1" allowOverlap="1" wp14:anchorId="54019EBE" wp14:editId="5D33C599">
          <wp:simplePos x="0" y="0"/>
          <wp:positionH relativeFrom="margin">
            <wp:align>right</wp:align>
          </wp:positionH>
          <wp:positionV relativeFrom="paragraph">
            <wp:posOffset>-635</wp:posOffset>
          </wp:positionV>
          <wp:extent cx="1147375" cy="234000"/>
          <wp:effectExtent l="0" t="0" r="0" b="0"/>
          <wp:wrapNone/>
          <wp:docPr id="645083175" name="Graphic 645083175">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7375" cy="234000"/>
                  </a:xfrm>
                  <a:prstGeom prst="rect">
                    <a:avLst/>
                  </a:prstGeom>
                </pic:spPr>
              </pic:pic>
            </a:graphicData>
          </a:graphic>
          <wp14:sizeRelH relativeFrom="margin">
            <wp14:pctWidth>0</wp14:pctWidth>
          </wp14:sizeRelH>
          <wp14:sizeRelV relativeFrom="margin">
            <wp14:pctHeight>0</wp14:pctHeight>
          </wp14:sizeRelV>
        </wp:anchor>
      </w:drawing>
    </w:r>
  </w:p>
  <w:p w14:paraId="184A9573" w14:textId="4D3E5A8D" w:rsidR="005675A2" w:rsidRPr="00F72BF4" w:rsidRDefault="005675A2" w:rsidP="00F72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906"/>
    <w:multiLevelType w:val="multilevel"/>
    <w:tmpl w:val="C6FAF8C8"/>
    <w:styleLink w:val="NTTHeadingsList"/>
    <w:lvl w:ilvl="0">
      <w:start w:val="1"/>
      <w:numFmt w:val="decimal"/>
      <w:lvlText w:val="%1."/>
      <w:lvlJc w:val="left"/>
      <w:pPr>
        <w:tabs>
          <w:tab w:val="num" w:pos="850"/>
        </w:tabs>
        <w:ind w:left="850" w:hanging="850"/>
      </w:pPr>
      <w:rPr>
        <w:rFonts w:ascii="Arial Bold" w:hAnsi="Arial Bold" w:cs="Arial" w:hint="default"/>
        <w:b/>
        <w:i w:val="0"/>
        <w:caps w:val="0"/>
        <w:strike w:val="0"/>
        <w:dstrike w:val="0"/>
        <w:vanish w:val="0"/>
        <w:color w:val="0072BC"/>
        <w:spacing w:val="10"/>
        <w:kern w:val="32"/>
        <w:sz w:val="32"/>
        <w:u w:val="none"/>
        <w:effect w:val="none"/>
        <w:vertAlign w:val="baseline"/>
      </w:rPr>
    </w:lvl>
    <w:lvl w:ilvl="1">
      <w:start w:val="1"/>
      <w:numFmt w:val="decimal"/>
      <w:lvlText w:val="%1.%2."/>
      <w:lvlJc w:val="left"/>
      <w:pPr>
        <w:tabs>
          <w:tab w:val="num" w:pos="850"/>
        </w:tabs>
        <w:ind w:left="850" w:hanging="850"/>
      </w:pPr>
      <w:rPr>
        <w:rFonts w:ascii="Arial Bold" w:hAnsi="Arial Bold" w:cs="Arial" w:hint="default"/>
        <w:b/>
        <w:i w:val="0"/>
        <w:caps w:val="0"/>
        <w:strike w:val="0"/>
        <w:dstrike w:val="0"/>
        <w:vanish w:val="0"/>
        <w:color w:val="0072BC"/>
        <w:spacing w:val="10"/>
        <w:sz w:val="24"/>
        <w:u w:val="none"/>
        <w:effect w:val="none"/>
        <w:vertAlign w:val="baseline"/>
      </w:rPr>
    </w:lvl>
    <w:lvl w:ilvl="2">
      <w:start w:val="1"/>
      <w:numFmt w:val="decimal"/>
      <w:lvlText w:val="%1.%2.%3"/>
      <w:lvlJc w:val="left"/>
      <w:pPr>
        <w:tabs>
          <w:tab w:val="num" w:pos="850"/>
        </w:tabs>
        <w:ind w:left="850" w:hanging="850"/>
      </w:pPr>
      <w:rPr>
        <w:rFonts w:ascii="Arial Bold" w:hAnsi="Arial Bold" w:cs="Arial" w:hint="default"/>
        <w:b/>
        <w:i w:val="0"/>
        <w:caps w:val="0"/>
        <w:strike w:val="0"/>
        <w:dstrike w:val="0"/>
        <w:vanish w:val="0"/>
        <w:color w:val="000000"/>
        <w:spacing w:val="10"/>
        <w:sz w:val="22"/>
        <w:u w:val="none"/>
        <w:effect w:val="none"/>
        <w:vertAlign w:val="baseline"/>
      </w:r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1" w15:restartNumberingAfterBreak="0">
    <w:nsid w:val="0AD12B3D"/>
    <w:multiLevelType w:val="multilevel"/>
    <w:tmpl w:val="691E06E2"/>
    <w:lvl w:ilvl="0">
      <w:start w:val="1"/>
      <w:numFmt w:val="bullet"/>
      <w:pStyle w:val="NTTBlueTableBoldBullet"/>
      <w:lvlText w:val="●"/>
      <w:lvlJc w:val="left"/>
      <w:pPr>
        <w:ind w:left="284" w:hanging="284"/>
      </w:pPr>
      <w:rPr>
        <w:rFonts w:ascii="Arial Bold" w:hAnsi="Arial Bold" w:hint="default"/>
        <w:b/>
        <w:i w:val="0"/>
        <w:color w:val="0072BC"/>
        <w:sz w:val="18"/>
      </w:rPr>
    </w:lvl>
    <w:lvl w:ilvl="1">
      <w:start w:val="1"/>
      <w:numFmt w:val="bullet"/>
      <w:lvlText w:val="●"/>
      <w:lvlJc w:val="left"/>
      <w:pPr>
        <w:ind w:left="284" w:hanging="284"/>
      </w:pPr>
      <w:rPr>
        <w:rFonts w:ascii="Arial" w:hAnsi="Arial" w:hint="default"/>
        <w:color w:val="000000"/>
      </w:rPr>
    </w:lvl>
    <w:lvl w:ilvl="2">
      <w:start w:val="1"/>
      <w:numFmt w:val="bullet"/>
      <w:pStyle w:val="NTTRedTableBoldBullet"/>
      <w:lvlText w:val="●"/>
      <w:lvlJc w:val="left"/>
      <w:pPr>
        <w:ind w:left="284" w:hanging="284"/>
      </w:pPr>
      <w:rPr>
        <w:rFonts w:ascii="Arial" w:hAnsi="Arial" w:hint="default"/>
        <w:color w:val="E42600"/>
      </w:rPr>
    </w:lvl>
    <w:lvl w:ilvl="3">
      <w:start w:val="1"/>
      <w:numFmt w:val="bullet"/>
      <w:pStyle w:val="NTTTableBoldBullet"/>
      <w:lvlText w:val="●"/>
      <w:lvlJc w:val="left"/>
      <w:pPr>
        <w:ind w:left="284" w:hanging="284"/>
      </w:pPr>
      <w:rPr>
        <w:rFonts w:ascii="Arial" w:hAnsi="Arial" w:hint="default"/>
        <w:color w:val="2E404D" w:themeColor="text1"/>
      </w:rPr>
    </w:lvl>
    <w:lvl w:ilvl="4">
      <w:start w:val="1"/>
      <w:numFmt w:val="bullet"/>
      <w:lvlText w:val="●"/>
      <w:lvlJc w:val="left"/>
      <w:pPr>
        <w:ind w:left="284" w:hanging="284"/>
      </w:pPr>
      <w:rPr>
        <w:rFonts w:ascii="Arial" w:hAnsi="Arial" w:hint="default"/>
        <w:color w:val="000000"/>
      </w:rPr>
    </w:lvl>
    <w:lvl w:ilvl="5">
      <w:start w:val="1"/>
      <w:numFmt w:val="bullet"/>
      <w:lvlText w:val="●"/>
      <w:lvlJc w:val="left"/>
      <w:pPr>
        <w:ind w:left="284" w:hanging="284"/>
      </w:pPr>
      <w:rPr>
        <w:rFonts w:ascii="Arial" w:hAnsi="Arial" w:hint="default"/>
        <w:color w:val="000000"/>
      </w:rPr>
    </w:lvl>
    <w:lvl w:ilvl="6">
      <w:start w:val="1"/>
      <w:numFmt w:val="bullet"/>
      <w:lvlText w:val="●"/>
      <w:lvlJc w:val="left"/>
      <w:pPr>
        <w:ind w:left="284" w:hanging="284"/>
      </w:pPr>
      <w:rPr>
        <w:rFonts w:ascii="Arial" w:hAnsi="Arial" w:hint="default"/>
        <w:color w:val="000000"/>
      </w:rPr>
    </w:lvl>
    <w:lvl w:ilvl="7">
      <w:start w:val="1"/>
      <w:numFmt w:val="bullet"/>
      <w:lvlText w:val="●"/>
      <w:lvlJc w:val="left"/>
      <w:pPr>
        <w:ind w:left="284" w:hanging="284"/>
      </w:pPr>
      <w:rPr>
        <w:rFonts w:ascii="Arial" w:hAnsi="Arial" w:hint="default"/>
        <w:color w:val="000000"/>
      </w:rPr>
    </w:lvl>
    <w:lvl w:ilvl="8">
      <w:start w:val="1"/>
      <w:numFmt w:val="bullet"/>
      <w:lvlText w:val="●"/>
      <w:lvlJc w:val="left"/>
      <w:pPr>
        <w:ind w:left="284" w:hanging="284"/>
      </w:pPr>
      <w:rPr>
        <w:rFonts w:ascii="Arial" w:hAnsi="Arial" w:hint="default"/>
        <w:color w:val="000000"/>
      </w:rPr>
    </w:lvl>
  </w:abstractNum>
  <w:abstractNum w:abstractNumId="2" w15:restartNumberingAfterBreak="0">
    <w:nsid w:val="0E631A21"/>
    <w:multiLevelType w:val="multilevel"/>
    <w:tmpl w:val="6A385020"/>
    <w:lvl w:ilvl="0">
      <w:start w:val="1"/>
      <w:numFmt w:val="upperLetter"/>
      <w:pStyle w:val="NTTAttachment"/>
      <w:lvlText w:val="Attachment %1"/>
      <w:lvlJc w:val="left"/>
      <w:pPr>
        <w:tabs>
          <w:tab w:val="num" w:pos="850"/>
        </w:tabs>
        <w:ind w:left="850" w:hanging="850"/>
      </w:pPr>
    </w:lvl>
    <w:lvl w:ilvl="1">
      <w:start w:val="1"/>
      <w:numFmt w:val="decimal"/>
      <w:lvlText w:val="%2"/>
      <w:lvlJc w:val="left"/>
      <w:pPr>
        <w:tabs>
          <w:tab w:val="num" w:pos="850"/>
        </w:tabs>
        <w:ind w:left="850" w:hanging="850"/>
      </w:pPr>
    </w:lvl>
    <w:lvl w:ilvl="2">
      <w:start w:val="1"/>
      <w:numFmt w:val="decimal"/>
      <w:lvlText w:val="%2.%3"/>
      <w:lvlJc w:val="left"/>
      <w:pPr>
        <w:tabs>
          <w:tab w:val="num" w:pos="850"/>
        </w:tabs>
        <w:ind w:left="850" w:hanging="850"/>
      </w:pPr>
    </w:lvl>
    <w:lvl w:ilvl="3">
      <w:start w:val="1"/>
      <w:numFmt w:val="decimal"/>
      <w:lvlText w:val="%2.%3.%4"/>
      <w:lvlJc w:val="left"/>
      <w:pPr>
        <w:tabs>
          <w:tab w:val="num" w:pos="850"/>
        </w:tabs>
        <w:ind w:left="850" w:hanging="850"/>
      </w:pPr>
    </w:lvl>
    <w:lvl w:ilvl="4">
      <w:start w:val="1"/>
      <w:numFmt w:val="lowerLetter"/>
      <w:lvlText w:val="(%5)"/>
      <w:lvlJc w:val="left"/>
      <w:pPr>
        <w:tabs>
          <w:tab w:val="num" w:pos="850"/>
        </w:tabs>
        <w:ind w:left="850" w:hanging="850"/>
      </w:pPr>
    </w:lvl>
    <w:lvl w:ilvl="5">
      <w:start w:val="1"/>
      <w:numFmt w:val="lowerRoman"/>
      <w:lvlText w:val="(%6)"/>
      <w:lvlJc w:val="left"/>
      <w:pPr>
        <w:tabs>
          <w:tab w:val="num" w:pos="850"/>
        </w:tabs>
        <w:ind w:left="850" w:hanging="850"/>
      </w:pPr>
    </w:lvl>
    <w:lvl w:ilvl="6">
      <w:start w:val="1"/>
      <w:numFmt w:val="upperLetter"/>
      <w:lvlText w:val="(%7)"/>
      <w:lvlJc w:val="left"/>
      <w:pPr>
        <w:tabs>
          <w:tab w:val="num" w:pos="850"/>
        </w:tabs>
        <w:ind w:left="850" w:hanging="850"/>
      </w:pPr>
    </w:lvl>
    <w:lvl w:ilvl="7">
      <w:start w:val="1"/>
      <w:numFmt w:val="none"/>
      <w:suff w:val="nothing"/>
      <w:lvlText w:val=""/>
      <w:lvlJc w:val="left"/>
      <w:pPr>
        <w:ind w:left="2880" w:hanging="360"/>
      </w:pPr>
    </w:lvl>
    <w:lvl w:ilvl="8">
      <w:start w:val="1"/>
      <w:numFmt w:val="none"/>
      <w:suff w:val="nothing"/>
      <w:lvlText w:val=""/>
      <w:lvlJc w:val="left"/>
      <w:pPr>
        <w:ind w:left="3240" w:hanging="360"/>
      </w:pPr>
    </w:lvl>
  </w:abstractNum>
  <w:abstractNum w:abstractNumId="3" w15:restartNumberingAfterBreak="0">
    <w:nsid w:val="0F4A33FA"/>
    <w:multiLevelType w:val="hybridMultilevel"/>
    <w:tmpl w:val="7E26013A"/>
    <w:lvl w:ilvl="0" w:tplc="4D0A0EF6">
      <w:start w:val="1"/>
      <w:numFmt w:val="upperLetter"/>
      <w:pStyle w:val="NTTLegal6"/>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1ED32C1"/>
    <w:multiLevelType w:val="multilevel"/>
    <w:tmpl w:val="39107888"/>
    <w:numStyleLink w:val="NTTBlueBulletList"/>
  </w:abstractNum>
  <w:abstractNum w:abstractNumId="5" w15:restartNumberingAfterBreak="0">
    <w:nsid w:val="277D2AE3"/>
    <w:multiLevelType w:val="multilevel"/>
    <w:tmpl w:val="39107888"/>
    <w:styleLink w:val="NTTBlueBulletList"/>
    <w:lvl w:ilvl="0">
      <w:start w:val="1"/>
      <w:numFmt w:val="bullet"/>
      <w:pStyle w:val="NTTBlueBullet1"/>
      <w:lvlText w:val="●"/>
      <w:lvlJc w:val="left"/>
      <w:pPr>
        <w:tabs>
          <w:tab w:val="num" w:pos="1134"/>
        </w:tabs>
        <w:ind w:left="1134" w:hanging="283"/>
      </w:pPr>
      <w:rPr>
        <w:rFonts w:ascii="Arial" w:hAnsi="Arial" w:hint="default"/>
        <w:b w:val="0"/>
        <w:i w:val="0"/>
        <w:color w:val="0072BC"/>
        <w:spacing w:val="8"/>
        <w:kern w:val="20"/>
        <w:sz w:val="20"/>
      </w:rPr>
    </w:lvl>
    <w:lvl w:ilvl="1">
      <w:start w:val="1"/>
      <w:numFmt w:val="bullet"/>
      <w:pStyle w:val="NTTBlueBullet2"/>
      <w:lvlText w:val="○"/>
      <w:lvlJc w:val="left"/>
      <w:pPr>
        <w:tabs>
          <w:tab w:val="num" w:pos="1418"/>
        </w:tabs>
        <w:ind w:left="1418" w:hanging="284"/>
      </w:pPr>
      <w:rPr>
        <w:rFonts w:ascii="Arial" w:hAnsi="Arial" w:cs="Times New Roman" w:hint="default"/>
        <w:b w:val="0"/>
        <w:i w:val="0"/>
        <w:color w:val="0072BC"/>
        <w:sz w:val="20"/>
      </w:rPr>
    </w:lvl>
    <w:lvl w:ilvl="2">
      <w:start w:val="1"/>
      <w:numFmt w:val="bullet"/>
      <w:pStyle w:val="NTTBlueBullet3"/>
      <w:lvlText w:val="-"/>
      <w:lvlJc w:val="left"/>
      <w:pPr>
        <w:tabs>
          <w:tab w:val="num" w:pos="1701"/>
        </w:tabs>
        <w:ind w:left="1701" w:hanging="283"/>
      </w:pPr>
      <w:rPr>
        <w:rFonts w:ascii="Arial Bold" w:hAnsi="Arial Bold" w:cs="Times New Roman" w:hint="default"/>
        <w:b/>
        <w:i w:val="0"/>
        <w:color w:val="0072BC"/>
        <w:sz w:val="20"/>
      </w:rPr>
    </w:lvl>
    <w:lvl w:ilvl="3">
      <w:start w:val="1"/>
      <w:numFmt w:val="decimal"/>
      <w:pStyle w:val="NTTBlueBullet4"/>
      <w:lvlText w:val="%4."/>
      <w:lvlJc w:val="left"/>
      <w:pPr>
        <w:tabs>
          <w:tab w:val="num" w:pos="1418"/>
        </w:tabs>
        <w:ind w:left="1418" w:hanging="567"/>
      </w:pPr>
      <w:rPr>
        <w:rFonts w:ascii="Arial" w:hAnsi="Arial" w:hint="default"/>
        <w:b w:val="0"/>
        <w:i w:val="0"/>
        <w:color w:val="0072BC"/>
        <w:spacing w:val="0"/>
        <w:sz w:val="20"/>
        <w:szCs w:val="20"/>
      </w:rPr>
    </w:lvl>
    <w:lvl w:ilvl="4">
      <w:start w:val="1"/>
      <w:numFmt w:val="decimal"/>
      <w:pStyle w:val="NTTBlueBullet5"/>
      <w:lvlText w:val="%4.%5."/>
      <w:lvlJc w:val="left"/>
      <w:pPr>
        <w:tabs>
          <w:tab w:val="num" w:pos="1418"/>
        </w:tabs>
        <w:ind w:left="1418" w:hanging="567"/>
      </w:pPr>
      <w:rPr>
        <w:rFonts w:ascii="Arial" w:hAnsi="Arial" w:hint="default"/>
        <w:b w:val="0"/>
        <w:i w:val="0"/>
        <w:color w:val="0072BC"/>
        <w:spacing w:val="0"/>
        <w:sz w:val="20"/>
        <w:szCs w:val="20"/>
      </w:rPr>
    </w:lvl>
    <w:lvl w:ilvl="5">
      <w:start w:val="1"/>
      <w:numFmt w:val="decimal"/>
      <w:pStyle w:val="NTTBlueBullet6"/>
      <w:lvlText w:val="%4.%5.%6."/>
      <w:lvlJc w:val="left"/>
      <w:pPr>
        <w:tabs>
          <w:tab w:val="num" w:pos="1418"/>
        </w:tabs>
        <w:ind w:left="1418" w:hanging="567"/>
      </w:pPr>
      <w:rPr>
        <w:rFonts w:ascii="Arial" w:hAnsi="Arial" w:hint="default"/>
        <w:b w:val="0"/>
        <w:i w:val="0"/>
        <w:color w:val="0072BC"/>
        <w:spacing w:val="0"/>
        <w:sz w:val="20"/>
        <w:szCs w:val="20"/>
      </w:rPr>
    </w:lvl>
    <w:lvl w:ilvl="6">
      <w:start w:val="1"/>
      <w:numFmt w:val="decimal"/>
      <w:pStyle w:val="NTTBlueBullet7"/>
      <w:lvlText w:val="%7."/>
      <w:lvlJc w:val="left"/>
      <w:pPr>
        <w:tabs>
          <w:tab w:val="num" w:pos="1418"/>
        </w:tabs>
        <w:ind w:left="1418" w:hanging="567"/>
      </w:pPr>
      <w:rPr>
        <w:rFonts w:ascii="Arial" w:hAnsi="Arial" w:hint="default"/>
        <w:b w:val="0"/>
        <w:i w:val="0"/>
        <w:color w:val="0072BC"/>
        <w:sz w:val="20"/>
        <w:szCs w:val="20"/>
      </w:rPr>
    </w:lvl>
    <w:lvl w:ilvl="7">
      <w:start w:val="1"/>
      <w:numFmt w:val="lowerLetter"/>
      <w:pStyle w:val="NTTBlueBullet8"/>
      <w:lvlText w:val="%8."/>
      <w:lvlJc w:val="left"/>
      <w:pPr>
        <w:tabs>
          <w:tab w:val="num" w:pos="1985"/>
        </w:tabs>
        <w:ind w:left="1985" w:hanging="567"/>
      </w:pPr>
      <w:rPr>
        <w:rFonts w:ascii="Arial" w:hAnsi="Arial" w:hint="default"/>
        <w:b w:val="0"/>
        <w:i w:val="0"/>
        <w:color w:val="0072BC"/>
        <w:sz w:val="20"/>
        <w:szCs w:val="20"/>
      </w:rPr>
    </w:lvl>
    <w:lvl w:ilvl="8">
      <w:start w:val="1"/>
      <w:numFmt w:val="lowerRoman"/>
      <w:pStyle w:val="NTTBlueBullet9"/>
      <w:lvlText w:val="%9."/>
      <w:lvlJc w:val="left"/>
      <w:pPr>
        <w:tabs>
          <w:tab w:val="num" w:pos="2552"/>
        </w:tabs>
        <w:ind w:left="2552" w:hanging="567"/>
      </w:pPr>
      <w:rPr>
        <w:rFonts w:ascii="Arial" w:hAnsi="Arial" w:hint="default"/>
        <w:b w:val="0"/>
        <w:i w:val="0"/>
        <w:color w:val="0072BC"/>
        <w:sz w:val="20"/>
        <w:szCs w:val="20"/>
      </w:rPr>
    </w:lvl>
  </w:abstractNum>
  <w:abstractNum w:abstractNumId="6" w15:restartNumberingAfterBreak="0">
    <w:nsid w:val="28864DF7"/>
    <w:multiLevelType w:val="multilevel"/>
    <w:tmpl w:val="771046AA"/>
    <w:numStyleLink w:val="NTTBlueTableBulletList"/>
  </w:abstractNum>
  <w:abstractNum w:abstractNumId="7" w15:restartNumberingAfterBreak="0">
    <w:nsid w:val="2B587E8C"/>
    <w:multiLevelType w:val="multilevel"/>
    <w:tmpl w:val="680CEBF8"/>
    <w:lvl w:ilvl="0">
      <w:start w:val="1"/>
      <w:numFmt w:val="decimal"/>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8" w15:restartNumberingAfterBreak="0">
    <w:nsid w:val="2C451A45"/>
    <w:multiLevelType w:val="hybridMultilevel"/>
    <w:tmpl w:val="EA0696DC"/>
    <w:lvl w:ilvl="0" w:tplc="EC98416C">
      <w:start w:val="1"/>
      <w:numFmt w:val="decimal"/>
      <w:pStyle w:val="ListParagraph"/>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322165AD"/>
    <w:multiLevelType w:val="multilevel"/>
    <w:tmpl w:val="5DF88DE2"/>
    <w:styleLink w:val="NTTAppendixList"/>
    <w:lvl w:ilvl="0">
      <w:start w:val="1"/>
      <w:numFmt w:val="upperLetter"/>
      <w:pStyle w:val="AppendixHeading1"/>
      <w:lvlText w:val="Appendix %1"/>
      <w:lvlJc w:val="left"/>
      <w:pPr>
        <w:ind w:left="360" w:hanging="360"/>
      </w:pPr>
      <w:rPr>
        <w:rFonts w:ascii="Georgia" w:hAnsi="Georgia" w:cs="Arial" w:hint="default"/>
        <w:color w:val="0072BC" w:themeColor="accent2"/>
        <w:kern w:val="20"/>
      </w:rPr>
    </w:lvl>
    <w:lvl w:ilvl="1">
      <w:start w:val="1"/>
      <w:numFmt w:val="decimal"/>
      <w:pStyle w:val="AppendixHeading2"/>
      <w:lvlText w:val="Appendix %1.%2"/>
      <w:lvlJc w:val="left"/>
      <w:pPr>
        <w:ind w:left="0" w:firstLine="0"/>
      </w:pPr>
      <w:rPr>
        <w:rFonts w:ascii="Arial" w:hAnsi="Arial" w:hint="default"/>
        <w:color w:val="2E404D" w:themeColor="text1"/>
      </w:rPr>
    </w:lvl>
    <w:lvl w:ilvl="2">
      <w:start w:val="1"/>
      <w:numFmt w:val="decimal"/>
      <w:pStyle w:val="AppendixHeading3"/>
      <w:lvlText w:val="Appendix %1.%2.%3"/>
      <w:lvlJc w:val="left"/>
      <w:pPr>
        <w:ind w:left="0" w:firstLine="0"/>
      </w:pPr>
      <w:rPr>
        <w:rFonts w:ascii="Arial" w:hAnsi="Arial"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23E26EB"/>
    <w:multiLevelType w:val="multilevel"/>
    <w:tmpl w:val="8C6CA74E"/>
    <w:styleLink w:val="NTTRedBulletList"/>
    <w:lvl w:ilvl="0">
      <w:start w:val="1"/>
      <w:numFmt w:val="bullet"/>
      <w:lvlText w:val="●"/>
      <w:lvlJc w:val="left"/>
      <w:pPr>
        <w:tabs>
          <w:tab w:val="num" w:pos="1134"/>
        </w:tabs>
        <w:ind w:left="1134" w:hanging="283"/>
      </w:pPr>
      <w:rPr>
        <w:rFonts w:ascii="Arial" w:hAnsi="Arial"/>
        <w:b w:val="0"/>
        <w:i w:val="0"/>
        <w:color w:val="E42600"/>
        <w:spacing w:val="0"/>
        <w:kern w:val="20"/>
        <w:sz w:val="20"/>
        <w:szCs w:val="20"/>
      </w:rPr>
    </w:lvl>
    <w:lvl w:ilvl="1">
      <w:start w:val="1"/>
      <w:numFmt w:val="bullet"/>
      <w:lvlText w:val="○"/>
      <w:lvlJc w:val="left"/>
      <w:pPr>
        <w:tabs>
          <w:tab w:val="num" w:pos="1418"/>
        </w:tabs>
        <w:ind w:left="1418" w:hanging="284"/>
      </w:pPr>
      <w:rPr>
        <w:rFonts w:ascii="Arial" w:hAnsi="Arial" w:cs="Times New Roman" w:hint="default"/>
        <w:b w:val="0"/>
        <w:i w:val="0"/>
        <w:color w:val="FF0000"/>
        <w:spacing w:val="-20"/>
        <w:sz w:val="20"/>
        <w:szCs w:val="20"/>
      </w:rPr>
    </w:lvl>
    <w:lvl w:ilvl="2">
      <w:start w:val="1"/>
      <w:numFmt w:val="bullet"/>
      <w:lvlText w:val="-"/>
      <w:lvlJc w:val="left"/>
      <w:pPr>
        <w:tabs>
          <w:tab w:val="num" w:pos="1701"/>
        </w:tabs>
        <w:ind w:left="1701" w:hanging="283"/>
      </w:pPr>
      <w:rPr>
        <w:rFonts w:ascii="Arial" w:hAnsi="Arial" w:hint="default"/>
        <w:b w:val="0"/>
        <w:i w:val="0"/>
        <w:color w:val="FF0000"/>
        <w:spacing w:val="-20"/>
        <w:sz w:val="20"/>
        <w:szCs w:val="20"/>
      </w:rPr>
    </w:lvl>
    <w:lvl w:ilvl="3">
      <w:start w:val="1"/>
      <w:numFmt w:val="decimal"/>
      <w:lvlText w:val="%4."/>
      <w:lvlJc w:val="left"/>
      <w:pPr>
        <w:tabs>
          <w:tab w:val="num" w:pos="1418"/>
        </w:tabs>
        <w:ind w:left="1418" w:hanging="567"/>
      </w:pPr>
      <w:rPr>
        <w:rFonts w:ascii="Arial" w:hAnsi="Arial" w:hint="default"/>
        <w:b w:val="0"/>
        <w:i w:val="0"/>
        <w:color w:val="FF0000"/>
        <w:spacing w:val="0"/>
        <w:sz w:val="20"/>
        <w:szCs w:val="20"/>
      </w:rPr>
    </w:lvl>
    <w:lvl w:ilvl="4">
      <w:start w:val="1"/>
      <w:numFmt w:val="decimal"/>
      <w:lvlText w:val="%4.%5."/>
      <w:lvlJc w:val="left"/>
      <w:pPr>
        <w:tabs>
          <w:tab w:val="num" w:pos="1418"/>
        </w:tabs>
        <w:ind w:left="1418" w:hanging="567"/>
      </w:pPr>
      <w:rPr>
        <w:rFonts w:ascii="Arial" w:hAnsi="Arial" w:hint="default"/>
        <w:b w:val="0"/>
        <w:i w:val="0"/>
        <w:color w:val="FF0000"/>
        <w:spacing w:val="0"/>
        <w:sz w:val="20"/>
        <w:szCs w:val="20"/>
      </w:rPr>
    </w:lvl>
    <w:lvl w:ilvl="5">
      <w:start w:val="1"/>
      <w:numFmt w:val="decimal"/>
      <w:lvlText w:val="%4.%5.%6."/>
      <w:lvlJc w:val="left"/>
      <w:pPr>
        <w:tabs>
          <w:tab w:val="num" w:pos="1418"/>
        </w:tabs>
        <w:ind w:left="1418" w:hanging="567"/>
      </w:pPr>
      <w:rPr>
        <w:rFonts w:ascii="Arial" w:hAnsi="Arial" w:hint="default"/>
        <w:b w:val="0"/>
        <w:i w:val="0"/>
        <w:color w:val="FF0000"/>
        <w:spacing w:val="0"/>
        <w:sz w:val="20"/>
        <w:szCs w:val="20"/>
      </w:rPr>
    </w:lvl>
    <w:lvl w:ilvl="6">
      <w:start w:val="1"/>
      <w:numFmt w:val="decimal"/>
      <w:lvlText w:val="%7."/>
      <w:lvlJc w:val="left"/>
      <w:pPr>
        <w:tabs>
          <w:tab w:val="num" w:pos="1418"/>
        </w:tabs>
        <w:ind w:left="1418" w:hanging="567"/>
      </w:pPr>
      <w:rPr>
        <w:rFonts w:ascii="Arial" w:hAnsi="Arial" w:hint="default"/>
        <w:b w:val="0"/>
        <w:i w:val="0"/>
        <w:color w:val="FF0000"/>
        <w:spacing w:val="-20"/>
        <w:sz w:val="20"/>
        <w:szCs w:val="20"/>
      </w:rPr>
    </w:lvl>
    <w:lvl w:ilvl="7">
      <w:start w:val="1"/>
      <w:numFmt w:val="lowerLetter"/>
      <w:lvlText w:val="%8."/>
      <w:lvlJc w:val="left"/>
      <w:pPr>
        <w:tabs>
          <w:tab w:val="num" w:pos="1985"/>
        </w:tabs>
        <w:ind w:left="1985" w:hanging="567"/>
      </w:pPr>
      <w:rPr>
        <w:rFonts w:ascii="Arial" w:hAnsi="Arial" w:hint="default"/>
        <w:b w:val="0"/>
        <w:i w:val="0"/>
        <w:color w:val="FF0000"/>
        <w:spacing w:val="-20"/>
        <w:sz w:val="20"/>
        <w:szCs w:val="20"/>
      </w:rPr>
    </w:lvl>
    <w:lvl w:ilvl="8">
      <w:start w:val="1"/>
      <w:numFmt w:val="lowerRoman"/>
      <w:lvlText w:val="%9."/>
      <w:lvlJc w:val="left"/>
      <w:pPr>
        <w:tabs>
          <w:tab w:val="num" w:pos="2552"/>
        </w:tabs>
        <w:ind w:left="2552" w:hanging="567"/>
      </w:pPr>
      <w:rPr>
        <w:rFonts w:ascii="Arial" w:hAnsi="Arial" w:hint="default"/>
        <w:b w:val="0"/>
        <w:i w:val="0"/>
        <w:color w:val="FF0000"/>
        <w:spacing w:val="-20"/>
        <w:sz w:val="20"/>
        <w:szCs w:val="20"/>
      </w:rPr>
    </w:lvl>
  </w:abstractNum>
  <w:abstractNum w:abstractNumId="11" w15:restartNumberingAfterBreak="0">
    <w:nsid w:val="32A47F3E"/>
    <w:multiLevelType w:val="multilevel"/>
    <w:tmpl w:val="169263BC"/>
    <w:styleLink w:val="NTTBulletList"/>
    <w:lvl w:ilvl="0">
      <w:start w:val="1"/>
      <w:numFmt w:val="bullet"/>
      <w:pStyle w:val="NTTBullet1"/>
      <w:lvlText w:val="●"/>
      <w:lvlJc w:val="left"/>
      <w:pPr>
        <w:tabs>
          <w:tab w:val="num" w:pos="1134"/>
        </w:tabs>
        <w:ind w:left="1134" w:hanging="283"/>
      </w:pPr>
      <w:rPr>
        <w:rFonts w:ascii="Arial" w:hAnsi="Arial" w:hint="default"/>
        <w:b w:val="0"/>
        <w:i w:val="0"/>
        <w:color w:val="000000"/>
        <w:spacing w:val="8"/>
        <w:kern w:val="20"/>
        <w:sz w:val="20"/>
      </w:rPr>
    </w:lvl>
    <w:lvl w:ilvl="1">
      <w:start w:val="1"/>
      <w:numFmt w:val="bullet"/>
      <w:pStyle w:val="NTTBullet2"/>
      <w:lvlText w:val="○"/>
      <w:lvlJc w:val="left"/>
      <w:pPr>
        <w:tabs>
          <w:tab w:val="num" w:pos="1418"/>
        </w:tabs>
        <w:ind w:left="1418" w:hanging="284"/>
      </w:pPr>
      <w:rPr>
        <w:rFonts w:ascii="Times New Roman" w:hAnsi="Times New Roman" w:cs="Times New Roman" w:hint="default"/>
        <w:b w:val="0"/>
        <w:i w:val="0"/>
        <w:color w:val="000000"/>
        <w:sz w:val="20"/>
      </w:rPr>
    </w:lvl>
    <w:lvl w:ilvl="2">
      <w:start w:val="1"/>
      <w:numFmt w:val="bullet"/>
      <w:pStyle w:val="NTTBullet3"/>
      <w:lvlText w:val="-"/>
      <w:lvlJc w:val="left"/>
      <w:pPr>
        <w:tabs>
          <w:tab w:val="num" w:pos="1701"/>
        </w:tabs>
        <w:ind w:left="1701" w:hanging="283"/>
      </w:pPr>
      <w:rPr>
        <w:rFonts w:ascii="Times New Roman" w:hAnsi="Times New Roman" w:cs="Times New Roman" w:hint="default"/>
        <w:b/>
        <w:i w:val="0"/>
        <w:color w:val="000000"/>
        <w:sz w:val="20"/>
      </w:rPr>
    </w:lvl>
    <w:lvl w:ilvl="3">
      <w:start w:val="1"/>
      <w:numFmt w:val="decimal"/>
      <w:pStyle w:val="NTTBullet4"/>
      <w:lvlText w:val="%4."/>
      <w:lvlJc w:val="left"/>
      <w:pPr>
        <w:tabs>
          <w:tab w:val="num" w:pos="1418"/>
        </w:tabs>
        <w:ind w:left="1418" w:hanging="567"/>
      </w:pPr>
      <w:rPr>
        <w:rFonts w:ascii="Arial" w:hAnsi="Arial" w:hint="default"/>
        <w:b w:val="0"/>
        <w:i w:val="0"/>
        <w:color w:val="000000"/>
        <w:spacing w:val="0"/>
        <w:sz w:val="20"/>
        <w:szCs w:val="20"/>
      </w:rPr>
    </w:lvl>
    <w:lvl w:ilvl="4">
      <w:start w:val="1"/>
      <w:numFmt w:val="decimal"/>
      <w:pStyle w:val="NTTBullet5"/>
      <w:lvlText w:val="%4.%5."/>
      <w:lvlJc w:val="left"/>
      <w:pPr>
        <w:tabs>
          <w:tab w:val="num" w:pos="1418"/>
        </w:tabs>
        <w:ind w:left="1418" w:hanging="567"/>
      </w:pPr>
      <w:rPr>
        <w:rFonts w:ascii="Arial" w:hAnsi="Arial" w:hint="default"/>
        <w:b w:val="0"/>
        <w:i w:val="0"/>
        <w:color w:val="000000"/>
        <w:spacing w:val="0"/>
        <w:sz w:val="20"/>
        <w:szCs w:val="20"/>
      </w:rPr>
    </w:lvl>
    <w:lvl w:ilvl="5">
      <w:start w:val="1"/>
      <w:numFmt w:val="decimal"/>
      <w:pStyle w:val="NTTBullet6"/>
      <w:lvlText w:val="%4.%5.%6."/>
      <w:lvlJc w:val="left"/>
      <w:pPr>
        <w:tabs>
          <w:tab w:val="num" w:pos="1418"/>
        </w:tabs>
        <w:ind w:left="1418" w:hanging="567"/>
      </w:pPr>
      <w:rPr>
        <w:rFonts w:ascii="Arial" w:hAnsi="Arial" w:hint="default"/>
        <w:b w:val="0"/>
        <w:i w:val="0"/>
        <w:color w:val="000000"/>
        <w:spacing w:val="0"/>
        <w:sz w:val="20"/>
        <w:szCs w:val="20"/>
      </w:rPr>
    </w:lvl>
    <w:lvl w:ilvl="6">
      <w:start w:val="1"/>
      <w:numFmt w:val="decimal"/>
      <w:pStyle w:val="NTTBullet7"/>
      <w:lvlText w:val="%7."/>
      <w:lvlJc w:val="left"/>
      <w:pPr>
        <w:tabs>
          <w:tab w:val="num" w:pos="1418"/>
        </w:tabs>
        <w:ind w:left="1418" w:hanging="567"/>
      </w:pPr>
      <w:rPr>
        <w:rFonts w:ascii="Arial" w:hAnsi="Arial" w:hint="default"/>
        <w:b w:val="0"/>
        <w:i w:val="0"/>
        <w:color w:val="000000"/>
        <w:sz w:val="20"/>
        <w:szCs w:val="20"/>
      </w:rPr>
    </w:lvl>
    <w:lvl w:ilvl="7">
      <w:start w:val="1"/>
      <w:numFmt w:val="lowerLetter"/>
      <w:pStyle w:val="NTTBullet8"/>
      <w:lvlText w:val="%8."/>
      <w:lvlJc w:val="left"/>
      <w:pPr>
        <w:tabs>
          <w:tab w:val="num" w:pos="1985"/>
        </w:tabs>
        <w:ind w:left="1985" w:hanging="567"/>
      </w:pPr>
      <w:rPr>
        <w:rFonts w:ascii="Arial" w:hAnsi="Arial" w:hint="default"/>
        <w:b w:val="0"/>
        <w:i w:val="0"/>
        <w:color w:val="000000"/>
        <w:sz w:val="20"/>
        <w:szCs w:val="20"/>
      </w:rPr>
    </w:lvl>
    <w:lvl w:ilvl="8">
      <w:start w:val="1"/>
      <w:numFmt w:val="lowerRoman"/>
      <w:pStyle w:val="NTTBullet9"/>
      <w:lvlText w:val="%9."/>
      <w:lvlJc w:val="left"/>
      <w:pPr>
        <w:tabs>
          <w:tab w:val="num" w:pos="2552"/>
        </w:tabs>
        <w:ind w:left="2552" w:hanging="567"/>
      </w:pPr>
      <w:rPr>
        <w:rFonts w:ascii="Arial" w:hAnsi="Arial" w:hint="default"/>
        <w:b w:val="0"/>
        <w:i w:val="0"/>
        <w:color w:val="000000"/>
        <w:sz w:val="20"/>
        <w:szCs w:val="20"/>
      </w:rPr>
    </w:lvl>
  </w:abstractNum>
  <w:abstractNum w:abstractNumId="12" w15:restartNumberingAfterBreak="0">
    <w:nsid w:val="474B42B1"/>
    <w:multiLevelType w:val="multilevel"/>
    <w:tmpl w:val="2E501B8C"/>
    <w:styleLink w:val="NTTRedTableBulletList"/>
    <w:lvl w:ilvl="0">
      <w:start w:val="1"/>
      <w:numFmt w:val="bullet"/>
      <w:lvlText w:val="●"/>
      <w:lvlJc w:val="left"/>
      <w:pPr>
        <w:tabs>
          <w:tab w:val="num" w:pos="284"/>
        </w:tabs>
        <w:ind w:left="284" w:hanging="284"/>
      </w:pPr>
      <w:rPr>
        <w:rFonts w:ascii="Arial" w:hAnsi="Arial"/>
        <w:b w:val="0"/>
        <w:i w:val="0"/>
        <w:color w:val="E42600"/>
        <w:spacing w:val="0"/>
        <w:kern w:val="18"/>
        <w:sz w:val="18"/>
      </w:rPr>
    </w:lvl>
    <w:lvl w:ilvl="1">
      <w:start w:val="1"/>
      <w:numFmt w:val="bullet"/>
      <w:lvlText w:val="○"/>
      <w:lvlJc w:val="left"/>
      <w:pPr>
        <w:tabs>
          <w:tab w:val="num" w:pos="567"/>
        </w:tabs>
        <w:ind w:left="567" w:hanging="283"/>
      </w:pPr>
      <w:rPr>
        <w:rFonts w:ascii="Arial" w:hAnsi="Arial" w:cs="Times New Roman" w:hint="default"/>
        <w:b w:val="0"/>
        <w:i w:val="0"/>
        <w:color w:val="FF0000"/>
        <w:spacing w:val="-20"/>
        <w:sz w:val="18"/>
      </w:rPr>
    </w:lvl>
    <w:lvl w:ilvl="2">
      <w:start w:val="1"/>
      <w:numFmt w:val="bullet"/>
      <w:lvlText w:val="-"/>
      <w:lvlJc w:val="left"/>
      <w:pPr>
        <w:tabs>
          <w:tab w:val="num" w:pos="851"/>
        </w:tabs>
        <w:ind w:left="851" w:hanging="284"/>
      </w:pPr>
      <w:rPr>
        <w:rFonts w:ascii="Arial" w:hAnsi="Arial" w:cs="Times New Roman" w:hint="default"/>
        <w:b w:val="0"/>
        <w:i w:val="0"/>
        <w:color w:val="FF0000"/>
        <w:spacing w:val="-20"/>
        <w:sz w:val="18"/>
      </w:rPr>
    </w:lvl>
    <w:lvl w:ilvl="3">
      <w:start w:val="1"/>
      <w:numFmt w:val="decimal"/>
      <w:lvlText w:val="%4."/>
      <w:lvlJc w:val="left"/>
      <w:pPr>
        <w:tabs>
          <w:tab w:val="num" w:pos="567"/>
        </w:tabs>
        <w:ind w:left="567" w:hanging="567"/>
      </w:pPr>
      <w:rPr>
        <w:rFonts w:ascii="Arial" w:hAnsi="Arial" w:hint="default"/>
        <w:b w:val="0"/>
        <w:i w:val="0"/>
        <w:color w:val="FF0000"/>
        <w:spacing w:val="0"/>
        <w:sz w:val="18"/>
        <w:szCs w:val="18"/>
      </w:rPr>
    </w:lvl>
    <w:lvl w:ilvl="4">
      <w:start w:val="1"/>
      <w:numFmt w:val="decimal"/>
      <w:lvlText w:val="%4.%5."/>
      <w:lvlJc w:val="left"/>
      <w:pPr>
        <w:tabs>
          <w:tab w:val="num" w:pos="567"/>
        </w:tabs>
        <w:ind w:left="567" w:hanging="567"/>
      </w:pPr>
      <w:rPr>
        <w:rFonts w:ascii="Arial" w:hAnsi="Arial" w:hint="default"/>
        <w:b w:val="0"/>
        <w:i w:val="0"/>
        <w:color w:val="FF0000"/>
        <w:sz w:val="18"/>
        <w:szCs w:val="18"/>
      </w:rPr>
    </w:lvl>
    <w:lvl w:ilvl="5">
      <w:start w:val="1"/>
      <w:numFmt w:val="decimal"/>
      <w:lvlText w:val="%4.%5.%6."/>
      <w:lvlJc w:val="left"/>
      <w:pPr>
        <w:tabs>
          <w:tab w:val="num" w:pos="567"/>
        </w:tabs>
        <w:ind w:left="567" w:hanging="567"/>
      </w:pPr>
      <w:rPr>
        <w:rFonts w:ascii="Arial" w:hAnsi="Arial" w:hint="default"/>
        <w:b w:val="0"/>
        <w:i w:val="0"/>
        <w:color w:val="FF0000"/>
        <w:sz w:val="18"/>
        <w:szCs w:val="18"/>
      </w:rPr>
    </w:lvl>
    <w:lvl w:ilvl="6">
      <w:start w:val="1"/>
      <w:numFmt w:val="decimal"/>
      <w:lvlText w:val="%7."/>
      <w:lvlJc w:val="left"/>
      <w:pPr>
        <w:tabs>
          <w:tab w:val="num" w:pos="567"/>
        </w:tabs>
        <w:ind w:left="567" w:hanging="567"/>
      </w:pPr>
      <w:rPr>
        <w:rFonts w:ascii="Arial" w:hAnsi="Arial" w:hint="default"/>
        <w:b w:val="0"/>
        <w:i w:val="0"/>
        <w:color w:val="FF0000"/>
        <w:sz w:val="18"/>
        <w:szCs w:val="18"/>
      </w:rPr>
    </w:lvl>
    <w:lvl w:ilvl="7">
      <w:start w:val="1"/>
      <w:numFmt w:val="lowerLetter"/>
      <w:lvlText w:val="%8."/>
      <w:lvlJc w:val="left"/>
      <w:pPr>
        <w:tabs>
          <w:tab w:val="num" w:pos="1134"/>
        </w:tabs>
        <w:ind w:left="1134" w:hanging="567"/>
      </w:pPr>
      <w:rPr>
        <w:rFonts w:ascii="Arial" w:hAnsi="Arial" w:hint="default"/>
        <w:b w:val="0"/>
        <w:i w:val="0"/>
        <w:color w:val="FF0000"/>
        <w:sz w:val="18"/>
        <w:szCs w:val="18"/>
      </w:rPr>
    </w:lvl>
    <w:lvl w:ilvl="8">
      <w:start w:val="1"/>
      <w:numFmt w:val="lowerRoman"/>
      <w:lvlText w:val="%9."/>
      <w:lvlJc w:val="left"/>
      <w:pPr>
        <w:tabs>
          <w:tab w:val="num" w:pos="1701"/>
        </w:tabs>
        <w:ind w:left="1701" w:hanging="567"/>
      </w:pPr>
      <w:rPr>
        <w:rFonts w:ascii="Arial" w:hAnsi="Arial" w:hint="default"/>
        <w:b w:val="0"/>
        <w:i w:val="0"/>
        <w:color w:val="FF0000"/>
        <w:sz w:val="18"/>
        <w:szCs w:val="18"/>
      </w:rPr>
    </w:lvl>
  </w:abstractNum>
  <w:abstractNum w:abstractNumId="13" w15:restartNumberingAfterBreak="0">
    <w:nsid w:val="4A2B0949"/>
    <w:multiLevelType w:val="multilevel"/>
    <w:tmpl w:val="7D4A1AC0"/>
    <w:styleLink w:val="NTTBoldBulletList"/>
    <w:lvl w:ilvl="0">
      <w:start w:val="1"/>
      <w:numFmt w:val="bullet"/>
      <w:lvlText w:val="●"/>
      <w:lvlJc w:val="left"/>
      <w:pPr>
        <w:tabs>
          <w:tab w:val="num" w:pos="851"/>
        </w:tabs>
        <w:ind w:left="1134" w:hanging="283"/>
      </w:pPr>
      <w:rPr>
        <w:rFonts w:ascii="Arial" w:hAnsi="Arial" w:hint="default"/>
        <w:b w:val="0"/>
        <w:i w:val="0"/>
        <w:color w:val="000000"/>
        <w:spacing w:val="8"/>
        <w:kern w:val="20"/>
        <w:sz w:val="20"/>
      </w:rPr>
    </w:lvl>
    <w:lvl w:ilvl="1">
      <w:start w:val="1"/>
      <w:numFmt w:val="bullet"/>
      <w:pStyle w:val="NTTBlueBoldBullet"/>
      <w:lvlText w:val="●"/>
      <w:lvlJc w:val="left"/>
      <w:pPr>
        <w:tabs>
          <w:tab w:val="num" w:pos="851"/>
        </w:tabs>
        <w:ind w:left="1134" w:hanging="283"/>
      </w:pPr>
      <w:rPr>
        <w:rFonts w:ascii="Arial" w:hAnsi="Arial" w:hint="default"/>
        <w:color w:val="0072BC"/>
        <w:sz w:val="18"/>
      </w:rPr>
    </w:lvl>
    <w:lvl w:ilvl="2">
      <w:start w:val="1"/>
      <w:numFmt w:val="bullet"/>
      <w:pStyle w:val="NTTBoldBullet"/>
      <w:lvlText w:val="●"/>
      <w:lvlJc w:val="left"/>
      <w:pPr>
        <w:tabs>
          <w:tab w:val="num" w:pos="851"/>
        </w:tabs>
        <w:ind w:left="1134" w:hanging="283"/>
      </w:pPr>
      <w:rPr>
        <w:rFonts w:ascii="Arial" w:hAnsi="Arial" w:hint="default"/>
        <w:color w:val="000000"/>
        <w:sz w:val="20"/>
      </w:rPr>
    </w:lvl>
    <w:lvl w:ilvl="3">
      <w:start w:val="1"/>
      <w:numFmt w:val="bullet"/>
      <w:pStyle w:val="NTTRedBoldBullet"/>
      <w:lvlText w:val="●"/>
      <w:lvlJc w:val="left"/>
      <w:pPr>
        <w:ind w:left="1134" w:hanging="283"/>
      </w:pPr>
      <w:rPr>
        <w:rFonts w:ascii="Arial" w:hAnsi="Arial" w:hint="default"/>
        <w:color w:val="FF0000"/>
        <w:sz w:val="18"/>
      </w:rPr>
    </w:lvl>
    <w:lvl w:ilvl="4">
      <w:start w:val="1"/>
      <w:numFmt w:val="bullet"/>
      <w:lvlText w:val="●"/>
      <w:lvlJc w:val="left"/>
      <w:pPr>
        <w:ind w:left="284" w:hanging="284"/>
      </w:pPr>
      <w:rPr>
        <w:rFonts w:ascii="Arial" w:hAnsi="Arial" w:hint="default"/>
        <w:color w:val="000000"/>
        <w:sz w:val="20"/>
      </w:rPr>
    </w:lvl>
    <w:lvl w:ilvl="5">
      <w:start w:val="1"/>
      <w:numFmt w:val="bullet"/>
      <w:pStyle w:val="NTTFlushBlueBoldBullet"/>
      <w:lvlText w:val="●"/>
      <w:lvlJc w:val="left"/>
      <w:pPr>
        <w:ind w:left="284" w:hanging="284"/>
      </w:pPr>
      <w:rPr>
        <w:rFonts w:ascii="Arial" w:hAnsi="Arial" w:hint="default"/>
        <w:color w:val="0072BC"/>
        <w:sz w:val="18"/>
      </w:rPr>
    </w:lvl>
    <w:lvl w:ilvl="6">
      <w:start w:val="1"/>
      <w:numFmt w:val="bullet"/>
      <w:lvlRestart w:val="0"/>
      <w:pStyle w:val="NTTFlushBoldBullet"/>
      <w:lvlText w:val="●"/>
      <w:lvlJc w:val="left"/>
      <w:pPr>
        <w:ind w:left="284" w:hanging="284"/>
      </w:pPr>
      <w:rPr>
        <w:rFonts w:ascii="Arial" w:hAnsi="Arial" w:hint="default"/>
        <w:color w:val="000000"/>
        <w:sz w:val="20"/>
      </w:rPr>
    </w:lvl>
    <w:lvl w:ilvl="7">
      <w:start w:val="1"/>
      <w:numFmt w:val="bullet"/>
      <w:lvlText w:val="●"/>
      <w:lvlJc w:val="left"/>
      <w:pPr>
        <w:ind w:left="284" w:hanging="284"/>
      </w:pPr>
      <w:rPr>
        <w:rFonts w:ascii="Arial" w:hAnsi="Arial" w:hint="default"/>
        <w:color w:val="auto"/>
        <w:sz w:val="20"/>
      </w:rPr>
    </w:lvl>
    <w:lvl w:ilvl="8">
      <w:start w:val="1"/>
      <w:numFmt w:val="bullet"/>
      <w:lvlText w:val="●"/>
      <w:lvlJc w:val="left"/>
      <w:pPr>
        <w:ind w:left="284" w:hanging="284"/>
      </w:pPr>
      <w:rPr>
        <w:rFonts w:ascii="Arial" w:hAnsi="Arial" w:hint="default"/>
        <w:color w:val="auto"/>
        <w:sz w:val="18"/>
      </w:rPr>
    </w:lvl>
  </w:abstractNum>
  <w:abstractNum w:abstractNumId="14" w15:restartNumberingAfterBreak="0">
    <w:nsid w:val="4F194436"/>
    <w:multiLevelType w:val="multilevel"/>
    <w:tmpl w:val="C832ACC0"/>
    <w:lvl w:ilvl="0">
      <w:start w:val="1"/>
      <w:numFmt w:val="decimal"/>
      <w:pStyle w:val="Legalnumbering1"/>
      <w:lvlText w:val="%1."/>
      <w:lvlJc w:val="left"/>
      <w:pPr>
        <w:ind w:left="851" w:hanging="851"/>
      </w:pPr>
      <w:rPr>
        <w:rFonts w:hint="default"/>
      </w:rPr>
    </w:lvl>
    <w:lvl w:ilvl="1">
      <w:start w:val="1"/>
      <w:numFmt w:val="decimal"/>
      <w:pStyle w:val="Legalnumbering2"/>
      <w:lvlText w:val="%1.%2."/>
      <w:lvlJc w:val="left"/>
      <w:pPr>
        <w:ind w:left="851" w:hanging="851"/>
      </w:pPr>
      <w:rPr>
        <w:rFonts w:hint="default"/>
      </w:rPr>
    </w:lvl>
    <w:lvl w:ilvl="2">
      <w:start w:val="1"/>
      <w:numFmt w:val="decimal"/>
      <w:pStyle w:val="Legalnumbering3"/>
      <w:lvlText w:val="%1.%2.%3."/>
      <w:lvlJc w:val="left"/>
      <w:pPr>
        <w:ind w:left="851" w:hanging="851"/>
      </w:pPr>
      <w:rPr>
        <w:rFonts w:hint="default"/>
      </w:rPr>
    </w:lvl>
    <w:lvl w:ilvl="3">
      <w:start w:val="1"/>
      <w:numFmt w:val="lowerLetter"/>
      <w:lvlText w:val="%4."/>
      <w:lvlJc w:val="left"/>
      <w:pPr>
        <w:ind w:left="851" w:hanging="851"/>
      </w:pPr>
      <w:rPr>
        <w:rFonts w:hint="default"/>
      </w:rPr>
    </w:lvl>
    <w:lvl w:ilvl="4">
      <w:start w:val="1"/>
      <w:numFmt w:val="lowerRoman"/>
      <w:lvlText w:val="%5."/>
      <w:lvlJc w:val="left"/>
      <w:pPr>
        <w:ind w:left="851" w:hanging="851"/>
      </w:pPr>
      <w:rPr>
        <w:rFonts w:hint="default"/>
      </w:rPr>
    </w:lvl>
    <w:lvl w:ilvl="5">
      <w:start w:val="1"/>
      <w:numFmt w:val="upperLetter"/>
      <w:lvlText w:val="%6."/>
      <w:lvlJc w:val="left"/>
      <w:pPr>
        <w:ind w:left="851" w:hanging="851"/>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B192594"/>
    <w:multiLevelType w:val="multilevel"/>
    <w:tmpl w:val="6456C98A"/>
    <w:styleLink w:val="NTTFlushBlueBulletList"/>
    <w:lvl w:ilvl="0">
      <w:start w:val="1"/>
      <w:numFmt w:val="bullet"/>
      <w:pStyle w:val="NTTFlushBlueBullet1"/>
      <w:lvlText w:val="●"/>
      <w:lvlJc w:val="left"/>
      <w:pPr>
        <w:ind w:left="284" w:hanging="284"/>
      </w:pPr>
      <w:rPr>
        <w:rFonts w:ascii="Arial" w:hAnsi="Arial" w:hint="default"/>
        <w:b w:val="0"/>
        <w:i w:val="0"/>
        <w:color w:val="0072BC"/>
        <w:kern w:val="20"/>
        <w:sz w:val="20"/>
      </w:rPr>
    </w:lvl>
    <w:lvl w:ilvl="1">
      <w:start w:val="1"/>
      <w:numFmt w:val="bullet"/>
      <w:pStyle w:val="NTTFlushBlueBullet2"/>
      <w:lvlText w:val="○"/>
      <w:lvlJc w:val="left"/>
      <w:pPr>
        <w:ind w:left="567" w:hanging="283"/>
      </w:pPr>
      <w:rPr>
        <w:rFonts w:ascii="Times New Roman" w:hAnsi="Times New Roman" w:cs="Times New Roman" w:hint="default"/>
        <w:color w:val="0072BC"/>
      </w:rPr>
    </w:lvl>
    <w:lvl w:ilvl="2">
      <w:start w:val="1"/>
      <w:numFmt w:val="bullet"/>
      <w:pStyle w:val="NTTFlushBlueBullet3"/>
      <w:lvlText w:val="-"/>
      <w:lvlJc w:val="left"/>
      <w:pPr>
        <w:ind w:left="851" w:hanging="284"/>
      </w:pPr>
      <w:rPr>
        <w:rFonts w:ascii="Times New Roman" w:hAnsi="Times New Roman" w:cs="Times New Roman" w:hint="default"/>
        <w:color w:val="0072BC"/>
      </w:rPr>
    </w:lvl>
    <w:lvl w:ilvl="3">
      <w:start w:val="1"/>
      <w:numFmt w:val="decimal"/>
      <w:pStyle w:val="NTTFlushBlueBullet4"/>
      <w:isLgl/>
      <w:lvlText w:val="%4."/>
      <w:lvlJc w:val="left"/>
      <w:pPr>
        <w:ind w:left="567" w:hanging="567"/>
      </w:pPr>
      <w:rPr>
        <w:rFonts w:hint="default"/>
        <w:color w:val="0072BC"/>
      </w:rPr>
    </w:lvl>
    <w:lvl w:ilvl="4">
      <w:start w:val="1"/>
      <w:numFmt w:val="decimal"/>
      <w:pStyle w:val="NTTFlushBlueBullet5"/>
      <w:isLgl/>
      <w:lvlText w:val="%4.%5"/>
      <w:lvlJc w:val="left"/>
      <w:pPr>
        <w:ind w:left="567" w:hanging="567"/>
      </w:pPr>
      <w:rPr>
        <w:rFonts w:hint="default"/>
        <w:color w:val="0072BC"/>
      </w:rPr>
    </w:lvl>
    <w:lvl w:ilvl="5">
      <w:start w:val="1"/>
      <w:numFmt w:val="decimal"/>
      <w:pStyle w:val="NTTFlushBlueBullet6"/>
      <w:isLgl/>
      <w:lvlText w:val="%4.%5.%6"/>
      <w:lvlJc w:val="left"/>
      <w:pPr>
        <w:ind w:left="567" w:hanging="567"/>
      </w:pPr>
      <w:rPr>
        <w:rFonts w:hint="default"/>
        <w:color w:val="0072BC"/>
      </w:rPr>
    </w:lvl>
    <w:lvl w:ilvl="6">
      <w:start w:val="1"/>
      <w:numFmt w:val="decimal"/>
      <w:lvlRestart w:val="0"/>
      <w:pStyle w:val="NTTFlushBlueBullet7"/>
      <w:lvlText w:val="%7."/>
      <w:lvlJc w:val="left"/>
      <w:pPr>
        <w:ind w:left="567" w:hanging="567"/>
      </w:pPr>
      <w:rPr>
        <w:rFonts w:ascii="Arial" w:hAnsi="Arial" w:hint="default"/>
        <w:b w:val="0"/>
        <w:i w:val="0"/>
        <w:color w:val="0072BC"/>
        <w:sz w:val="20"/>
      </w:rPr>
    </w:lvl>
    <w:lvl w:ilvl="7">
      <w:start w:val="1"/>
      <w:numFmt w:val="lowerLetter"/>
      <w:pStyle w:val="NTTFlushBlueBullet8"/>
      <w:lvlText w:val="%8."/>
      <w:lvlJc w:val="left"/>
      <w:pPr>
        <w:ind w:left="1134" w:hanging="567"/>
      </w:pPr>
      <w:rPr>
        <w:rFonts w:ascii="Arial" w:hAnsi="Arial" w:hint="default"/>
        <w:b w:val="0"/>
        <w:i w:val="0"/>
        <w:color w:val="0072BC"/>
        <w:sz w:val="20"/>
      </w:rPr>
    </w:lvl>
    <w:lvl w:ilvl="8">
      <w:start w:val="1"/>
      <w:numFmt w:val="lowerRoman"/>
      <w:pStyle w:val="NTTFlushBlueBullet9"/>
      <w:lvlText w:val="%9."/>
      <w:lvlJc w:val="left"/>
      <w:pPr>
        <w:ind w:left="1701" w:hanging="567"/>
      </w:pPr>
      <w:rPr>
        <w:rFonts w:ascii="Arial" w:hAnsi="Arial" w:hint="default"/>
        <w:b w:val="0"/>
        <w:i w:val="0"/>
        <w:color w:val="0072BC"/>
        <w:sz w:val="20"/>
      </w:rPr>
    </w:lvl>
  </w:abstractNum>
  <w:abstractNum w:abstractNumId="16" w15:restartNumberingAfterBreak="0">
    <w:nsid w:val="5EA35D47"/>
    <w:multiLevelType w:val="multilevel"/>
    <w:tmpl w:val="6D02664C"/>
    <w:styleLink w:val="NTTTableBulletList"/>
    <w:lvl w:ilvl="0">
      <w:start w:val="1"/>
      <w:numFmt w:val="bullet"/>
      <w:lvlText w:val="●"/>
      <w:lvlJc w:val="left"/>
      <w:pPr>
        <w:tabs>
          <w:tab w:val="num" w:pos="284"/>
        </w:tabs>
        <w:ind w:left="284" w:hanging="284"/>
      </w:pPr>
      <w:rPr>
        <w:rFonts w:ascii="Arial" w:hAnsi="Arial" w:hint="default"/>
        <w:color w:val="000000"/>
        <w:spacing w:val="8"/>
        <w:kern w:val="18"/>
        <w:sz w:val="18"/>
        <w:szCs w:val="20"/>
      </w:rPr>
    </w:lvl>
    <w:lvl w:ilvl="1">
      <w:start w:val="1"/>
      <w:numFmt w:val="bullet"/>
      <w:pStyle w:val="NTTTableBullet2"/>
      <w:lvlText w:val="○"/>
      <w:lvlJc w:val="left"/>
      <w:pPr>
        <w:tabs>
          <w:tab w:val="num" w:pos="567"/>
        </w:tabs>
        <w:ind w:left="567" w:hanging="283"/>
      </w:pPr>
      <w:rPr>
        <w:rFonts w:ascii="Arial" w:hAnsi="Arial" w:cs="Times New Roman" w:hint="default"/>
        <w:b w:val="0"/>
        <w:i w:val="0"/>
        <w:color w:val="000000"/>
        <w:sz w:val="18"/>
      </w:rPr>
    </w:lvl>
    <w:lvl w:ilvl="2">
      <w:start w:val="1"/>
      <w:numFmt w:val="bullet"/>
      <w:pStyle w:val="NTTTableBullet3"/>
      <w:lvlText w:val="-"/>
      <w:lvlJc w:val="left"/>
      <w:pPr>
        <w:tabs>
          <w:tab w:val="num" w:pos="851"/>
        </w:tabs>
        <w:ind w:left="851" w:hanging="284"/>
      </w:pPr>
      <w:rPr>
        <w:rFonts w:ascii="Arial" w:hAnsi="Arial" w:cs="Times New Roman" w:hint="default"/>
        <w:b w:val="0"/>
        <w:i w:val="0"/>
        <w:color w:val="000000"/>
        <w:sz w:val="18"/>
      </w:rPr>
    </w:lvl>
    <w:lvl w:ilvl="3">
      <w:start w:val="1"/>
      <w:numFmt w:val="decimal"/>
      <w:lvlText w:val="%4."/>
      <w:lvlJc w:val="left"/>
      <w:pPr>
        <w:tabs>
          <w:tab w:val="num" w:pos="567"/>
        </w:tabs>
        <w:ind w:left="567" w:hanging="567"/>
      </w:pPr>
      <w:rPr>
        <w:rFonts w:ascii="Arial" w:hAnsi="Arial" w:hint="default"/>
        <w:b w:val="0"/>
        <w:i w:val="0"/>
        <w:color w:val="000000"/>
        <w:spacing w:val="-20"/>
        <w:sz w:val="18"/>
        <w:szCs w:val="18"/>
      </w:rPr>
    </w:lvl>
    <w:lvl w:ilvl="4">
      <w:start w:val="1"/>
      <w:numFmt w:val="decimal"/>
      <w:lvlText w:val="%4.%5."/>
      <w:lvlJc w:val="left"/>
      <w:pPr>
        <w:tabs>
          <w:tab w:val="num" w:pos="567"/>
        </w:tabs>
        <w:ind w:left="567" w:hanging="567"/>
      </w:pPr>
      <w:rPr>
        <w:rFonts w:ascii="Arial" w:hAnsi="Arial" w:hint="default"/>
        <w:b w:val="0"/>
        <w:i w:val="0"/>
        <w:color w:val="000000"/>
        <w:spacing w:val="-20"/>
        <w:sz w:val="18"/>
        <w:szCs w:val="18"/>
      </w:rPr>
    </w:lvl>
    <w:lvl w:ilvl="5">
      <w:start w:val="1"/>
      <w:numFmt w:val="decimal"/>
      <w:lvlText w:val="%4.%5.%6."/>
      <w:lvlJc w:val="left"/>
      <w:pPr>
        <w:tabs>
          <w:tab w:val="num" w:pos="567"/>
        </w:tabs>
        <w:ind w:left="567" w:hanging="567"/>
      </w:pPr>
      <w:rPr>
        <w:rFonts w:ascii="Arial" w:hAnsi="Arial" w:hint="default"/>
        <w:b w:val="0"/>
        <w:i w:val="0"/>
        <w:color w:val="000000"/>
        <w:spacing w:val="-20"/>
        <w:sz w:val="18"/>
        <w:szCs w:val="18"/>
      </w:rPr>
    </w:lvl>
    <w:lvl w:ilvl="6">
      <w:start w:val="1"/>
      <w:numFmt w:val="decimal"/>
      <w:lvlText w:val="%7."/>
      <w:lvlJc w:val="left"/>
      <w:pPr>
        <w:tabs>
          <w:tab w:val="num" w:pos="567"/>
        </w:tabs>
        <w:ind w:left="567" w:hanging="567"/>
      </w:pPr>
      <w:rPr>
        <w:rFonts w:ascii="Arial" w:hAnsi="Arial" w:hint="default"/>
        <w:b w:val="0"/>
        <w:i w:val="0"/>
        <w:color w:val="000000"/>
        <w:sz w:val="18"/>
        <w:szCs w:val="18"/>
      </w:rPr>
    </w:lvl>
    <w:lvl w:ilvl="7">
      <w:start w:val="1"/>
      <w:numFmt w:val="lowerLetter"/>
      <w:pStyle w:val="NTTTableBullet8"/>
      <w:lvlText w:val="%8."/>
      <w:lvlJc w:val="left"/>
      <w:pPr>
        <w:tabs>
          <w:tab w:val="num" w:pos="1134"/>
        </w:tabs>
        <w:ind w:left="1134" w:hanging="567"/>
      </w:pPr>
      <w:rPr>
        <w:rFonts w:ascii="Arial" w:hAnsi="Arial" w:hint="default"/>
        <w:b w:val="0"/>
        <w:i w:val="0"/>
        <w:color w:val="000000"/>
        <w:sz w:val="18"/>
        <w:szCs w:val="18"/>
      </w:rPr>
    </w:lvl>
    <w:lvl w:ilvl="8">
      <w:start w:val="1"/>
      <w:numFmt w:val="lowerRoman"/>
      <w:pStyle w:val="NTTTableBullet9"/>
      <w:lvlText w:val="%9."/>
      <w:lvlJc w:val="left"/>
      <w:pPr>
        <w:tabs>
          <w:tab w:val="num" w:pos="1701"/>
        </w:tabs>
        <w:ind w:left="1701" w:hanging="567"/>
      </w:pPr>
      <w:rPr>
        <w:rFonts w:ascii="Arial" w:hAnsi="Arial" w:hint="default"/>
        <w:b w:val="0"/>
        <w:i w:val="0"/>
        <w:color w:val="000000"/>
        <w:sz w:val="18"/>
        <w:szCs w:val="18"/>
      </w:rPr>
    </w:lvl>
  </w:abstractNum>
  <w:abstractNum w:abstractNumId="17" w15:restartNumberingAfterBreak="0">
    <w:nsid w:val="64A85724"/>
    <w:multiLevelType w:val="multilevel"/>
    <w:tmpl w:val="771046AA"/>
    <w:styleLink w:val="NTTBlueTableBulletList"/>
    <w:lvl w:ilvl="0">
      <w:start w:val="1"/>
      <w:numFmt w:val="bullet"/>
      <w:pStyle w:val="NTTBlueTableBullet1"/>
      <w:lvlText w:val="●"/>
      <w:lvlJc w:val="left"/>
      <w:pPr>
        <w:tabs>
          <w:tab w:val="num" w:pos="283"/>
        </w:tabs>
        <w:ind w:left="283" w:hanging="283"/>
      </w:pPr>
      <w:rPr>
        <w:rFonts w:ascii="Arial" w:hAnsi="Arial" w:hint="default"/>
        <w:color w:val="0072BC"/>
        <w:spacing w:val="8"/>
        <w:kern w:val="18"/>
        <w:sz w:val="18"/>
        <w:szCs w:val="20"/>
      </w:rPr>
    </w:lvl>
    <w:lvl w:ilvl="1">
      <w:start w:val="1"/>
      <w:numFmt w:val="bullet"/>
      <w:pStyle w:val="NTTBlueTableBullet2"/>
      <w:lvlText w:val="○"/>
      <w:lvlJc w:val="left"/>
      <w:pPr>
        <w:tabs>
          <w:tab w:val="num" w:pos="1134"/>
        </w:tabs>
        <w:ind w:left="1134" w:hanging="284"/>
      </w:pPr>
      <w:rPr>
        <w:rFonts w:ascii="Arial" w:hAnsi="Arial" w:cs="Times New Roman" w:hint="default"/>
        <w:b w:val="0"/>
        <w:i w:val="0"/>
        <w:color w:val="0072BC"/>
        <w:sz w:val="18"/>
      </w:rPr>
    </w:lvl>
    <w:lvl w:ilvl="2">
      <w:start w:val="1"/>
      <w:numFmt w:val="bullet"/>
      <w:pStyle w:val="NTTBlueTableBullet3"/>
      <w:lvlText w:val="-"/>
      <w:lvlJc w:val="left"/>
      <w:pPr>
        <w:tabs>
          <w:tab w:val="num" w:pos="850"/>
        </w:tabs>
        <w:ind w:left="850" w:hanging="283"/>
      </w:pPr>
      <w:rPr>
        <w:rFonts w:ascii="Arial" w:hAnsi="Arial" w:cs="Times New Roman" w:hint="default"/>
        <w:b w:val="0"/>
        <w:i w:val="0"/>
        <w:color w:val="0072BC"/>
        <w:sz w:val="18"/>
      </w:rPr>
    </w:lvl>
    <w:lvl w:ilvl="3">
      <w:start w:val="1"/>
      <w:numFmt w:val="decimal"/>
      <w:pStyle w:val="NTTBlueTableBullet4"/>
      <w:lvlText w:val="%4."/>
      <w:lvlJc w:val="left"/>
      <w:pPr>
        <w:tabs>
          <w:tab w:val="num" w:pos="567"/>
        </w:tabs>
        <w:ind w:left="567" w:hanging="567"/>
      </w:pPr>
      <w:rPr>
        <w:rFonts w:ascii="Arial" w:hAnsi="Arial" w:hint="default"/>
        <w:b w:val="0"/>
        <w:i w:val="0"/>
        <w:color w:val="0072BC"/>
        <w:spacing w:val="0"/>
        <w:sz w:val="18"/>
        <w:szCs w:val="18"/>
      </w:rPr>
    </w:lvl>
    <w:lvl w:ilvl="4">
      <w:start w:val="1"/>
      <w:numFmt w:val="decimal"/>
      <w:pStyle w:val="NTTBlueTableBullet5"/>
      <w:lvlText w:val="%4.%5."/>
      <w:lvlJc w:val="left"/>
      <w:pPr>
        <w:tabs>
          <w:tab w:val="num" w:pos="567"/>
        </w:tabs>
        <w:ind w:left="567" w:hanging="567"/>
      </w:pPr>
      <w:rPr>
        <w:rFonts w:ascii="Arial" w:hAnsi="Arial" w:hint="default"/>
        <w:b w:val="0"/>
        <w:i w:val="0"/>
        <w:color w:val="0072BC"/>
        <w:spacing w:val="0"/>
        <w:sz w:val="18"/>
        <w:szCs w:val="18"/>
      </w:rPr>
    </w:lvl>
    <w:lvl w:ilvl="5">
      <w:start w:val="1"/>
      <w:numFmt w:val="decimal"/>
      <w:pStyle w:val="NTTBlueTableBullet6"/>
      <w:lvlText w:val="%4.%5.%6."/>
      <w:lvlJc w:val="left"/>
      <w:pPr>
        <w:tabs>
          <w:tab w:val="num" w:pos="567"/>
        </w:tabs>
        <w:ind w:left="567" w:hanging="567"/>
      </w:pPr>
      <w:rPr>
        <w:rFonts w:ascii="Arial" w:hAnsi="Arial" w:hint="default"/>
        <w:b w:val="0"/>
        <w:i w:val="0"/>
        <w:color w:val="0072BC"/>
        <w:spacing w:val="0"/>
        <w:sz w:val="18"/>
        <w:szCs w:val="18"/>
      </w:rPr>
    </w:lvl>
    <w:lvl w:ilvl="6">
      <w:start w:val="1"/>
      <w:numFmt w:val="decimal"/>
      <w:pStyle w:val="NTTBlueTableBullet7"/>
      <w:lvlText w:val="%7."/>
      <w:lvlJc w:val="left"/>
      <w:pPr>
        <w:tabs>
          <w:tab w:val="num" w:pos="567"/>
        </w:tabs>
        <w:ind w:left="567" w:hanging="567"/>
      </w:pPr>
      <w:rPr>
        <w:rFonts w:ascii="Arial" w:hAnsi="Arial" w:hint="default"/>
        <w:b w:val="0"/>
        <w:i w:val="0"/>
        <w:color w:val="0072BC"/>
        <w:sz w:val="18"/>
        <w:szCs w:val="18"/>
      </w:rPr>
    </w:lvl>
    <w:lvl w:ilvl="7">
      <w:start w:val="1"/>
      <w:numFmt w:val="lowerLetter"/>
      <w:pStyle w:val="NTTBlueTableBullet8"/>
      <w:lvlText w:val="%8."/>
      <w:lvlJc w:val="left"/>
      <w:pPr>
        <w:tabs>
          <w:tab w:val="num" w:pos="1134"/>
        </w:tabs>
        <w:ind w:left="1134" w:hanging="567"/>
      </w:pPr>
      <w:rPr>
        <w:rFonts w:ascii="Arial" w:hAnsi="Arial" w:hint="default"/>
        <w:b w:val="0"/>
        <w:i w:val="0"/>
        <w:color w:val="0072BC"/>
        <w:sz w:val="18"/>
        <w:szCs w:val="18"/>
      </w:rPr>
    </w:lvl>
    <w:lvl w:ilvl="8">
      <w:start w:val="1"/>
      <w:numFmt w:val="lowerRoman"/>
      <w:pStyle w:val="NTTBlueTableBullet9"/>
      <w:lvlText w:val="%9."/>
      <w:lvlJc w:val="left"/>
      <w:pPr>
        <w:tabs>
          <w:tab w:val="num" w:pos="1701"/>
        </w:tabs>
        <w:ind w:left="1701" w:hanging="567"/>
      </w:pPr>
      <w:rPr>
        <w:rFonts w:ascii="Arial" w:hAnsi="Arial" w:hint="default"/>
        <w:b w:val="0"/>
        <w:i w:val="0"/>
        <w:color w:val="0072BC"/>
        <w:sz w:val="18"/>
        <w:szCs w:val="18"/>
      </w:rPr>
    </w:lvl>
  </w:abstractNum>
  <w:abstractNum w:abstractNumId="18" w15:restartNumberingAfterBreak="0">
    <w:nsid w:val="6A2026CD"/>
    <w:multiLevelType w:val="multilevel"/>
    <w:tmpl w:val="D2080C92"/>
    <w:styleLink w:val="NTTGuidanceTextBullets"/>
    <w:lvl w:ilvl="0">
      <w:start w:val="1"/>
      <w:numFmt w:val="bullet"/>
      <w:pStyle w:val="GuidanceText3Bullet"/>
      <w:lvlText w:val="●"/>
      <w:lvlJc w:val="left"/>
      <w:pPr>
        <w:tabs>
          <w:tab w:val="num" w:pos="1418"/>
        </w:tabs>
        <w:ind w:left="1134" w:hanging="283"/>
      </w:pPr>
      <w:rPr>
        <w:rFonts w:ascii="Arial" w:hAnsi="Arial" w:hint="default"/>
        <w:color w:val="900000"/>
        <w:kern w:val="20"/>
        <w:sz w:val="20"/>
      </w:rPr>
    </w:lvl>
    <w:lvl w:ilvl="1">
      <w:start w:val="1"/>
      <w:numFmt w:val="decimal"/>
      <w:pStyle w:val="GuidanceText4List"/>
      <w:lvlText w:val="%2. "/>
      <w:lvlJc w:val="left"/>
      <w:pPr>
        <w:tabs>
          <w:tab w:val="num" w:pos="1418"/>
        </w:tabs>
        <w:ind w:left="1134" w:hanging="283"/>
      </w:pPr>
      <w:rPr>
        <w:rFonts w:hint="default"/>
        <w:color w:val="900000"/>
      </w:rPr>
    </w:lvl>
    <w:lvl w:ilvl="2">
      <w:start w:val="1"/>
      <w:numFmt w:val="bullet"/>
      <w:pStyle w:val="NTTBlueNotedText3Bullet"/>
      <w:lvlText w:val="●"/>
      <w:lvlJc w:val="left"/>
      <w:pPr>
        <w:tabs>
          <w:tab w:val="num" w:pos="1418"/>
        </w:tabs>
        <w:ind w:left="1134" w:hanging="283"/>
      </w:pPr>
      <w:rPr>
        <w:rFonts w:ascii="Arial" w:hAnsi="Arial" w:hint="default"/>
        <w:color w:val="0072BC"/>
      </w:rPr>
    </w:lvl>
    <w:lvl w:ilvl="3">
      <w:start w:val="1"/>
      <w:numFmt w:val="decimal"/>
      <w:pStyle w:val="NTTBlueNotedText4List"/>
      <w:lvlText w:val="%4."/>
      <w:lvlJc w:val="left"/>
      <w:pPr>
        <w:tabs>
          <w:tab w:val="num" w:pos="1418"/>
        </w:tabs>
        <w:ind w:left="1134" w:hanging="283"/>
      </w:pPr>
      <w:rPr>
        <w:rFonts w:hint="default"/>
        <w:color w:val="0072BC"/>
      </w:rPr>
    </w:lvl>
    <w:lvl w:ilvl="4">
      <w:start w:val="1"/>
      <w:numFmt w:val="bullet"/>
      <w:lvlText w:val=""/>
      <w:lvlJc w:val="left"/>
      <w:pPr>
        <w:tabs>
          <w:tab w:val="num" w:pos="1418"/>
        </w:tabs>
        <w:ind w:left="1134" w:hanging="283"/>
      </w:pPr>
      <w:rPr>
        <w:rFonts w:ascii="Symbol" w:hAnsi="Symbol" w:hint="default"/>
        <w:color w:val="000000"/>
      </w:rPr>
    </w:lvl>
    <w:lvl w:ilvl="5">
      <w:start w:val="1"/>
      <w:numFmt w:val="decimal"/>
      <w:lvlText w:val="%6."/>
      <w:lvlJc w:val="left"/>
      <w:pPr>
        <w:tabs>
          <w:tab w:val="num" w:pos="1418"/>
        </w:tabs>
        <w:ind w:left="1134" w:hanging="283"/>
      </w:pPr>
      <w:rPr>
        <w:rFonts w:hint="default"/>
        <w:color w:val="000000"/>
      </w:rPr>
    </w:lvl>
    <w:lvl w:ilvl="6">
      <w:start w:val="1"/>
      <w:numFmt w:val="bullet"/>
      <w:pStyle w:val="NTTRedNotedText3Bullet"/>
      <w:lvlText w:val=""/>
      <w:lvlJc w:val="left"/>
      <w:pPr>
        <w:tabs>
          <w:tab w:val="num" w:pos="1418"/>
        </w:tabs>
        <w:ind w:left="1134" w:hanging="283"/>
      </w:pPr>
      <w:rPr>
        <w:rFonts w:ascii="Symbol" w:hAnsi="Symbol" w:hint="default"/>
        <w:color w:val="FF0000"/>
      </w:rPr>
    </w:lvl>
    <w:lvl w:ilvl="7">
      <w:start w:val="1"/>
      <w:numFmt w:val="decimal"/>
      <w:pStyle w:val="NTTRedNotedText4Bullet"/>
      <w:lvlText w:val="%8."/>
      <w:lvlJc w:val="left"/>
      <w:pPr>
        <w:tabs>
          <w:tab w:val="num" w:pos="1418"/>
        </w:tabs>
        <w:ind w:left="1134" w:hanging="283"/>
      </w:pPr>
      <w:rPr>
        <w:rFonts w:hint="default"/>
        <w:color w:val="FF0000"/>
      </w:rPr>
    </w:lvl>
    <w:lvl w:ilvl="8">
      <w:start w:val="1"/>
      <w:numFmt w:val="bullet"/>
      <w:lvlText w:val=""/>
      <w:lvlJc w:val="left"/>
      <w:pPr>
        <w:tabs>
          <w:tab w:val="num" w:pos="1418"/>
        </w:tabs>
        <w:ind w:left="1134" w:hanging="283"/>
      </w:pPr>
      <w:rPr>
        <w:rFonts w:ascii="Wingdings" w:hAnsi="Wingdings" w:hint="default"/>
        <w:color w:val="900000"/>
      </w:rPr>
    </w:lvl>
  </w:abstractNum>
  <w:abstractNum w:abstractNumId="19" w15:restartNumberingAfterBreak="0">
    <w:nsid w:val="6F2F30A7"/>
    <w:multiLevelType w:val="hybridMultilevel"/>
    <w:tmpl w:val="722A2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BC1A2A"/>
    <w:multiLevelType w:val="hybridMultilevel"/>
    <w:tmpl w:val="E2407366"/>
    <w:lvl w:ilvl="0" w:tplc="F3F6B09A">
      <w:start w:val="1"/>
      <w:numFmt w:val="lowerLetter"/>
      <w:pStyle w:val="NTTLegal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7C3026"/>
    <w:multiLevelType w:val="multilevel"/>
    <w:tmpl w:val="E8E4266C"/>
    <w:styleLink w:val="NTTFlushBulletList"/>
    <w:lvl w:ilvl="0">
      <w:start w:val="1"/>
      <w:numFmt w:val="bullet"/>
      <w:pStyle w:val="NTTFlushBullet1"/>
      <w:lvlText w:val="●"/>
      <w:lvlJc w:val="left"/>
      <w:pPr>
        <w:ind w:left="284" w:hanging="284"/>
      </w:pPr>
      <w:rPr>
        <w:rFonts w:ascii="Arial" w:hAnsi="Arial" w:hint="default"/>
        <w:b w:val="0"/>
        <w:i w:val="0"/>
        <w:color w:val="000000"/>
        <w:kern w:val="20"/>
        <w:sz w:val="20"/>
      </w:rPr>
    </w:lvl>
    <w:lvl w:ilvl="1">
      <w:start w:val="1"/>
      <w:numFmt w:val="bullet"/>
      <w:pStyle w:val="NTTFlushBullet2"/>
      <w:lvlText w:val="○"/>
      <w:lvlJc w:val="left"/>
      <w:pPr>
        <w:ind w:left="567" w:hanging="283"/>
      </w:pPr>
      <w:rPr>
        <w:rFonts w:ascii="Arial" w:hAnsi="Arial" w:cs="Times New Roman" w:hint="default"/>
        <w:b w:val="0"/>
        <w:i w:val="0"/>
        <w:color w:val="000000"/>
        <w:sz w:val="20"/>
      </w:rPr>
    </w:lvl>
    <w:lvl w:ilvl="2">
      <w:start w:val="1"/>
      <w:numFmt w:val="bullet"/>
      <w:pStyle w:val="NTTFlushBullet3"/>
      <w:lvlText w:val="-"/>
      <w:lvlJc w:val="left"/>
      <w:pPr>
        <w:ind w:left="851" w:hanging="284"/>
      </w:pPr>
      <w:rPr>
        <w:rFonts w:ascii="Arial" w:hAnsi="Arial" w:cs="Times New Roman" w:hint="default"/>
        <w:b w:val="0"/>
        <w:i w:val="0"/>
        <w:color w:val="000000"/>
        <w:sz w:val="20"/>
      </w:rPr>
    </w:lvl>
    <w:lvl w:ilvl="3">
      <w:start w:val="1"/>
      <w:numFmt w:val="decimal"/>
      <w:pStyle w:val="NTTFlushBullet4"/>
      <w:isLgl/>
      <w:lvlText w:val="%4."/>
      <w:lvlJc w:val="left"/>
      <w:pPr>
        <w:ind w:left="567" w:hanging="567"/>
      </w:pPr>
      <w:rPr>
        <w:rFonts w:hint="default"/>
        <w:color w:val="000000"/>
      </w:rPr>
    </w:lvl>
    <w:lvl w:ilvl="4">
      <w:start w:val="1"/>
      <w:numFmt w:val="decimal"/>
      <w:pStyle w:val="NTTFlushBullet5"/>
      <w:isLgl/>
      <w:lvlText w:val="%4.%5"/>
      <w:lvlJc w:val="left"/>
      <w:pPr>
        <w:ind w:left="567" w:hanging="567"/>
      </w:pPr>
      <w:rPr>
        <w:rFonts w:hint="default"/>
        <w:color w:val="000000"/>
      </w:rPr>
    </w:lvl>
    <w:lvl w:ilvl="5">
      <w:start w:val="1"/>
      <w:numFmt w:val="decimal"/>
      <w:pStyle w:val="NTTFlushBullet6"/>
      <w:isLgl/>
      <w:lvlText w:val="%4.%5.%6"/>
      <w:lvlJc w:val="left"/>
      <w:pPr>
        <w:ind w:left="567" w:hanging="567"/>
      </w:pPr>
      <w:rPr>
        <w:rFonts w:hint="default"/>
        <w:color w:val="000000"/>
      </w:rPr>
    </w:lvl>
    <w:lvl w:ilvl="6">
      <w:start w:val="1"/>
      <w:numFmt w:val="decimal"/>
      <w:pStyle w:val="NTTFlushBullet7"/>
      <w:lvlText w:val="%7."/>
      <w:lvlJc w:val="left"/>
      <w:pPr>
        <w:ind w:left="567" w:hanging="567"/>
      </w:pPr>
      <w:rPr>
        <w:rFonts w:hint="default"/>
        <w:color w:val="000000"/>
      </w:rPr>
    </w:lvl>
    <w:lvl w:ilvl="7">
      <w:start w:val="1"/>
      <w:numFmt w:val="lowerLetter"/>
      <w:pStyle w:val="NTTFlushBullet8"/>
      <w:lvlText w:val="%8."/>
      <w:lvlJc w:val="left"/>
      <w:pPr>
        <w:ind w:left="1134" w:hanging="567"/>
      </w:pPr>
      <w:rPr>
        <w:rFonts w:hint="default"/>
        <w:color w:val="000000"/>
      </w:rPr>
    </w:lvl>
    <w:lvl w:ilvl="8">
      <w:start w:val="1"/>
      <w:numFmt w:val="lowerRoman"/>
      <w:pStyle w:val="NTTFlushBullet9"/>
      <w:lvlText w:val="%9."/>
      <w:lvlJc w:val="left"/>
      <w:pPr>
        <w:ind w:left="1701" w:hanging="567"/>
      </w:pPr>
      <w:rPr>
        <w:rFonts w:hint="default"/>
        <w:color w:val="000000"/>
      </w:rPr>
    </w:lvl>
  </w:abstractNum>
  <w:num w:numId="1" w16cid:durableId="1107852680">
    <w:abstractNumId w:val="8"/>
  </w:num>
  <w:num w:numId="2" w16cid:durableId="1215698329">
    <w:abstractNumId w:val="14"/>
  </w:num>
  <w:num w:numId="3" w16cid:durableId="902790624">
    <w:abstractNumId w:val="9"/>
  </w:num>
  <w:num w:numId="4" w16cid:durableId="1093235555">
    <w:abstractNumId w:val="9"/>
    <w:lvlOverride w:ilvl="0">
      <w:lvl w:ilvl="0">
        <w:start w:val="1"/>
        <w:numFmt w:val="upperLetter"/>
        <w:pStyle w:val="AppendixHeading1"/>
        <w:lvlText w:val="Appendix %1"/>
        <w:lvlJc w:val="left"/>
        <w:pPr>
          <w:ind w:left="360" w:hanging="360"/>
        </w:pPr>
        <w:rPr>
          <w:rFonts w:ascii="Georgia" w:hAnsi="Georgia" w:cs="Arial" w:hint="default"/>
          <w:color w:val="0072BC"/>
          <w:kern w:val="20"/>
          <w:sz w:val="28"/>
          <w:szCs w:val="28"/>
        </w:rPr>
      </w:lvl>
    </w:lvlOverride>
    <w:lvlOverride w:ilvl="1">
      <w:lvl w:ilvl="1">
        <w:start w:val="1"/>
        <w:numFmt w:val="decimal"/>
        <w:pStyle w:val="AppendixHeading2"/>
        <w:lvlText w:val="Appendix %1.%2"/>
        <w:lvlJc w:val="left"/>
        <w:pPr>
          <w:ind w:left="0" w:firstLine="0"/>
        </w:pPr>
        <w:rPr>
          <w:rFonts w:hint="default"/>
          <w:color w:val="2E404D" w:themeColor="text1"/>
          <w:sz w:val="22"/>
          <w:szCs w:val="22"/>
        </w:rPr>
      </w:lvl>
    </w:lvlOverride>
    <w:lvlOverride w:ilvl="2">
      <w:lvl w:ilvl="2">
        <w:start w:val="1"/>
        <w:numFmt w:val="decimal"/>
        <w:pStyle w:val="AppendixHeading3"/>
        <w:lvlText w:val="Appendix %1.%2.%3"/>
        <w:lvlJc w:val="left"/>
        <w:pPr>
          <w:ind w:left="0" w:firstLine="0"/>
        </w:pPr>
        <w:rPr>
          <w:rFonts w:ascii="Arial" w:hAnsi="Arial" w:hint="default"/>
          <w:color w:val="000000"/>
          <w:sz w:val="22"/>
          <w:szCs w:val="22"/>
        </w:rPr>
      </w:lvl>
    </w:lvlOverride>
  </w:num>
  <w:num w:numId="5" w16cid:durableId="1741126396">
    <w:abstractNumId w:val="5"/>
  </w:num>
  <w:num w:numId="6" w16cid:durableId="1196692695">
    <w:abstractNumId w:val="4"/>
    <w:lvlOverride w:ilvl="0">
      <w:lvl w:ilvl="0">
        <w:start w:val="1"/>
        <w:numFmt w:val="bullet"/>
        <w:pStyle w:val="NTTBlueBullet1"/>
        <w:lvlText w:val="●"/>
        <w:lvlJc w:val="left"/>
        <w:pPr>
          <w:tabs>
            <w:tab w:val="num" w:pos="1134"/>
          </w:tabs>
          <w:ind w:left="1134" w:hanging="283"/>
        </w:pPr>
      </w:lvl>
    </w:lvlOverride>
    <w:lvlOverride w:ilvl="1">
      <w:lvl w:ilvl="1">
        <w:start w:val="1"/>
        <w:numFmt w:val="bullet"/>
        <w:pStyle w:val="NTTBlueBullet2"/>
        <w:lvlText w:val="○"/>
        <w:lvlJc w:val="left"/>
        <w:pPr>
          <w:tabs>
            <w:tab w:val="num" w:pos="1418"/>
          </w:tabs>
          <w:ind w:left="1418" w:hanging="284"/>
        </w:pPr>
      </w:lvl>
    </w:lvlOverride>
    <w:lvlOverride w:ilvl="2">
      <w:lvl w:ilvl="2">
        <w:start w:val="1"/>
        <w:numFmt w:val="bullet"/>
        <w:pStyle w:val="NTTBlueBullet3"/>
        <w:lvlText w:val="-"/>
        <w:lvlJc w:val="left"/>
        <w:pPr>
          <w:tabs>
            <w:tab w:val="num" w:pos="1701"/>
          </w:tabs>
          <w:ind w:left="1701" w:hanging="283"/>
        </w:pPr>
      </w:lvl>
    </w:lvlOverride>
    <w:lvlOverride w:ilvl="3">
      <w:lvl w:ilvl="3">
        <w:start w:val="1"/>
        <w:numFmt w:val="decimal"/>
        <w:pStyle w:val="NTTBlueBullet4"/>
        <w:lvlText w:val="%4."/>
        <w:lvlJc w:val="left"/>
        <w:pPr>
          <w:tabs>
            <w:tab w:val="num" w:pos="1418"/>
          </w:tabs>
          <w:ind w:left="1418" w:hanging="567"/>
        </w:pPr>
      </w:lvl>
    </w:lvlOverride>
    <w:lvlOverride w:ilvl="4">
      <w:lvl w:ilvl="4">
        <w:start w:val="1"/>
        <w:numFmt w:val="decimal"/>
        <w:pStyle w:val="NTTBlueBullet5"/>
        <w:lvlText w:val="%4.%5."/>
        <w:lvlJc w:val="left"/>
        <w:pPr>
          <w:tabs>
            <w:tab w:val="num" w:pos="1418"/>
          </w:tabs>
          <w:ind w:left="1418" w:hanging="567"/>
        </w:pPr>
      </w:lvl>
    </w:lvlOverride>
    <w:lvlOverride w:ilvl="5">
      <w:lvl w:ilvl="5">
        <w:start w:val="1"/>
        <w:numFmt w:val="decimal"/>
        <w:pStyle w:val="NTTBlueBullet6"/>
        <w:lvlText w:val="%4.%5.%6."/>
        <w:lvlJc w:val="left"/>
        <w:pPr>
          <w:tabs>
            <w:tab w:val="num" w:pos="1418"/>
          </w:tabs>
          <w:ind w:left="1418" w:hanging="567"/>
        </w:pPr>
      </w:lvl>
    </w:lvlOverride>
    <w:lvlOverride w:ilvl="6">
      <w:lvl w:ilvl="6">
        <w:start w:val="1"/>
        <w:numFmt w:val="decimal"/>
        <w:pStyle w:val="NTTBlueBullet7"/>
        <w:lvlText w:val="%7."/>
        <w:lvlJc w:val="left"/>
        <w:pPr>
          <w:tabs>
            <w:tab w:val="num" w:pos="1418"/>
          </w:tabs>
          <w:ind w:left="1418" w:hanging="567"/>
        </w:pPr>
      </w:lvl>
    </w:lvlOverride>
    <w:lvlOverride w:ilvl="7">
      <w:lvl w:ilvl="7">
        <w:start w:val="1"/>
        <w:numFmt w:val="lowerLetter"/>
        <w:pStyle w:val="NTTBlueBullet8"/>
        <w:lvlText w:val="%8."/>
        <w:lvlJc w:val="left"/>
        <w:pPr>
          <w:tabs>
            <w:tab w:val="num" w:pos="1985"/>
          </w:tabs>
          <w:ind w:left="1985" w:hanging="567"/>
        </w:pPr>
      </w:lvl>
    </w:lvlOverride>
    <w:lvlOverride w:ilvl="8">
      <w:lvl w:ilvl="8">
        <w:start w:val="1"/>
        <w:numFmt w:val="lowerRoman"/>
        <w:pStyle w:val="NTTBlueBullet9"/>
        <w:lvlText w:val="%9."/>
        <w:lvlJc w:val="left"/>
        <w:pPr>
          <w:tabs>
            <w:tab w:val="num" w:pos="2552"/>
          </w:tabs>
          <w:ind w:left="2552" w:hanging="567"/>
        </w:pPr>
      </w:lvl>
    </w:lvlOverride>
  </w:num>
  <w:num w:numId="7" w16cid:durableId="1094739228">
    <w:abstractNumId w:val="17"/>
  </w:num>
  <w:num w:numId="8" w16cid:durableId="775369593">
    <w:abstractNumId w:val="6"/>
    <w:lvlOverride w:ilvl="0">
      <w:lvl w:ilvl="0">
        <w:start w:val="1"/>
        <w:numFmt w:val="bullet"/>
        <w:pStyle w:val="NTTBlueTableBullet1"/>
        <w:lvlText w:val="●"/>
        <w:lvlJc w:val="left"/>
        <w:pPr>
          <w:tabs>
            <w:tab w:val="num" w:pos="283"/>
          </w:tabs>
          <w:ind w:left="283" w:hanging="283"/>
        </w:pPr>
      </w:lvl>
    </w:lvlOverride>
    <w:lvlOverride w:ilvl="1">
      <w:lvl w:ilvl="1">
        <w:start w:val="1"/>
        <w:numFmt w:val="bullet"/>
        <w:pStyle w:val="NTTBlueTableBullet2"/>
        <w:lvlText w:val="○"/>
        <w:lvlJc w:val="left"/>
        <w:pPr>
          <w:tabs>
            <w:tab w:val="num" w:pos="1134"/>
          </w:tabs>
          <w:ind w:left="1134" w:hanging="284"/>
        </w:pPr>
      </w:lvl>
    </w:lvlOverride>
    <w:lvlOverride w:ilvl="2">
      <w:lvl w:ilvl="2">
        <w:start w:val="1"/>
        <w:numFmt w:val="bullet"/>
        <w:pStyle w:val="NTTBlueTableBullet3"/>
        <w:lvlText w:val="-"/>
        <w:lvlJc w:val="left"/>
        <w:pPr>
          <w:tabs>
            <w:tab w:val="num" w:pos="850"/>
          </w:tabs>
          <w:ind w:left="850" w:hanging="283"/>
        </w:pPr>
      </w:lvl>
    </w:lvlOverride>
    <w:lvlOverride w:ilvl="3">
      <w:lvl w:ilvl="3">
        <w:start w:val="1"/>
        <w:numFmt w:val="decimal"/>
        <w:pStyle w:val="NTTBlueTableBullet4"/>
        <w:lvlText w:val="%4."/>
        <w:lvlJc w:val="left"/>
        <w:pPr>
          <w:tabs>
            <w:tab w:val="num" w:pos="567"/>
          </w:tabs>
          <w:ind w:left="567" w:hanging="567"/>
        </w:pPr>
      </w:lvl>
    </w:lvlOverride>
    <w:lvlOverride w:ilvl="4">
      <w:lvl w:ilvl="4">
        <w:start w:val="1"/>
        <w:numFmt w:val="decimal"/>
        <w:pStyle w:val="NTTBlueTableBullet5"/>
        <w:lvlText w:val="%4.%5."/>
        <w:lvlJc w:val="left"/>
        <w:pPr>
          <w:tabs>
            <w:tab w:val="num" w:pos="567"/>
          </w:tabs>
          <w:ind w:left="567" w:hanging="567"/>
        </w:pPr>
      </w:lvl>
    </w:lvlOverride>
    <w:lvlOverride w:ilvl="5">
      <w:lvl w:ilvl="5">
        <w:start w:val="1"/>
        <w:numFmt w:val="decimal"/>
        <w:pStyle w:val="NTTBlueTableBullet6"/>
        <w:lvlText w:val="%4.%5.%6."/>
        <w:lvlJc w:val="left"/>
        <w:pPr>
          <w:tabs>
            <w:tab w:val="num" w:pos="567"/>
          </w:tabs>
          <w:ind w:left="567" w:hanging="567"/>
        </w:pPr>
      </w:lvl>
    </w:lvlOverride>
    <w:lvlOverride w:ilvl="6">
      <w:lvl w:ilvl="6">
        <w:start w:val="1"/>
        <w:numFmt w:val="decimal"/>
        <w:pStyle w:val="NTTBlueTableBullet7"/>
        <w:lvlText w:val="%7."/>
        <w:lvlJc w:val="left"/>
        <w:pPr>
          <w:tabs>
            <w:tab w:val="num" w:pos="567"/>
          </w:tabs>
          <w:ind w:left="567" w:hanging="567"/>
        </w:pPr>
      </w:lvl>
    </w:lvlOverride>
    <w:lvlOverride w:ilvl="7">
      <w:lvl w:ilvl="7">
        <w:start w:val="1"/>
        <w:numFmt w:val="lowerLetter"/>
        <w:pStyle w:val="NTTBlueTableBullet8"/>
        <w:lvlText w:val="%8."/>
        <w:lvlJc w:val="left"/>
        <w:pPr>
          <w:tabs>
            <w:tab w:val="num" w:pos="1134"/>
          </w:tabs>
          <w:ind w:left="1134" w:hanging="567"/>
        </w:pPr>
      </w:lvl>
    </w:lvlOverride>
    <w:lvlOverride w:ilvl="8">
      <w:lvl w:ilvl="8">
        <w:start w:val="1"/>
        <w:numFmt w:val="lowerRoman"/>
        <w:pStyle w:val="NTTBlueTableBullet9"/>
        <w:lvlText w:val="%9."/>
        <w:lvlJc w:val="left"/>
        <w:pPr>
          <w:tabs>
            <w:tab w:val="num" w:pos="1701"/>
          </w:tabs>
          <w:ind w:left="1701" w:hanging="567"/>
        </w:pPr>
      </w:lvl>
    </w:lvlOverride>
  </w:num>
  <w:num w:numId="9" w16cid:durableId="1049841814">
    <w:abstractNumId w:val="11"/>
  </w:num>
  <w:num w:numId="10" w16cid:durableId="1218661965">
    <w:abstractNumId w:val="15"/>
  </w:num>
  <w:num w:numId="11" w16cid:durableId="347412455">
    <w:abstractNumId w:val="21"/>
  </w:num>
  <w:num w:numId="12" w16cid:durableId="1882672173">
    <w:abstractNumId w:val="11"/>
    <w:lvlOverride w:ilvl="0">
      <w:lvl w:ilvl="0">
        <w:start w:val="1"/>
        <w:numFmt w:val="bullet"/>
        <w:pStyle w:val="NTTBullet1"/>
        <w:lvlText w:val="●"/>
        <w:lvlJc w:val="left"/>
        <w:pPr>
          <w:tabs>
            <w:tab w:val="num" w:pos="1134"/>
          </w:tabs>
          <w:ind w:left="1134" w:hanging="283"/>
        </w:pPr>
      </w:lvl>
    </w:lvlOverride>
  </w:num>
  <w:num w:numId="13" w16cid:durableId="1496800376">
    <w:abstractNumId w:val="15"/>
    <w:lvlOverride w:ilvl="0">
      <w:lvl w:ilvl="0">
        <w:start w:val="1"/>
        <w:numFmt w:val="bullet"/>
        <w:pStyle w:val="NTTFlushBlueBullet1"/>
        <w:lvlText w:val="●"/>
        <w:lvlJc w:val="left"/>
        <w:pPr>
          <w:ind w:left="284" w:hanging="284"/>
        </w:pPr>
      </w:lvl>
    </w:lvlOverride>
    <w:lvlOverride w:ilvl="1">
      <w:lvl w:ilvl="1">
        <w:start w:val="1"/>
        <w:numFmt w:val="bullet"/>
        <w:pStyle w:val="NTTFlushBlueBullet2"/>
        <w:lvlText w:val="○"/>
        <w:lvlJc w:val="left"/>
        <w:pPr>
          <w:ind w:left="567" w:hanging="283"/>
        </w:pPr>
      </w:lvl>
    </w:lvlOverride>
    <w:lvlOverride w:ilvl="2">
      <w:lvl w:ilvl="2">
        <w:start w:val="1"/>
        <w:numFmt w:val="bullet"/>
        <w:pStyle w:val="NTTFlushBlueBullet3"/>
        <w:lvlText w:val="-"/>
        <w:lvlJc w:val="left"/>
        <w:pPr>
          <w:ind w:left="851" w:hanging="284"/>
        </w:pPr>
      </w:lvl>
    </w:lvlOverride>
    <w:lvlOverride w:ilvl="3">
      <w:lvl w:ilvl="3">
        <w:start w:val="1"/>
        <w:numFmt w:val="decimal"/>
        <w:pStyle w:val="NTTFlushBlueBullet4"/>
        <w:isLgl/>
        <w:lvlText w:val="%4."/>
        <w:lvlJc w:val="left"/>
        <w:pPr>
          <w:ind w:left="567" w:hanging="567"/>
        </w:pPr>
      </w:lvl>
    </w:lvlOverride>
    <w:lvlOverride w:ilvl="4">
      <w:lvl w:ilvl="4">
        <w:start w:val="1"/>
        <w:numFmt w:val="decimal"/>
        <w:pStyle w:val="NTTFlushBlueBullet5"/>
        <w:isLgl/>
        <w:lvlText w:val="%4.%5"/>
        <w:lvlJc w:val="left"/>
        <w:pPr>
          <w:ind w:left="567" w:hanging="567"/>
        </w:pPr>
      </w:lvl>
    </w:lvlOverride>
    <w:lvlOverride w:ilvl="5">
      <w:lvl w:ilvl="5">
        <w:start w:val="1"/>
        <w:numFmt w:val="decimal"/>
        <w:pStyle w:val="NTTFlushBlueBullet6"/>
        <w:isLgl/>
        <w:lvlText w:val="%4.%5.%6"/>
        <w:lvlJc w:val="left"/>
        <w:pPr>
          <w:ind w:left="567" w:hanging="567"/>
        </w:pPr>
      </w:lvl>
    </w:lvlOverride>
    <w:lvlOverride w:ilvl="6">
      <w:lvl w:ilvl="6">
        <w:start w:val="1"/>
        <w:numFmt w:val="decimal"/>
        <w:lvlRestart w:val="0"/>
        <w:pStyle w:val="NTTFlushBlueBullet7"/>
        <w:lvlText w:val="%7."/>
        <w:lvlJc w:val="left"/>
        <w:pPr>
          <w:ind w:left="567" w:hanging="567"/>
        </w:pPr>
      </w:lvl>
    </w:lvlOverride>
    <w:lvlOverride w:ilvl="7">
      <w:lvl w:ilvl="7">
        <w:start w:val="1"/>
        <w:numFmt w:val="lowerLetter"/>
        <w:pStyle w:val="NTTFlushBlueBullet8"/>
        <w:lvlText w:val="%8."/>
        <w:lvlJc w:val="left"/>
        <w:pPr>
          <w:ind w:left="1134" w:hanging="567"/>
        </w:pPr>
      </w:lvl>
    </w:lvlOverride>
    <w:lvlOverride w:ilvl="8">
      <w:lvl w:ilvl="8">
        <w:start w:val="1"/>
        <w:numFmt w:val="lowerRoman"/>
        <w:pStyle w:val="NTTFlushBlueBullet9"/>
        <w:lvlText w:val="%9."/>
        <w:lvlJc w:val="left"/>
        <w:pPr>
          <w:ind w:left="1701" w:hanging="567"/>
        </w:pPr>
      </w:lvl>
    </w:lvlOverride>
  </w:num>
  <w:num w:numId="14" w16cid:durableId="976255163">
    <w:abstractNumId w:val="21"/>
    <w:lvlOverride w:ilvl="0">
      <w:lvl w:ilvl="0">
        <w:start w:val="1"/>
        <w:numFmt w:val="bullet"/>
        <w:pStyle w:val="NTTFlushBullet1"/>
        <w:lvlText w:val="●"/>
        <w:lvlJc w:val="left"/>
        <w:pPr>
          <w:ind w:left="284" w:hanging="284"/>
        </w:pPr>
        <w:rPr>
          <w:rFonts w:ascii="Arial" w:hAnsi="Arial" w:hint="default"/>
          <w:b w:val="0"/>
          <w:i w:val="0"/>
          <w:color w:val="000000"/>
          <w:kern w:val="20"/>
          <w:sz w:val="20"/>
        </w:rPr>
      </w:lvl>
    </w:lvlOverride>
    <w:lvlOverride w:ilvl="1">
      <w:lvl w:ilvl="1">
        <w:start w:val="1"/>
        <w:numFmt w:val="bullet"/>
        <w:pStyle w:val="NTTFlushBullet2"/>
        <w:lvlText w:val="○"/>
        <w:lvlJc w:val="left"/>
        <w:pPr>
          <w:ind w:left="567" w:hanging="283"/>
        </w:pPr>
        <w:rPr>
          <w:rFonts w:ascii="Arial" w:hAnsi="Arial" w:cs="Times New Roman" w:hint="default"/>
          <w:b w:val="0"/>
          <w:i w:val="0"/>
          <w:color w:val="000000"/>
          <w:sz w:val="20"/>
        </w:rPr>
      </w:lvl>
    </w:lvlOverride>
    <w:lvlOverride w:ilvl="2">
      <w:lvl w:ilvl="2">
        <w:start w:val="1"/>
        <w:numFmt w:val="bullet"/>
        <w:pStyle w:val="NTTFlushBullet3"/>
        <w:lvlText w:val="-"/>
        <w:lvlJc w:val="left"/>
        <w:pPr>
          <w:ind w:left="851" w:hanging="284"/>
        </w:pPr>
        <w:rPr>
          <w:rFonts w:ascii="Arial" w:hAnsi="Arial" w:cs="Times New Roman" w:hint="default"/>
          <w:b w:val="0"/>
          <w:i w:val="0"/>
          <w:color w:val="000000"/>
          <w:sz w:val="20"/>
        </w:rPr>
      </w:lvl>
    </w:lvlOverride>
    <w:lvlOverride w:ilvl="3">
      <w:lvl w:ilvl="3">
        <w:start w:val="1"/>
        <w:numFmt w:val="decimal"/>
        <w:pStyle w:val="NTTFlushBullet4"/>
        <w:isLgl/>
        <w:lvlText w:val="%4."/>
        <w:lvlJc w:val="left"/>
        <w:pPr>
          <w:ind w:left="567" w:hanging="567"/>
        </w:pPr>
      </w:lvl>
    </w:lvlOverride>
    <w:lvlOverride w:ilvl="4">
      <w:lvl w:ilvl="4">
        <w:start w:val="1"/>
        <w:numFmt w:val="decimal"/>
        <w:pStyle w:val="NTTFlushBullet5"/>
        <w:isLgl/>
        <w:lvlText w:val="%4.%5"/>
        <w:lvlJc w:val="left"/>
        <w:pPr>
          <w:ind w:left="567" w:hanging="567"/>
        </w:pPr>
      </w:lvl>
    </w:lvlOverride>
    <w:lvlOverride w:ilvl="5">
      <w:lvl w:ilvl="5">
        <w:start w:val="1"/>
        <w:numFmt w:val="decimal"/>
        <w:pStyle w:val="NTTFlushBullet6"/>
        <w:isLgl/>
        <w:lvlText w:val="%4.%5.%6"/>
        <w:lvlJc w:val="left"/>
        <w:pPr>
          <w:ind w:left="567" w:hanging="567"/>
        </w:pPr>
      </w:lvl>
    </w:lvlOverride>
    <w:lvlOverride w:ilvl="6">
      <w:lvl w:ilvl="6">
        <w:start w:val="1"/>
        <w:numFmt w:val="decimal"/>
        <w:pStyle w:val="NTTFlushBullet7"/>
        <w:lvlText w:val="%7."/>
        <w:lvlJc w:val="left"/>
        <w:pPr>
          <w:ind w:left="567" w:hanging="567"/>
        </w:pPr>
        <w:rPr>
          <w:rFonts w:hint="default"/>
          <w:color w:val="000000"/>
        </w:rPr>
      </w:lvl>
    </w:lvlOverride>
    <w:lvlOverride w:ilvl="7">
      <w:lvl w:ilvl="7">
        <w:start w:val="1"/>
        <w:numFmt w:val="lowerLetter"/>
        <w:pStyle w:val="NTTFlushBullet8"/>
        <w:lvlText w:val="%8."/>
        <w:lvlJc w:val="left"/>
        <w:pPr>
          <w:ind w:left="1134" w:hanging="567"/>
        </w:pPr>
        <w:rPr>
          <w:rFonts w:hint="default"/>
          <w:color w:val="000000"/>
        </w:rPr>
      </w:lvl>
    </w:lvlOverride>
    <w:lvlOverride w:ilvl="8">
      <w:lvl w:ilvl="8">
        <w:start w:val="1"/>
        <w:numFmt w:val="lowerRoman"/>
        <w:pStyle w:val="NTTFlushBullet9"/>
        <w:lvlText w:val="%9."/>
        <w:lvlJc w:val="left"/>
        <w:pPr>
          <w:ind w:left="1701" w:hanging="567"/>
        </w:pPr>
        <w:rPr>
          <w:rFonts w:hint="default"/>
          <w:color w:val="000000"/>
        </w:rPr>
      </w:lvl>
    </w:lvlOverride>
  </w:num>
  <w:num w:numId="15" w16cid:durableId="1685861503">
    <w:abstractNumId w:val="10"/>
  </w:num>
  <w:num w:numId="16" w16cid:durableId="913511098">
    <w:abstractNumId w:val="12"/>
  </w:num>
  <w:num w:numId="17" w16cid:durableId="689137048">
    <w:abstractNumId w:val="16"/>
  </w:num>
  <w:num w:numId="18" w16cid:durableId="89932287">
    <w:abstractNumId w:val="16"/>
    <w:lvlOverride w:ilvl="0">
      <w:lvl w:ilvl="0">
        <w:numFmt w:val="decimal"/>
        <w:lvlText w:val=""/>
        <w:lvlJc w:val="left"/>
      </w:lvl>
    </w:lvlOverride>
    <w:lvlOverride w:ilvl="1">
      <w:lvl w:ilvl="1">
        <w:start w:val="1"/>
        <w:numFmt w:val="bullet"/>
        <w:pStyle w:val="NTTTableBullet2"/>
        <w:lvlText w:val="○"/>
        <w:lvlJc w:val="left"/>
        <w:pPr>
          <w:tabs>
            <w:tab w:val="num" w:pos="567"/>
          </w:tabs>
          <w:ind w:left="567" w:hanging="283"/>
        </w:pPr>
      </w:lvl>
    </w:lvlOverride>
    <w:lvlOverride w:ilvl="2">
      <w:lvl w:ilvl="2">
        <w:start w:val="1"/>
        <w:numFmt w:val="bullet"/>
        <w:pStyle w:val="NTTTableBullet3"/>
        <w:lvlText w:val="-"/>
        <w:lvlJc w:val="left"/>
        <w:pPr>
          <w:tabs>
            <w:tab w:val="num" w:pos="851"/>
          </w:tabs>
          <w:ind w:left="851" w:hanging="284"/>
        </w:pPr>
      </w:lvl>
    </w:lvlOverride>
  </w:num>
  <w:num w:numId="19" w16cid:durableId="864438166">
    <w:abstractNumId w:val="2"/>
  </w:num>
  <w:num w:numId="20" w16cid:durableId="1573076371">
    <w:abstractNumId w:val="20"/>
  </w:num>
  <w:num w:numId="21" w16cid:durableId="527986321">
    <w:abstractNumId w:val="3"/>
  </w:num>
  <w:num w:numId="22" w16cid:durableId="1001859300">
    <w:abstractNumId w:val="0"/>
  </w:num>
  <w:num w:numId="23" w16cid:durableId="1250456801">
    <w:abstractNumId w:val="7"/>
  </w:num>
  <w:num w:numId="24" w16cid:durableId="12449959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2051722">
    <w:abstractNumId w:val="13"/>
  </w:num>
  <w:num w:numId="26" w16cid:durableId="846137730">
    <w:abstractNumId w:val="18"/>
  </w:num>
  <w:num w:numId="27" w16cid:durableId="277639401">
    <w:abstractNumId w:val="13"/>
    <w:lvlOverride w:ilvl="0">
      <w:lvl w:ilvl="0">
        <w:numFmt w:val="decimal"/>
        <w:lvlText w:val=""/>
        <w:lvlJc w:val="left"/>
      </w:lvl>
    </w:lvlOverride>
    <w:lvlOverride w:ilvl="1">
      <w:lvl w:ilvl="1">
        <w:start w:val="1"/>
        <w:numFmt w:val="bullet"/>
        <w:pStyle w:val="NTTBlueBoldBullet"/>
        <w:lvlText w:val="●"/>
        <w:lvlJc w:val="left"/>
        <w:pPr>
          <w:tabs>
            <w:tab w:val="num" w:pos="851"/>
          </w:tabs>
          <w:ind w:left="1134" w:hanging="283"/>
        </w:pPr>
      </w:lvl>
    </w:lvlOverride>
    <w:lvlOverride w:ilvl="2">
      <w:lvl w:ilvl="2">
        <w:start w:val="1"/>
        <w:numFmt w:val="bullet"/>
        <w:pStyle w:val="NTTBoldBullet"/>
        <w:lvlText w:val="●"/>
        <w:lvlJc w:val="left"/>
        <w:pPr>
          <w:tabs>
            <w:tab w:val="num" w:pos="851"/>
          </w:tabs>
          <w:ind w:left="1134" w:hanging="283"/>
        </w:pPr>
        <w:rPr>
          <w:rFonts w:ascii="Arial" w:hAnsi="Arial" w:hint="default"/>
          <w:color w:val="000000"/>
          <w:sz w:val="20"/>
        </w:rPr>
      </w:lvl>
    </w:lvlOverride>
    <w:lvlOverride w:ilvl="3">
      <w:lvl w:ilvl="3">
        <w:start w:val="1"/>
        <w:numFmt w:val="bullet"/>
        <w:pStyle w:val="NTTRedBoldBullet"/>
        <w:lvlText w:val="●"/>
        <w:lvlJc w:val="left"/>
        <w:pPr>
          <w:ind w:left="1134" w:hanging="283"/>
        </w:pPr>
      </w:lvl>
    </w:lvlOverride>
  </w:num>
  <w:num w:numId="28" w16cid:durableId="1579822831">
    <w:abstractNumId w:val="18"/>
    <w:lvlOverride w:ilvl="0">
      <w:lvl w:ilvl="0">
        <w:start w:val="1"/>
        <w:numFmt w:val="bullet"/>
        <w:pStyle w:val="GuidanceText3Bullet"/>
        <w:lvlText w:val="●"/>
        <w:lvlJc w:val="left"/>
        <w:pPr>
          <w:tabs>
            <w:tab w:val="num" w:pos="1418"/>
          </w:tabs>
          <w:ind w:left="1134" w:hanging="283"/>
        </w:pPr>
        <w:rPr>
          <w:rFonts w:ascii="Arial" w:hAnsi="Arial" w:hint="default"/>
          <w:color w:val="2E404D" w:themeColor="text1"/>
          <w:kern w:val="20"/>
          <w:sz w:val="20"/>
        </w:rPr>
      </w:lvl>
    </w:lvlOverride>
    <w:lvlOverride w:ilvl="1">
      <w:lvl w:ilvl="1">
        <w:start w:val="1"/>
        <w:numFmt w:val="decimal"/>
        <w:pStyle w:val="GuidanceText4List"/>
        <w:lvlText w:val="%2. "/>
        <w:lvlJc w:val="left"/>
        <w:pPr>
          <w:tabs>
            <w:tab w:val="num" w:pos="1418"/>
          </w:tabs>
          <w:ind w:left="1134" w:hanging="283"/>
        </w:pPr>
      </w:lvl>
    </w:lvlOverride>
    <w:lvlOverride w:ilvl="2">
      <w:lvl w:ilvl="2">
        <w:start w:val="1"/>
        <w:numFmt w:val="bullet"/>
        <w:pStyle w:val="NTTBlueNotedText3Bullet"/>
        <w:lvlText w:val="●"/>
        <w:lvlJc w:val="left"/>
        <w:pPr>
          <w:tabs>
            <w:tab w:val="num" w:pos="1418"/>
          </w:tabs>
          <w:ind w:left="1134" w:hanging="283"/>
        </w:pPr>
      </w:lvl>
    </w:lvlOverride>
    <w:lvlOverride w:ilvl="3">
      <w:lvl w:ilvl="3">
        <w:start w:val="1"/>
        <w:numFmt w:val="decimal"/>
        <w:pStyle w:val="NTTBlueNotedText4List"/>
        <w:lvlText w:val="%4."/>
        <w:lvlJc w:val="left"/>
        <w:pPr>
          <w:tabs>
            <w:tab w:val="num" w:pos="1418"/>
          </w:tabs>
          <w:ind w:left="1134" w:hanging="283"/>
        </w:pPr>
      </w:lvl>
    </w:lvlOverride>
  </w:num>
  <w:num w:numId="29" w16cid:durableId="1085684408">
    <w:abstractNumId w:val="1"/>
  </w:num>
  <w:num w:numId="30" w16cid:durableId="373694254">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20"/>
  <w:defaultTableStyle w:val="NTTFutureBlu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2B"/>
    <w:rsid w:val="00002326"/>
    <w:rsid w:val="00003961"/>
    <w:rsid w:val="00005B85"/>
    <w:rsid w:val="00007E75"/>
    <w:rsid w:val="000115AE"/>
    <w:rsid w:val="00015970"/>
    <w:rsid w:val="00017FEE"/>
    <w:rsid w:val="0002263F"/>
    <w:rsid w:val="0002407A"/>
    <w:rsid w:val="00024736"/>
    <w:rsid w:val="00024F12"/>
    <w:rsid w:val="000274F2"/>
    <w:rsid w:val="000323BE"/>
    <w:rsid w:val="00034CD3"/>
    <w:rsid w:val="00035DE0"/>
    <w:rsid w:val="00040430"/>
    <w:rsid w:val="0004099E"/>
    <w:rsid w:val="00041570"/>
    <w:rsid w:val="00041D81"/>
    <w:rsid w:val="0004242C"/>
    <w:rsid w:val="000427BE"/>
    <w:rsid w:val="00042F81"/>
    <w:rsid w:val="000433E6"/>
    <w:rsid w:val="00045EA2"/>
    <w:rsid w:val="000468DB"/>
    <w:rsid w:val="000517EA"/>
    <w:rsid w:val="000527C0"/>
    <w:rsid w:val="0005313C"/>
    <w:rsid w:val="00055607"/>
    <w:rsid w:val="0006047F"/>
    <w:rsid w:val="000609A4"/>
    <w:rsid w:val="0006107A"/>
    <w:rsid w:val="0006332B"/>
    <w:rsid w:val="00063492"/>
    <w:rsid w:val="00063F40"/>
    <w:rsid w:val="00065402"/>
    <w:rsid w:val="00065506"/>
    <w:rsid w:val="000665F4"/>
    <w:rsid w:val="000700D5"/>
    <w:rsid w:val="000737B3"/>
    <w:rsid w:val="000744E6"/>
    <w:rsid w:val="00074E27"/>
    <w:rsid w:val="00075B53"/>
    <w:rsid w:val="00077906"/>
    <w:rsid w:val="00077BDC"/>
    <w:rsid w:val="00080405"/>
    <w:rsid w:val="0008094F"/>
    <w:rsid w:val="00082E04"/>
    <w:rsid w:val="000838A6"/>
    <w:rsid w:val="000844A8"/>
    <w:rsid w:val="00084AD9"/>
    <w:rsid w:val="00087AB0"/>
    <w:rsid w:val="00087B72"/>
    <w:rsid w:val="00090CD0"/>
    <w:rsid w:val="00092FAB"/>
    <w:rsid w:val="00095E11"/>
    <w:rsid w:val="0009728F"/>
    <w:rsid w:val="00097EDC"/>
    <w:rsid w:val="000A40F9"/>
    <w:rsid w:val="000A62D3"/>
    <w:rsid w:val="000A6681"/>
    <w:rsid w:val="000A6B60"/>
    <w:rsid w:val="000B08B9"/>
    <w:rsid w:val="000B1D87"/>
    <w:rsid w:val="000B25ED"/>
    <w:rsid w:val="000B2C67"/>
    <w:rsid w:val="000C496F"/>
    <w:rsid w:val="000C4CE6"/>
    <w:rsid w:val="000C5455"/>
    <w:rsid w:val="000C717C"/>
    <w:rsid w:val="000D0A95"/>
    <w:rsid w:val="000D0D7C"/>
    <w:rsid w:val="000D1E19"/>
    <w:rsid w:val="000D1E53"/>
    <w:rsid w:val="000D39CF"/>
    <w:rsid w:val="000D3C6D"/>
    <w:rsid w:val="000D56E8"/>
    <w:rsid w:val="000D64A5"/>
    <w:rsid w:val="000E51D9"/>
    <w:rsid w:val="000E5BF0"/>
    <w:rsid w:val="000E79C2"/>
    <w:rsid w:val="000F26E1"/>
    <w:rsid w:val="000F2BF8"/>
    <w:rsid w:val="000F4E55"/>
    <w:rsid w:val="000F61DC"/>
    <w:rsid w:val="001029AB"/>
    <w:rsid w:val="00105F87"/>
    <w:rsid w:val="00110207"/>
    <w:rsid w:val="001120D8"/>
    <w:rsid w:val="001177DE"/>
    <w:rsid w:val="00121AA7"/>
    <w:rsid w:val="001277D9"/>
    <w:rsid w:val="00141644"/>
    <w:rsid w:val="0015224D"/>
    <w:rsid w:val="001528EA"/>
    <w:rsid w:val="00153009"/>
    <w:rsid w:val="0015524B"/>
    <w:rsid w:val="00163C9F"/>
    <w:rsid w:val="0016524F"/>
    <w:rsid w:val="00166225"/>
    <w:rsid w:val="00166358"/>
    <w:rsid w:val="00166A8F"/>
    <w:rsid w:val="00171FB4"/>
    <w:rsid w:val="00173802"/>
    <w:rsid w:val="00180372"/>
    <w:rsid w:val="001839DC"/>
    <w:rsid w:val="0019223B"/>
    <w:rsid w:val="0019364C"/>
    <w:rsid w:val="00193784"/>
    <w:rsid w:val="00196899"/>
    <w:rsid w:val="001B0B23"/>
    <w:rsid w:val="001B2526"/>
    <w:rsid w:val="001B2722"/>
    <w:rsid w:val="001B430F"/>
    <w:rsid w:val="001B4701"/>
    <w:rsid w:val="001B6B73"/>
    <w:rsid w:val="001B6FA1"/>
    <w:rsid w:val="001B7269"/>
    <w:rsid w:val="001B78DD"/>
    <w:rsid w:val="001C17FF"/>
    <w:rsid w:val="001C183B"/>
    <w:rsid w:val="001C5D50"/>
    <w:rsid w:val="001C6C3A"/>
    <w:rsid w:val="001C7579"/>
    <w:rsid w:val="001C7DE4"/>
    <w:rsid w:val="001D44F0"/>
    <w:rsid w:val="001D4C62"/>
    <w:rsid w:val="001D5785"/>
    <w:rsid w:val="001D6BFC"/>
    <w:rsid w:val="001E26B9"/>
    <w:rsid w:val="001E6B53"/>
    <w:rsid w:val="001E6B54"/>
    <w:rsid w:val="001F16B4"/>
    <w:rsid w:val="001F3950"/>
    <w:rsid w:val="001F5D40"/>
    <w:rsid w:val="00200761"/>
    <w:rsid w:val="00200851"/>
    <w:rsid w:val="00203E74"/>
    <w:rsid w:val="00204687"/>
    <w:rsid w:val="00206D5F"/>
    <w:rsid w:val="002073A5"/>
    <w:rsid w:val="00210CA2"/>
    <w:rsid w:val="0021493D"/>
    <w:rsid w:val="00220013"/>
    <w:rsid w:val="00220352"/>
    <w:rsid w:val="002245D3"/>
    <w:rsid w:val="00226768"/>
    <w:rsid w:val="002333B6"/>
    <w:rsid w:val="00233C77"/>
    <w:rsid w:val="00234E0F"/>
    <w:rsid w:val="002405C3"/>
    <w:rsid w:val="00241C99"/>
    <w:rsid w:val="00241D70"/>
    <w:rsid w:val="002474C0"/>
    <w:rsid w:val="00247515"/>
    <w:rsid w:val="00251212"/>
    <w:rsid w:val="002516BE"/>
    <w:rsid w:val="00252A11"/>
    <w:rsid w:val="002566F1"/>
    <w:rsid w:val="00257804"/>
    <w:rsid w:val="002601CE"/>
    <w:rsid w:val="00261F41"/>
    <w:rsid w:val="00263F18"/>
    <w:rsid w:val="00264A0B"/>
    <w:rsid w:val="00273C5F"/>
    <w:rsid w:val="00276838"/>
    <w:rsid w:val="00276902"/>
    <w:rsid w:val="002818CC"/>
    <w:rsid w:val="002833B9"/>
    <w:rsid w:val="00286EE7"/>
    <w:rsid w:val="0029164D"/>
    <w:rsid w:val="002921D0"/>
    <w:rsid w:val="002951FF"/>
    <w:rsid w:val="0029524F"/>
    <w:rsid w:val="002A1E58"/>
    <w:rsid w:val="002A3108"/>
    <w:rsid w:val="002A44F0"/>
    <w:rsid w:val="002A53CD"/>
    <w:rsid w:val="002B2736"/>
    <w:rsid w:val="002B2E8E"/>
    <w:rsid w:val="002B41C2"/>
    <w:rsid w:val="002C14FA"/>
    <w:rsid w:val="002D4950"/>
    <w:rsid w:val="002D5C94"/>
    <w:rsid w:val="002E0609"/>
    <w:rsid w:val="002E0FC8"/>
    <w:rsid w:val="002E5F86"/>
    <w:rsid w:val="002E6DF2"/>
    <w:rsid w:val="002E7929"/>
    <w:rsid w:val="002F04C0"/>
    <w:rsid w:val="002F0C0F"/>
    <w:rsid w:val="002F4C80"/>
    <w:rsid w:val="002F63B9"/>
    <w:rsid w:val="002F6FAB"/>
    <w:rsid w:val="002F7A25"/>
    <w:rsid w:val="00300C38"/>
    <w:rsid w:val="00303899"/>
    <w:rsid w:val="00304762"/>
    <w:rsid w:val="0030602F"/>
    <w:rsid w:val="00311DB1"/>
    <w:rsid w:val="00313222"/>
    <w:rsid w:val="0031324D"/>
    <w:rsid w:val="003144A7"/>
    <w:rsid w:val="00314CC2"/>
    <w:rsid w:val="00317EB1"/>
    <w:rsid w:val="00322BA7"/>
    <w:rsid w:val="003240E1"/>
    <w:rsid w:val="00325166"/>
    <w:rsid w:val="00325782"/>
    <w:rsid w:val="00325B43"/>
    <w:rsid w:val="0032700D"/>
    <w:rsid w:val="00327041"/>
    <w:rsid w:val="0033601E"/>
    <w:rsid w:val="003364A4"/>
    <w:rsid w:val="003402D3"/>
    <w:rsid w:val="00342C6F"/>
    <w:rsid w:val="0034463E"/>
    <w:rsid w:val="00352134"/>
    <w:rsid w:val="003528AD"/>
    <w:rsid w:val="00353C88"/>
    <w:rsid w:val="0035680A"/>
    <w:rsid w:val="003573A5"/>
    <w:rsid w:val="00357C5C"/>
    <w:rsid w:val="00360B00"/>
    <w:rsid w:val="00362133"/>
    <w:rsid w:val="00364873"/>
    <w:rsid w:val="003768F0"/>
    <w:rsid w:val="00377A34"/>
    <w:rsid w:val="00380132"/>
    <w:rsid w:val="00382304"/>
    <w:rsid w:val="0038518B"/>
    <w:rsid w:val="00390681"/>
    <w:rsid w:val="00392431"/>
    <w:rsid w:val="00392A9A"/>
    <w:rsid w:val="00394D3B"/>
    <w:rsid w:val="003A4083"/>
    <w:rsid w:val="003A672B"/>
    <w:rsid w:val="003A6929"/>
    <w:rsid w:val="003B0323"/>
    <w:rsid w:val="003B189A"/>
    <w:rsid w:val="003B60E3"/>
    <w:rsid w:val="003B6C7A"/>
    <w:rsid w:val="003B751A"/>
    <w:rsid w:val="003C2784"/>
    <w:rsid w:val="003C5FC5"/>
    <w:rsid w:val="003C7AD3"/>
    <w:rsid w:val="003D071A"/>
    <w:rsid w:val="003D12EC"/>
    <w:rsid w:val="003D3A54"/>
    <w:rsid w:val="003D4072"/>
    <w:rsid w:val="003D475D"/>
    <w:rsid w:val="003D63E9"/>
    <w:rsid w:val="003E0376"/>
    <w:rsid w:val="003E0A16"/>
    <w:rsid w:val="003E17A8"/>
    <w:rsid w:val="003E307D"/>
    <w:rsid w:val="003E3C2F"/>
    <w:rsid w:val="003E488D"/>
    <w:rsid w:val="003E4F03"/>
    <w:rsid w:val="003E5EAC"/>
    <w:rsid w:val="003F0900"/>
    <w:rsid w:val="004004D9"/>
    <w:rsid w:val="00403817"/>
    <w:rsid w:val="00403854"/>
    <w:rsid w:val="00403E3F"/>
    <w:rsid w:val="0040405A"/>
    <w:rsid w:val="004053F9"/>
    <w:rsid w:val="00407F62"/>
    <w:rsid w:val="004102DE"/>
    <w:rsid w:val="0041140F"/>
    <w:rsid w:val="004125F9"/>
    <w:rsid w:val="00412CB2"/>
    <w:rsid w:val="00413A77"/>
    <w:rsid w:val="00414E8F"/>
    <w:rsid w:val="00414E9F"/>
    <w:rsid w:val="004177A0"/>
    <w:rsid w:val="00420B06"/>
    <w:rsid w:val="004214D7"/>
    <w:rsid w:val="0042322D"/>
    <w:rsid w:val="00424D85"/>
    <w:rsid w:val="004253DD"/>
    <w:rsid w:val="00426C37"/>
    <w:rsid w:val="00427C4B"/>
    <w:rsid w:val="00430BB1"/>
    <w:rsid w:val="004312B5"/>
    <w:rsid w:val="00431624"/>
    <w:rsid w:val="00432C25"/>
    <w:rsid w:val="0043434E"/>
    <w:rsid w:val="00435CAE"/>
    <w:rsid w:val="00437584"/>
    <w:rsid w:val="0044104B"/>
    <w:rsid w:val="00443962"/>
    <w:rsid w:val="004548BF"/>
    <w:rsid w:val="004554EA"/>
    <w:rsid w:val="00461322"/>
    <w:rsid w:val="00462F14"/>
    <w:rsid w:val="004703D8"/>
    <w:rsid w:val="00470BDF"/>
    <w:rsid w:val="00472877"/>
    <w:rsid w:val="004737B4"/>
    <w:rsid w:val="00474489"/>
    <w:rsid w:val="004777A3"/>
    <w:rsid w:val="00480584"/>
    <w:rsid w:val="00483398"/>
    <w:rsid w:val="0048541E"/>
    <w:rsid w:val="00485F27"/>
    <w:rsid w:val="00486632"/>
    <w:rsid w:val="0048700B"/>
    <w:rsid w:val="0049045D"/>
    <w:rsid w:val="004905CA"/>
    <w:rsid w:val="00490E0D"/>
    <w:rsid w:val="00490E94"/>
    <w:rsid w:val="0049383B"/>
    <w:rsid w:val="00493EA0"/>
    <w:rsid w:val="00496202"/>
    <w:rsid w:val="0049741E"/>
    <w:rsid w:val="004A2853"/>
    <w:rsid w:val="004A331C"/>
    <w:rsid w:val="004A3327"/>
    <w:rsid w:val="004A41AB"/>
    <w:rsid w:val="004A5653"/>
    <w:rsid w:val="004B277B"/>
    <w:rsid w:val="004B3EB1"/>
    <w:rsid w:val="004B53D9"/>
    <w:rsid w:val="004B7585"/>
    <w:rsid w:val="004C2406"/>
    <w:rsid w:val="004C51F1"/>
    <w:rsid w:val="004C6CA4"/>
    <w:rsid w:val="004D35A5"/>
    <w:rsid w:val="004D6BFC"/>
    <w:rsid w:val="004D7011"/>
    <w:rsid w:val="004E08F3"/>
    <w:rsid w:val="004E0A87"/>
    <w:rsid w:val="004E11FE"/>
    <w:rsid w:val="004E3244"/>
    <w:rsid w:val="004F499A"/>
    <w:rsid w:val="004F6B57"/>
    <w:rsid w:val="004F71FC"/>
    <w:rsid w:val="00500E20"/>
    <w:rsid w:val="00507AF6"/>
    <w:rsid w:val="005118B0"/>
    <w:rsid w:val="005127EF"/>
    <w:rsid w:val="0051300F"/>
    <w:rsid w:val="00514BCF"/>
    <w:rsid w:val="00520C6D"/>
    <w:rsid w:val="00522EE4"/>
    <w:rsid w:val="00522EF9"/>
    <w:rsid w:val="00523382"/>
    <w:rsid w:val="00524470"/>
    <w:rsid w:val="0052453E"/>
    <w:rsid w:val="00524F9E"/>
    <w:rsid w:val="00526F58"/>
    <w:rsid w:val="005315DC"/>
    <w:rsid w:val="00531B76"/>
    <w:rsid w:val="00532EB3"/>
    <w:rsid w:val="005339F1"/>
    <w:rsid w:val="00534DF6"/>
    <w:rsid w:val="005353E9"/>
    <w:rsid w:val="00535D4E"/>
    <w:rsid w:val="00537703"/>
    <w:rsid w:val="00543BD3"/>
    <w:rsid w:val="00546641"/>
    <w:rsid w:val="005475C3"/>
    <w:rsid w:val="005506C3"/>
    <w:rsid w:val="0055448E"/>
    <w:rsid w:val="00560771"/>
    <w:rsid w:val="00561FB3"/>
    <w:rsid w:val="0056321F"/>
    <w:rsid w:val="00565C58"/>
    <w:rsid w:val="00567026"/>
    <w:rsid w:val="005675A2"/>
    <w:rsid w:val="0057139C"/>
    <w:rsid w:val="00573BFC"/>
    <w:rsid w:val="00583426"/>
    <w:rsid w:val="0058376E"/>
    <w:rsid w:val="005873BA"/>
    <w:rsid w:val="00587448"/>
    <w:rsid w:val="0059200F"/>
    <w:rsid w:val="0059307A"/>
    <w:rsid w:val="00594A58"/>
    <w:rsid w:val="005969B0"/>
    <w:rsid w:val="00597312"/>
    <w:rsid w:val="005A01F7"/>
    <w:rsid w:val="005A39EB"/>
    <w:rsid w:val="005A4D21"/>
    <w:rsid w:val="005A6B61"/>
    <w:rsid w:val="005A7749"/>
    <w:rsid w:val="005A7F6B"/>
    <w:rsid w:val="005B0B72"/>
    <w:rsid w:val="005B131E"/>
    <w:rsid w:val="005B3B1D"/>
    <w:rsid w:val="005B3CAF"/>
    <w:rsid w:val="005B4662"/>
    <w:rsid w:val="005B4891"/>
    <w:rsid w:val="005B7EFE"/>
    <w:rsid w:val="005C21AB"/>
    <w:rsid w:val="005C231A"/>
    <w:rsid w:val="005C44CC"/>
    <w:rsid w:val="005C4D0B"/>
    <w:rsid w:val="005C4DCB"/>
    <w:rsid w:val="005D025B"/>
    <w:rsid w:val="005D096C"/>
    <w:rsid w:val="005D315C"/>
    <w:rsid w:val="005D6334"/>
    <w:rsid w:val="005D7DA1"/>
    <w:rsid w:val="005E1C68"/>
    <w:rsid w:val="005E5458"/>
    <w:rsid w:val="005F1C66"/>
    <w:rsid w:val="005F40FB"/>
    <w:rsid w:val="005F7B55"/>
    <w:rsid w:val="00600C59"/>
    <w:rsid w:val="0060194C"/>
    <w:rsid w:val="00604832"/>
    <w:rsid w:val="00611FF2"/>
    <w:rsid w:val="006126B0"/>
    <w:rsid w:val="00614FC5"/>
    <w:rsid w:val="00616D5D"/>
    <w:rsid w:val="0062106E"/>
    <w:rsid w:val="00622A39"/>
    <w:rsid w:val="00623527"/>
    <w:rsid w:val="006252EF"/>
    <w:rsid w:val="00625ABF"/>
    <w:rsid w:val="00627B2B"/>
    <w:rsid w:val="00627CC5"/>
    <w:rsid w:val="00631CB0"/>
    <w:rsid w:val="00632966"/>
    <w:rsid w:val="0063383A"/>
    <w:rsid w:val="00643C09"/>
    <w:rsid w:val="006475BC"/>
    <w:rsid w:val="00651D61"/>
    <w:rsid w:val="00654E18"/>
    <w:rsid w:val="0065542B"/>
    <w:rsid w:val="006569FC"/>
    <w:rsid w:val="0065762F"/>
    <w:rsid w:val="00661DB9"/>
    <w:rsid w:val="00663BF4"/>
    <w:rsid w:val="00665B34"/>
    <w:rsid w:val="00665D0B"/>
    <w:rsid w:val="00670FAA"/>
    <w:rsid w:val="00672251"/>
    <w:rsid w:val="00673906"/>
    <w:rsid w:val="006743CB"/>
    <w:rsid w:val="00676140"/>
    <w:rsid w:val="006818A3"/>
    <w:rsid w:val="00684474"/>
    <w:rsid w:val="00684BE6"/>
    <w:rsid w:val="00690222"/>
    <w:rsid w:val="00690285"/>
    <w:rsid w:val="0069242B"/>
    <w:rsid w:val="006947F9"/>
    <w:rsid w:val="00697579"/>
    <w:rsid w:val="006A1E0B"/>
    <w:rsid w:val="006A31D2"/>
    <w:rsid w:val="006A44C8"/>
    <w:rsid w:val="006B0F6B"/>
    <w:rsid w:val="006B7921"/>
    <w:rsid w:val="006C0EED"/>
    <w:rsid w:val="006C165B"/>
    <w:rsid w:val="006C232E"/>
    <w:rsid w:val="006C2ECB"/>
    <w:rsid w:val="006C3AA2"/>
    <w:rsid w:val="006C3D98"/>
    <w:rsid w:val="006C3ED2"/>
    <w:rsid w:val="006C4B36"/>
    <w:rsid w:val="006C5617"/>
    <w:rsid w:val="006C620E"/>
    <w:rsid w:val="006D04E8"/>
    <w:rsid w:val="006D2218"/>
    <w:rsid w:val="006D4CB0"/>
    <w:rsid w:val="006E0B02"/>
    <w:rsid w:val="006E1223"/>
    <w:rsid w:val="006E1606"/>
    <w:rsid w:val="006E2644"/>
    <w:rsid w:val="006F3B68"/>
    <w:rsid w:val="006F4F2D"/>
    <w:rsid w:val="006F66C6"/>
    <w:rsid w:val="006F66E8"/>
    <w:rsid w:val="006F7A72"/>
    <w:rsid w:val="0070045C"/>
    <w:rsid w:val="00702A7E"/>
    <w:rsid w:val="00704A52"/>
    <w:rsid w:val="00705AEC"/>
    <w:rsid w:val="00706758"/>
    <w:rsid w:val="00707C1C"/>
    <w:rsid w:val="00707C74"/>
    <w:rsid w:val="007102CA"/>
    <w:rsid w:val="00715E84"/>
    <w:rsid w:val="00721DCE"/>
    <w:rsid w:val="00723D3D"/>
    <w:rsid w:val="0072402E"/>
    <w:rsid w:val="00727CF4"/>
    <w:rsid w:val="00730865"/>
    <w:rsid w:val="007318BA"/>
    <w:rsid w:val="007354F3"/>
    <w:rsid w:val="0073692F"/>
    <w:rsid w:val="00742376"/>
    <w:rsid w:val="00744F63"/>
    <w:rsid w:val="00746BE1"/>
    <w:rsid w:val="0074771F"/>
    <w:rsid w:val="007524CE"/>
    <w:rsid w:val="00755038"/>
    <w:rsid w:val="0075623F"/>
    <w:rsid w:val="007568C6"/>
    <w:rsid w:val="00761414"/>
    <w:rsid w:val="0076141E"/>
    <w:rsid w:val="00762711"/>
    <w:rsid w:val="0076399C"/>
    <w:rsid w:val="00764200"/>
    <w:rsid w:val="007645CA"/>
    <w:rsid w:val="00765C83"/>
    <w:rsid w:val="0076790C"/>
    <w:rsid w:val="00767AAD"/>
    <w:rsid w:val="00767F75"/>
    <w:rsid w:val="0077073C"/>
    <w:rsid w:val="00773B76"/>
    <w:rsid w:val="0077563F"/>
    <w:rsid w:val="00776C52"/>
    <w:rsid w:val="007775EE"/>
    <w:rsid w:val="0078116D"/>
    <w:rsid w:val="00781AF4"/>
    <w:rsid w:val="00781DD5"/>
    <w:rsid w:val="00781F5F"/>
    <w:rsid w:val="007836BA"/>
    <w:rsid w:val="007852AB"/>
    <w:rsid w:val="00786EEE"/>
    <w:rsid w:val="00787083"/>
    <w:rsid w:val="007919B8"/>
    <w:rsid w:val="00793C20"/>
    <w:rsid w:val="00795560"/>
    <w:rsid w:val="007A1A1C"/>
    <w:rsid w:val="007A3A85"/>
    <w:rsid w:val="007A5A9D"/>
    <w:rsid w:val="007B0476"/>
    <w:rsid w:val="007B12CA"/>
    <w:rsid w:val="007B1435"/>
    <w:rsid w:val="007B32F8"/>
    <w:rsid w:val="007B37AB"/>
    <w:rsid w:val="007B69B1"/>
    <w:rsid w:val="007B6B17"/>
    <w:rsid w:val="007B7428"/>
    <w:rsid w:val="007C09A5"/>
    <w:rsid w:val="007C26AD"/>
    <w:rsid w:val="007C39FA"/>
    <w:rsid w:val="007C6EA0"/>
    <w:rsid w:val="007D2D21"/>
    <w:rsid w:val="007D3224"/>
    <w:rsid w:val="007D3CAB"/>
    <w:rsid w:val="007D4B16"/>
    <w:rsid w:val="007D4D3B"/>
    <w:rsid w:val="007D511D"/>
    <w:rsid w:val="007D62E6"/>
    <w:rsid w:val="007E2F2C"/>
    <w:rsid w:val="007E519A"/>
    <w:rsid w:val="007E5DDB"/>
    <w:rsid w:val="007E66F4"/>
    <w:rsid w:val="007E6721"/>
    <w:rsid w:val="007F1DAB"/>
    <w:rsid w:val="007F2A36"/>
    <w:rsid w:val="007F3427"/>
    <w:rsid w:val="007F37BC"/>
    <w:rsid w:val="007F4799"/>
    <w:rsid w:val="00801758"/>
    <w:rsid w:val="00803A20"/>
    <w:rsid w:val="00806B27"/>
    <w:rsid w:val="008076C4"/>
    <w:rsid w:val="00812AF6"/>
    <w:rsid w:val="00816432"/>
    <w:rsid w:val="00817385"/>
    <w:rsid w:val="00821393"/>
    <w:rsid w:val="00824EC5"/>
    <w:rsid w:val="00826544"/>
    <w:rsid w:val="0083153F"/>
    <w:rsid w:val="00831DCF"/>
    <w:rsid w:val="00831FD5"/>
    <w:rsid w:val="0083260D"/>
    <w:rsid w:val="008334EC"/>
    <w:rsid w:val="00833F02"/>
    <w:rsid w:val="00837BA6"/>
    <w:rsid w:val="00841293"/>
    <w:rsid w:val="00841AFF"/>
    <w:rsid w:val="00844AFC"/>
    <w:rsid w:val="00850EDB"/>
    <w:rsid w:val="0085122C"/>
    <w:rsid w:val="00851754"/>
    <w:rsid w:val="008549F7"/>
    <w:rsid w:val="0086473A"/>
    <w:rsid w:val="008649DB"/>
    <w:rsid w:val="00867274"/>
    <w:rsid w:val="008720A6"/>
    <w:rsid w:val="0087425A"/>
    <w:rsid w:val="0087580E"/>
    <w:rsid w:val="00875973"/>
    <w:rsid w:val="0088012B"/>
    <w:rsid w:val="0088676D"/>
    <w:rsid w:val="008867F4"/>
    <w:rsid w:val="008870B1"/>
    <w:rsid w:val="008903BE"/>
    <w:rsid w:val="008926C3"/>
    <w:rsid w:val="00892C6B"/>
    <w:rsid w:val="00893996"/>
    <w:rsid w:val="008939C6"/>
    <w:rsid w:val="008939F8"/>
    <w:rsid w:val="00894FC9"/>
    <w:rsid w:val="0089768F"/>
    <w:rsid w:val="008A1196"/>
    <w:rsid w:val="008A1213"/>
    <w:rsid w:val="008A1C37"/>
    <w:rsid w:val="008A7C7F"/>
    <w:rsid w:val="008B02C6"/>
    <w:rsid w:val="008B09D3"/>
    <w:rsid w:val="008B6C77"/>
    <w:rsid w:val="008B6D34"/>
    <w:rsid w:val="008B7D3E"/>
    <w:rsid w:val="008C0602"/>
    <w:rsid w:val="008C0F05"/>
    <w:rsid w:val="008C1208"/>
    <w:rsid w:val="008C3F17"/>
    <w:rsid w:val="008C7ADC"/>
    <w:rsid w:val="008D0146"/>
    <w:rsid w:val="008D1492"/>
    <w:rsid w:val="008D191F"/>
    <w:rsid w:val="008D2AA9"/>
    <w:rsid w:val="008D2C0F"/>
    <w:rsid w:val="008D311C"/>
    <w:rsid w:val="008D7768"/>
    <w:rsid w:val="008D783B"/>
    <w:rsid w:val="008D7880"/>
    <w:rsid w:val="008E069D"/>
    <w:rsid w:val="008F1DF2"/>
    <w:rsid w:val="008F269D"/>
    <w:rsid w:val="008F4C7B"/>
    <w:rsid w:val="009005C9"/>
    <w:rsid w:val="00905D8A"/>
    <w:rsid w:val="00905DC4"/>
    <w:rsid w:val="00911702"/>
    <w:rsid w:val="009168DE"/>
    <w:rsid w:val="009249ED"/>
    <w:rsid w:val="00924ED3"/>
    <w:rsid w:val="0092589C"/>
    <w:rsid w:val="00926311"/>
    <w:rsid w:val="00926A31"/>
    <w:rsid w:val="00931AE0"/>
    <w:rsid w:val="0093724C"/>
    <w:rsid w:val="00937670"/>
    <w:rsid w:val="0094215A"/>
    <w:rsid w:val="0094360D"/>
    <w:rsid w:val="00944D57"/>
    <w:rsid w:val="00952235"/>
    <w:rsid w:val="009546E8"/>
    <w:rsid w:val="009560A1"/>
    <w:rsid w:val="0096516C"/>
    <w:rsid w:val="00972F90"/>
    <w:rsid w:val="00973883"/>
    <w:rsid w:val="00980C67"/>
    <w:rsid w:val="00980DF9"/>
    <w:rsid w:val="00983C7D"/>
    <w:rsid w:val="00984AF2"/>
    <w:rsid w:val="00987A48"/>
    <w:rsid w:val="009917C6"/>
    <w:rsid w:val="00992C24"/>
    <w:rsid w:val="00997F3C"/>
    <w:rsid w:val="009A1D0F"/>
    <w:rsid w:val="009A6A2B"/>
    <w:rsid w:val="009A76B5"/>
    <w:rsid w:val="009B01ED"/>
    <w:rsid w:val="009B596B"/>
    <w:rsid w:val="009B5D63"/>
    <w:rsid w:val="009B65FD"/>
    <w:rsid w:val="009B6799"/>
    <w:rsid w:val="009B7770"/>
    <w:rsid w:val="009C2478"/>
    <w:rsid w:val="009C31AA"/>
    <w:rsid w:val="009C5837"/>
    <w:rsid w:val="009D180C"/>
    <w:rsid w:val="009D3BEB"/>
    <w:rsid w:val="009D63FA"/>
    <w:rsid w:val="009D6471"/>
    <w:rsid w:val="009D6CFA"/>
    <w:rsid w:val="009D726B"/>
    <w:rsid w:val="009E02A4"/>
    <w:rsid w:val="009E11B7"/>
    <w:rsid w:val="009E644E"/>
    <w:rsid w:val="009E6816"/>
    <w:rsid w:val="009E7140"/>
    <w:rsid w:val="009F1A55"/>
    <w:rsid w:val="009F2C23"/>
    <w:rsid w:val="009F2EBA"/>
    <w:rsid w:val="009F42E7"/>
    <w:rsid w:val="00A01ABF"/>
    <w:rsid w:val="00A03D0B"/>
    <w:rsid w:val="00A05091"/>
    <w:rsid w:val="00A05B16"/>
    <w:rsid w:val="00A05B62"/>
    <w:rsid w:val="00A074C9"/>
    <w:rsid w:val="00A10493"/>
    <w:rsid w:val="00A1413C"/>
    <w:rsid w:val="00A1508A"/>
    <w:rsid w:val="00A16D71"/>
    <w:rsid w:val="00A24E3D"/>
    <w:rsid w:val="00A30BA2"/>
    <w:rsid w:val="00A33259"/>
    <w:rsid w:val="00A353F5"/>
    <w:rsid w:val="00A40FAF"/>
    <w:rsid w:val="00A4325A"/>
    <w:rsid w:val="00A43A63"/>
    <w:rsid w:val="00A43CFD"/>
    <w:rsid w:val="00A515C0"/>
    <w:rsid w:val="00A52D05"/>
    <w:rsid w:val="00A56E7C"/>
    <w:rsid w:val="00A5776E"/>
    <w:rsid w:val="00A61308"/>
    <w:rsid w:val="00A6142F"/>
    <w:rsid w:val="00A6293B"/>
    <w:rsid w:val="00A63F82"/>
    <w:rsid w:val="00A6405E"/>
    <w:rsid w:val="00A64A80"/>
    <w:rsid w:val="00A651FB"/>
    <w:rsid w:val="00A701B2"/>
    <w:rsid w:val="00A70B50"/>
    <w:rsid w:val="00A70C82"/>
    <w:rsid w:val="00A70D9D"/>
    <w:rsid w:val="00A712C9"/>
    <w:rsid w:val="00A71A02"/>
    <w:rsid w:val="00A7631D"/>
    <w:rsid w:val="00A8049D"/>
    <w:rsid w:val="00A829C9"/>
    <w:rsid w:val="00A8512B"/>
    <w:rsid w:val="00A97E47"/>
    <w:rsid w:val="00A97E95"/>
    <w:rsid w:val="00AA1FEA"/>
    <w:rsid w:val="00AA3647"/>
    <w:rsid w:val="00AA550C"/>
    <w:rsid w:val="00AB27FF"/>
    <w:rsid w:val="00AB3080"/>
    <w:rsid w:val="00AB30BF"/>
    <w:rsid w:val="00AB5773"/>
    <w:rsid w:val="00AB7488"/>
    <w:rsid w:val="00AC0AD2"/>
    <w:rsid w:val="00AC0EAA"/>
    <w:rsid w:val="00AC1745"/>
    <w:rsid w:val="00AC2178"/>
    <w:rsid w:val="00AC3043"/>
    <w:rsid w:val="00AC6372"/>
    <w:rsid w:val="00AC70D0"/>
    <w:rsid w:val="00AD2A52"/>
    <w:rsid w:val="00AD2E63"/>
    <w:rsid w:val="00AD303E"/>
    <w:rsid w:val="00AE42AC"/>
    <w:rsid w:val="00AE516C"/>
    <w:rsid w:val="00AE5238"/>
    <w:rsid w:val="00AF011C"/>
    <w:rsid w:val="00AF14D5"/>
    <w:rsid w:val="00AF2C9F"/>
    <w:rsid w:val="00AF484A"/>
    <w:rsid w:val="00AF5443"/>
    <w:rsid w:val="00AF7886"/>
    <w:rsid w:val="00B00A12"/>
    <w:rsid w:val="00B03B5B"/>
    <w:rsid w:val="00B10354"/>
    <w:rsid w:val="00B119C3"/>
    <w:rsid w:val="00B12723"/>
    <w:rsid w:val="00B13BF6"/>
    <w:rsid w:val="00B15298"/>
    <w:rsid w:val="00B23563"/>
    <w:rsid w:val="00B24EB4"/>
    <w:rsid w:val="00B25268"/>
    <w:rsid w:val="00B25277"/>
    <w:rsid w:val="00B25E2C"/>
    <w:rsid w:val="00B311DE"/>
    <w:rsid w:val="00B3236F"/>
    <w:rsid w:val="00B343F4"/>
    <w:rsid w:val="00B347D7"/>
    <w:rsid w:val="00B35478"/>
    <w:rsid w:val="00B35A8D"/>
    <w:rsid w:val="00B35E95"/>
    <w:rsid w:val="00B376C2"/>
    <w:rsid w:val="00B449AE"/>
    <w:rsid w:val="00B50DCB"/>
    <w:rsid w:val="00B52EA2"/>
    <w:rsid w:val="00B5469B"/>
    <w:rsid w:val="00B5609C"/>
    <w:rsid w:val="00B56470"/>
    <w:rsid w:val="00B5720D"/>
    <w:rsid w:val="00B602A4"/>
    <w:rsid w:val="00B6483A"/>
    <w:rsid w:val="00B70ED1"/>
    <w:rsid w:val="00B72F23"/>
    <w:rsid w:val="00B745F5"/>
    <w:rsid w:val="00B76B09"/>
    <w:rsid w:val="00B815E9"/>
    <w:rsid w:val="00B84ED5"/>
    <w:rsid w:val="00B86F31"/>
    <w:rsid w:val="00B91768"/>
    <w:rsid w:val="00B92C79"/>
    <w:rsid w:val="00B94AAE"/>
    <w:rsid w:val="00B94F5E"/>
    <w:rsid w:val="00B95A08"/>
    <w:rsid w:val="00BA0E50"/>
    <w:rsid w:val="00BA3006"/>
    <w:rsid w:val="00BA3208"/>
    <w:rsid w:val="00BA43E5"/>
    <w:rsid w:val="00BA5274"/>
    <w:rsid w:val="00BA6F96"/>
    <w:rsid w:val="00BA7C14"/>
    <w:rsid w:val="00BB193C"/>
    <w:rsid w:val="00BB5C58"/>
    <w:rsid w:val="00BB7E20"/>
    <w:rsid w:val="00BC0C5C"/>
    <w:rsid w:val="00BC0D82"/>
    <w:rsid w:val="00BC4F9D"/>
    <w:rsid w:val="00BD1AF3"/>
    <w:rsid w:val="00BD1D2C"/>
    <w:rsid w:val="00BD280A"/>
    <w:rsid w:val="00BE203E"/>
    <w:rsid w:val="00BE551C"/>
    <w:rsid w:val="00BF2B9F"/>
    <w:rsid w:val="00BF7B63"/>
    <w:rsid w:val="00C0053E"/>
    <w:rsid w:val="00C02524"/>
    <w:rsid w:val="00C04D54"/>
    <w:rsid w:val="00C0573C"/>
    <w:rsid w:val="00C05861"/>
    <w:rsid w:val="00C06595"/>
    <w:rsid w:val="00C12906"/>
    <w:rsid w:val="00C13FB1"/>
    <w:rsid w:val="00C14A14"/>
    <w:rsid w:val="00C16405"/>
    <w:rsid w:val="00C24255"/>
    <w:rsid w:val="00C24781"/>
    <w:rsid w:val="00C25C27"/>
    <w:rsid w:val="00C31F31"/>
    <w:rsid w:val="00C33FA2"/>
    <w:rsid w:val="00C361DA"/>
    <w:rsid w:val="00C36BC8"/>
    <w:rsid w:val="00C40984"/>
    <w:rsid w:val="00C41441"/>
    <w:rsid w:val="00C41CE0"/>
    <w:rsid w:val="00C429B7"/>
    <w:rsid w:val="00C4365F"/>
    <w:rsid w:val="00C44633"/>
    <w:rsid w:val="00C50729"/>
    <w:rsid w:val="00C5101C"/>
    <w:rsid w:val="00C529A7"/>
    <w:rsid w:val="00C5744F"/>
    <w:rsid w:val="00C57CAF"/>
    <w:rsid w:val="00C60EF9"/>
    <w:rsid w:val="00C62042"/>
    <w:rsid w:val="00C66E7A"/>
    <w:rsid w:val="00C7363A"/>
    <w:rsid w:val="00C762A2"/>
    <w:rsid w:val="00C77381"/>
    <w:rsid w:val="00C81CD6"/>
    <w:rsid w:val="00C86A87"/>
    <w:rsid w:val="00C86DC8"/>
    <w:rsid w:val="00C86DF6"/>
    <w:rsid w:val="00C8788E"/>
    <w:rsid w:val="00C93F0A"/>
    <w:rsid w:val="00C94697"/>
    <w:rsid w:val="00C9739E"/>
    <w:rsid w:val="00CA3E79"/>
    <w:rsid w:val="00CA4070"/>
    <w:rsid w:val="00CA50A0"/>
    <w:rsid w:val="00CA5EDD"/>
    <w:rsid w:val="00CA6621"/>
    <w:rsid w:val="00CB0E0D"/>
    <w:rsid w:val="00CB284F"/>
    <w:rsid w:val="00CB3BFD"/>
    <w:rsid w:val="00CB44E6"/>
    <w:rsid w:val="00CB581E"/>
    <w:rsid w:val="00CB71FE"/>
    <w:rsid w:val="00CB78DF"/>
    <w:rsid w:val="00CC349E"/>
    <w:rsid w:val="00CC6757"/>
    <w:rsid w:val="00CD049D"/>
    <w:rsid w:val="00CD0525"/>
    <w:rsid w:val="00CD3667"/>
    <w:rsid w:val="00CE58AB"/>
    <w:rsid w:val="00CE5D04"/>
    <w:rsid w:val="00CF21B3"/>
    <w:rsid w:val="00CF4756"/>
    <w:rsid w:val="00CF79A0"/>
    <w:rsid w:val="00D03EB2"/>
    <w:rsid w:val="00D05F77"/>
    <w:rsid w:val="00D0681E"/>
    <w:rsid w:val="00D07882"/>
    <w:rsid w:val="00D13EDA"/>
    <w:rsid w:val="00D24630"/>
    <w:rsid w:val="00D31309"/>
    <w:rsid w:val="00D32A2F"/>
    <w:rsid w:val="00D34194"/>
    <w:rsid w:val="00D36943"/>
    <w:rsid w:val="00D419B9"/>
    <w:rsid w:val="00D47E8A"/>
    <w:rsid w:val="00D500EA"/>
    <w:rsid w:val="00D5114D"/>
    <w:rsid w:val="00D511DB"/>
    <w:rsid w:val="00D51BD6"/>
    <w:rsid w:val="00D62467"/>
    <w:rsid w:val="00D63759"/>
    <w:rsid w:val="00D64354"/>
    <w:rsid w:val="00D70A42"/>
    <w:rsid w:val="00D75846"/>
    <w:rsid w:val="00D77A0C"/>
    <w:rsid w:val="00D81886"/>
    <w:rsid w:val="00D829BB"/>
    <w:rsid w:val="00D83914"/>
    <w:rsid w:val="00D842CE"/>
    <w:rsid w:val="00D84763"/>
    <w:rsid w:val="00D85283"/>
    <w:rsid w:val="00D865A2"/>
    <w:rsid w:val="00D86EC9"/>
    <w:rsid w:val="00D871E5"/>
    <w:rsid w:val="00D87AB2"/>
    <w:rsid w:val="00D87C58"/>
    <w:rsid w:val="00D939AB"/>
    <w:rsid w:val="00D941E1"/>
    <w:rsid w:val="00DA2BF3"/>
    <w:rsid w:val="00DA42A8"/>
    <w:rsid w:val="00DA60AC"/>
    <w:rsid w:val="00DA64B9"/>
    <w:rsid w:val="00DB0016"/>
    <w:rsid w:val="00DB06BF"/>
    <w:rsid w:val="00DB1861"/>
    <w:rsid w:val="00DB223F"/>
    <w:rsid w:val="00DB25E6"/>
    <w:rsid w:val="00DB2CB9"/>
    <w:rsid w:val="00DB49AB"/>
    <w:rsid w:val="00DB4CCA"/>
    <w:rsid w:val="00DC07B5"/>
    <w:rsid w:val="00DC39B8"/>
    <w:rsid w:val="00DC4552"/>
    <w:rsid w:val="00DC4F6C"/>
    <w:rsid w:val="00DC601F"/>
    <w:rsid w:val="00DD1DB4"/>
    <w:rsid w:val="00DD38F9"/>
    <w:rsid w:val="00DD4045"/>
    <w:rsid w:val="00DD5864"/>
    <w:rsid w:val="00DD7861"/>
    <w:rsid w:val="00DD7E57"/>
    <w:rsid w:val="00DE066F"/>
    <w:rsid w:val="00DE4D13"/>
    <w:rsid w:val="00DE60DE"/>
    <w:rsid w:val="00DE6A78"/>
    <w:rsid w:val="00DF0DF3"/>
    <w:rsid w:val="00DF1203"/>
    <w:rsid w:val="00DF4625"/>
    <w:rsid w:val="00DF5026"/>
    <w:rsid w:val="00DF6813"/>
    <w:rsid w:val="00E0287C"/>
    <w:rsid w:val="00E02B8D"/>
    <w:rsid w:val="00E03CAF"/>
    <w:rsid w:val="00E10A01"/>
    <w:rsid w:val="00E128C8"/>
    <w:rsid w:val="00E14695"/>
    <w:rsid w:val="00E16CBC"/>
    <w:rsid w:val="00E17608"/>
    <w:rsid w:val="00E25B5E"/>
    <w:rsid w:val="00E261C8"/>
    <w:rsid w:val="00E26FD7"/>
    <w:rsid w:val="00E27127"/>
    <w:rsid w:val="00E27B6F"/>
    <w:rsid w:val="00E27D9B"/>
    <w:rsid w:val="00E30119"/>
    <w:rsid w:val="00E32017"/>
    <w:rsid w:val="00E34C69"/>
    <w:rsid w:val="00E36CB9"/>
    <w:rsid w:val="00E400C6"/>
    <w:rsid w:val="00E464FB"/>
    <w:rsid w:val="00E465EF"/>
    <w:rsid w:val="00E516CE"/>
    <w:rsid w:val="00E52E62"/>
    <w:rsid w:val="00E53C73"/>
    <w:rsid w:val="00E53DBC"/>
    <w:rsid w:val="00E5597E"/>
    <w:rsid w:val="00E55EA1"/>
    <w:rsid w:val="00E6199B"/>
    <w:rsid w:val="00E63379"/>
    <w:rsid w:val="00E66CDA"/>
    <w:rsid w:val="00E7011A"/>
    <w:rsid w:val="00E70875"/>
    <w:rsid w:val="00E711AA"/>
    <w:rsid w:val="00E71885"/>
    <w:rsid w:val="00E728B1"/>
    <w:rsid w:val="00E72982"/>
    <w:rsid w:val="00E73431"/>
    <w:rsid w:val="00E742A4"/>
    <w:rsid w:val="00E752D6"/>
    <w:rsid w:val="00E76201"/>
    <w:rsid w:val="00E7631B"/>
    <w:rsid w:val="00E80DDA"/>
    <w:rsid w:val="00E82092"/>
    <w:rsid w:val="00E83154"/>
    <w:rsid w:val="00E83C71"/>
    <w:rsid w:val="00E84A59"/>
    <w:rsid w:val="00E9008F"/>
    <w:rsid w:val="00E910F9"/>
    <w:rsid w:val="00E917B4"/>
    <w:rsid w:val="00E92B5A"/>
    <w:rsid w:val="00E97431"/>
    <w:rsid w:val="00EA0FF4"/>
    <w:rsid w:val="00EA1EBB"/>
    <w:rsid w:val="00EA6007"/>
    <w:rsid w:val="00EB0654"/>
    <w:rsid w:val="00EB20F4"/>
    <w:rsid w:val="00EB4A97"/>
    <w:rsid w:val="00EB5DC6"/>
    <w:rsid w:val="00EB6BC5"/>
    <w:rsid w:val="00EB6C7E"/>
    <w:rsid w:val="00EC1D40"/>
    <w:rsid w:val="00EC55C2"/>
    <w:rsid w:val="00EC67E4"/>
    <w:rsid w:val="00EC722E"/>
    <w:rsid w:val="00ED179B"/>
    <w:rsid w:val="00ED31CC"/>
    <w:rsid w:val="00ED3870"/>
    <w:rsid w:val="00ED48B9"/>
    <w:rsid w:val="00ED79AE"/>
    <w:rsid w:val="00EE1FBA"/>
    <w:rsid w:val="00EE21E5"/>
    <w:rsid w:val="00EE2BEA"/>
    <w:rsid w:val="00EE3535"/>
    <w:rsid w:val="00EE40F2"/>
    <w:rsid w:val="00EE4E40"/>
    <w:rsid w:val="00EE622B"/>
    <w:rsid w:val="00EF1034"/>
    <w:rsid w:val="00F0046C"/>
    <w:rsid w:val="00F0113B"/>
    <w:rsid w:val="00F0197B"/>
    <w:rsid w:val="00F05320"/>
    <w:rsid w:val="00F069A3"/>
    <w:rsid w:val="00F077FB"/>
    <w:rsid w:val="00F07C14"/>
    <w:rsid w:val="00F117FD"/>
    <w:rsid w:val="00F12A5C"/>
    <w:rsid w:val="00F14B08"/>
    <w:rsid w:val="00F22CF8"/>
    <w:rsid w:val="00F24B0C"/>
    <w:rsid w:val="00F259D9"/>
    <w:rsid w:val="00F263DA"/>
    <w:rsid w:val="00F26C4F"/>
    <w:rsid w:val="00F2791F"/>
    <w:rsid w:val="00F30B8A"/>
    <w:rsid w:val="00F313C4"/>
    <w:rsid w:val="00F31CD6"/>
    <w:rsid w:val="00F320EB"/>
    <w:rsid w:val="00F33334"/>
    <w:rsid w:val="00F33805"/>
    <w:rsid w:val="00F33F32"/>
    <w:rsid w:val="00F34816"/>
    <w:rsid w:val="00F36260"/>
    <w:rsid w:val="00F36462"/>
    <w:rsid w:val="00F40BEB"/>
    <w:rsid w:val="00F43ADA"/>
    <w:rsid w:val="00F44701"/>
    <w:rsid w:val="00F4559C"/>
    <w:rsid w:val="00F4573F"/>
    <w:rsid w:val="00F47CF9"/>
    <w:rsid w:val="00F540DE"/>
    <w:rsid w:val="00F573BB"/>
    <w:rsid w:val="00F62388"/>
    <w:rsid w:val="00F62545"/>
    <w:rsid w:val="00F63948"/>
    <w:rsid w:val="00F63DAA"/>
    <w:rsid w:val="00F63F02"/>
    <w:rsid w:val="00F6462C"/>
    <w:rsid w:val="00F64CA3"/>
    <w:rsid w:val="00F67CAC"/>
    <w:rsid w:val="00F71158"/>
    <w:rsid w:val="00F72BF4"/>
    <w:rsid w:val="00F742B4"/>
    <w:rsid w:val="00F76C24"/>
    <w:rsid w:val="00F86504"/>
    <w:rsid w:val="00F918A3"/>
    <w:rsid w:val="00F92214"/>
    <w:rsid w:val="00F93B13"/>
    <w:rsid w:val="00F93DAA"/>
    <w:rsid w:val="00F94F0C"/>
    <w:rsid w:val="00F966FB"/>
    <w:rsid w:val="00F977F6"/>
    <w:rsid w:val="00F97A39"/>
    <w:rsid w:val="00FA6DFC"/>
    <w:rsid w:val="00FA7838"/>
    <w:rsid w:val="00FB2FD0"/>
    <w:rsid w:val="00FB328D"/>
    <w:rsid w:val="00FB4F06"/>
    <w:rsid w:val="00FB53AA"/>
    <w:rsid w:val="00FB54D5"/>
    <w:rsid w:val="00FC053D"/>
    <w:rsid w:val="00FC0B23"/>
    <w:rsid w:val="00FC1C5B"/>
    <w:rsid w:val="00FC48E2"/>
    <w:rsid w:val="00FC4AFB"/>
    <w:rsid w:val="00FC5E53"/>
    <w:rsid w:val="00FC6B3C"/>
    <w:rsid w:val="00FC6C9B"/>
    <w:rsid w:val="00FD0150"/>
    <w:rsid w:val="00FD2F8C"/>
    <w:rsid w:val="00FD54FD"/>
    <w:rsid w:val="00FD599B"/>
    <w:rsid w:val="00FD6F74"/>
    <w:rsid w:val="00FE01BC"/>
    <w:rsid w:val="00FE3032"/>
    <w:rsid w:val="00FE3ED1"/>
    <w:rsid w:val="00FE77FD"/>
    <w:rsid w:val="00FF1DCC"/>
    <w:rsid w:val="00FF35F2"/>
    <w:rsid w:val="00FF5874"/>
    <w:rsid w:val="00FF625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6EBD8"/>
  <w15:chartTrackingRefBased/>
  <w15:docId w15:val="{5ABAFC67-945D-074D-95F3-3A7E1DD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1E5"/>
    <w:pPr>
      <w:spacing w:line="264" w:lineRule="auto"/>
    </w:pPr>
    <w:rPr>
      <w:rFonts w:ascii="Arial" w:hAnsi="Arial"/>
      <w:sz w:val="20"/>
      <w:lang w:val="en-US"/>
    </w:rPr>
  </w:style>
  <w:style w:type="paragraph" w:styleId="Heading1">
    <w:name w:val="heading 1"/>
    <w:next w:val="NTTBodyText"/>
    <w:link w:val="Heading1Char"/>
    <w:qFormat/>
    <w:rsid w:val="00507AF6"/>
    <w:pPr>
      <w:keepNext/>
      <w:pageBreakBefore/>
      <w:numPr>
        <w:numId w:val="23"/>
      </w:numPr>
      <w:tabs>
        <w:tab w:val="clear" w:pos="850"/>
      </w:tabs>
      <w:spacing w:before="480" w:after="360" w:line="264" w:lineRule="auto"/>
      <w:outlineLvl w:val="0"/>
    </w:pPr>
    <w:rPr>
      <w:rFonts w:ascii="Georgia" w:eastAsia="Times New Roman" w:hAnsi="Georgia" w:cs="Arial"/>
      <w:bCs/>
      <w:color w:val="0072BC"/>
      <w:kern w:val="32"/>
      <w:sz w:val="40"/>
      <w:szCs w:val="40"/>
      <w:lang w:val="en-GB"/>
      <w14:ligatures w14:val="none"/>
    </w:rPr>
  </w:style>
  <w:style w:type="paragraph" w:styleId="Heading2">
    <w:name w:val="heading 2"/>
    <w:basedOn w:val="Heading1"/>
    <w:next w:val="NTTBodyText"/>
    <w:link w:val="Heading2Char"/>
    <w:unhideWhenUsed/>
    <w:qFormat/>
    <w:rsid w:val="00105F87"/>
    <w:pPr>
      <w:pageBreakBefore w:val="0"/>
      <w:numPr>
        <w:ilvl w:val="1"/>
      </w:numPr>
      <w:spacing w:before="360" w:after="120"/>
      <w:ind w:left="851" w:hanging="851"/>
      <w:outlineLvl w:val="1"/>
    </w:pPr>
    <w:rPr>
      <w:rFonts w:asciiTheme="majorHAnsi" w:hAnsiTheme="majorHAnsi"/>
      <w:b/>
      <w:iCs/>
      <w:color w:val="2E404D" w:themeColor="text1"/>
      <w:kern w:val="24"/>
      <w:sz w:val="28"/>
      <w:szCs w:val="22"/>
    </w:rPr>
  </w:style>
  <w:style w:type="paragraph" w:styleId="Heading3">
    <w:name w:val="heading 3"/>
    <w:basedOn w:val="Heading2"/>
    <w:next w:val="NTTBodyText"/>
    <w:link w:val="Heading3Char"/>
    <w:unhideWhenUsed/>
    <w:qFormat/>
    <w:rsid w:val="00C12906"/>
    <w:pPr>
      <w:numPr>
        <w:ilvl w:val="2"/>
      </w:numPr>
      <w:ind w:left="851" w:hanging="851"/>
      <w:outlineLvl w:val="2"/>
    </w:pPr>
    <w:rPr>
      <w:b w:val="0"/>
      <w:bCs w:val="0"/>
      <w:iCs w:val="0"/>
      <w:kern w:val="22"/>
    </w:rPr>
  </w:style>
  <w:style w:type="paragraph" w:styleId="Heading4">
    <w:name w:val="heading 4"/>
    <w:basedOn w:val="Heading3"/>
    <w:next w:val="NTTBodyText"/>
    <w:link w:val="Heading4Char"/>
    <w:unhideWhenUsed/>
    <w:qFormat/>
    <w:rsid w:val="00E03CAF"/>
    <w:pPr>
      <w:numPr>
        <w:ilvl w:val="0"/>
        <w:numId w:val="0"/>
      </w:numPr>
      <w:spacing w:before="240"/>
      <w:outlineLvl w:val="3"/>
    </w:pPr>
    <w:rPr>
      <w:b/>
      <w:iCs/>
      <w:color w:val="0072BC" w:themeColor="accent2"/>
      <w:kern w:val="20"/>
      <w:sz w:val="24"/>
    </w:rPr>
  </w:style>
  <w:style w:type="paragraph" w:styleId="Heading5">
    <w:name w:val="heading 5"/>
    <w:basedOn w:val="Heading4"/>
    <w:next w:val="NTTBodyText"/>
    <w:link w:val="Heading5Char"/>
    <w:unhideWhenUsed/>
    <w:qFormat/>
    <w:rsid w:val="00E03CAF"/>
    <w:pPr>
      <w:numPr>
        <w:ilvl w:val="4"/>
      </w:numPr>
      <w:outlineLvl w:val="4"/>
    </w:pPr>
    <w:rPr>
      <w:b w:val="0"/>
      <w:bCs/>
      <w:iCs w:val="0"/>
    </w:rPr>
  </w:style>
  <w:style w:type="paragraph" w:styleId="Heading6">
    <w:name w:val="heading 6"/>
    <w:basedOn w:val="Heading5"/>
    <w:next w:val="NTTBodyText"/>
    <w:link w:val="Heading6Char"/>
    <w:uiPriority w:val="99"/>
    <w:unhideWhenUsed/>
    <w:qFormat/>
    <w:rsid w:val="00522EF9"/>
    <w:pPr>
      <w:numPr>
        <w:ilvl w:val="5"/>
      </w:numPr>
      <w:outlineLvl w:val="5"/>
    </w:pPr>
    <w:rPr>
      <w:b/>
      <w:bCs w:val="0"/>
      <w:sz w:val="22"/>
    </w:rPr>
  </w:style>
  <w:style w:type="paragraph" w:styleId="Heading7">
    <w:name w:val="heading 7"/>
    <w:basedOn w:val="Heading6"/>
    <w:next w:val="NTTBodyText"/>
    <w:link w:val="Heading7Char"/>
    <w:uiPriority w:val="99"/>
    <w:unhideWhenUsed/>
    <w:rsid w:val="00522EF9"/>
    <w:pPr>
      <w:numPr>
        <w:ilvl w:val="6"/>
      </w:numPr>
      <w:outlineLvl w:val="6"/>
    </w:pPr>
    <w:rPr>
      <w:b w:val="0"/>
    </w:rPr>
  </w:style>
  <w:style w:type="paragraph" w:styleId="Heading8">
    <w:name w:val="heading 8"/>
    <w:basedOn w:val="Heading7"/>
    <w:next w:val="NTTBodyText"/>
    <w:link w:val="Heading8Char"/>
    <w:uiPriority w:val="99"/>
    <w:unhideWhenUsed/>
    <w:rsid w:val="00522EF9"/>
    <w:pPr>
      <w:numPr>
        <w:ilvl w:val="7"/>
      </w:numPr>
      <w:outlineLvl w:val="7"/>
    </w:pPr>
    <w:rPr>
      <w:b/>
      <w:iCs/>
      <w:sz w:val="21"/>
    </w:rPr>
  </w:style>
  <w:style w:type="paragraph" w:styleId="Heading9">
    <w:name w:val="heading 9"/>
    <w:basedOn w:val="Heading8"/>
    <w:next w:val="NTTBodyText"/>
    <w:link w:val="Heading9Char"/>
    <w:uiPriority w:val="99"/>
    <w:unhideWhenUsed/>
    <w:rsid w:val="00522EF9"/>
    <w:pPr>
      <w:numPr>
        <w:ilvl w:val="8"/>
      </w:numPr>
      <w:outlineLvl w:val="8"/>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2A2"/>
    <w:pPr>
      <w:numPr>
        <w:numId w:val="1"/>
      </w:numPr>
      <w:ind w:left="426" w:hanging="426"/>
      <w:contextualSpacing/>
    </w:pPr>
    <w:rPr>
      <w:color w:val="2E404D" w:themeColor="text1"/>
    </w:rPr>
  </w:style>
  <w:style w:type="character" w:customStyle="1" w:styleId="Heading1Char">
    <w:name w:val="Heading 1 Char"/>
    <w:basedOn w:val="DefaultParagraphFont"/>
    <w:link w:val="Heading1"/>
    <w:rsid w:val="00507AF6"/>
    <w:rPr>
      <w:rFonts w:ascii="Georgia" w:eastAsia="Times New Roman" w:hAnsi="Georgia" w:cs="Arial"/>
      <w:bCs/>
      <w:color w:val="0072BC"/>
      <w:kern w:val="32"/>
      <w:sz w:val="40"/>
      <w:szCs w:val="40"/>
      <w:lang w:val="en-GB"/>
      <w14:ligatures w14:val="none"/>
    </w:rPr>
  </w:style>
  <w:style w:type="paragraph" w:styleId="Header">
    <w:name w:val="header"/>
    <w:basedOn w:val="Normal"/>
    <w:link w:val="HeaderChar"/>
    <w:uiPriority w:val="99"/>
    <w:unhideWhenUsed/>
    <w:rsid w:val="00490E94"/>
    <w:pPr>
      <w:tabs>
        <w:tab w:val="center" w:pos="4513"/>
        <w:tab w:val="right" w:pos="9026"/>
      </w:tabs>
      <w:ind w:right="2835"/>
    </w:pPr>
    <w:rPr>
      <w:sz w:val="16"/>
    </w:rPr>
  </w:style>
  <w:style w:type="character" w:customStyle="1" w:styleId="HeaderChar">
    <w:name w:val="Header Char"/>
    <w:basedOn w:val="DefaultParagraphFont"/>
    <w:link w:val="Header"/>
    <w:uiPriority w:val="99"/>
    <w:rsid w:val="00490E94"/>
    <w:rPr>
      <w:rFonts w:ascii="Arial" w:hAnsi="Arial"/>
      <w:sz w:val="16"/>
      <w:lang w:val="en-US"/>
    </w:rPr>
  </w:style>
  <w:style w:type="paragraph" w:styleId="Footer">
    <w:name w:val="footer"/>
    <w:basedOn w:val="Normal"/>
    <w:link w:val="FooterChar"/>
    <w:uiPriority w:val="99"/>
    <w:unhideWhenUsed/>
    <w:rsid w:val="00762711"/>
    <w:pPr>
      <w:tabs>
        <w:tab w:val="center" w:pos="4513"/>
        <w:tab w:val="right" w:pos="9026"/>
      </w:tabs>
    </w:pPr>
    <w:rPr>
      <w:sz w:val="16"/>
    </w:rPr>
  </w:style>
  <w:style w:type="character" w:customStyle="1" w:styleId="FooterChar">
    <w:name w:val="Footer Char"/>
    <w:basedOn w:val="DefaultParagraphFont"/>
    <w:link w:val="Footer"/>
    <w:uiPriority w:val="99"/>
    <w:rsid w:val="00762711"/>
    <w:rPr>
      <w:rFonts w:ascii="Arial" w:hAnsi="Arial"/>
      <w:sz w:val="16"/>
      <w:lang w:val="en-US"/>
    </w:rPr>
  </w:style>
  <w:style w:type="character" w:customStyle="1" w:styleId="Heading2Char">
    <w:name w:val="Heading 2 Char"/>
    <w:basedOn w:val="DefaultParagraphFont"/>
    <w:link w:val="Heading2"/>
    <w:rsid w:val="00105F87"/>
    <w:rPr>
      <w:rFonts w:asciiTheme="majorHAnsi" w:eastAsia="Times New Roman" w:hAnsiTheme="majorHAnsi" w:cs="Arial"/>
      <w:b/>
      <w:bCs/>
      <w:iCs/>
      <w:color w:val="2E404D" w:themeColor="text1"/>
      <w:kern w:val="24"/>
      <w:sz w:val="28"/>
      <w:szCs w:val="22"/>
      <w:lang w:val="en-GB"/>
      <w14:ligatures w14:val="none"/>
    </w:rPr>
  </w:style>
  <w:style w:type="character" w:customStyle="1" w:styleId="Heading3Char">
    <w:name w:val="Heading 3 Char"/>
    <w:basedOn w:val="DefaultParagraphFont"/>
    <w:link w:val="Heading3"/>
    <w:rsid w:val="00C12906"/>
    <w:rPr>
      <w:rFonts w:asciiTheme="majorHAnsi" w:eastAsia="Times New Roman" w:hAnsiTheme="majorHAnsi" w:cs="Arial"/>
      <w:color w:val="2E404D" w:themeColor="text1"/>
      <w:kern w:val="22"/>
      <w:sz w:val="28"/>
      <w:szCs w:val="22"/>
      <w:lang w:val="en-GB"/>
      <w14:ligatures w14:val="none"/>
    </w:rPr>
  </w:style>
  <w:style w:type="paragraph" w:customStyle="1" w:styleId="Bullet">
    <w:name w:val="Bullet"/>
    <w:basedOn w:val="NTTFlushBullet1"/>
    <w:qFormat/>
    <w:rsid w:val="00E728B1"/>
  </w:style>
  <w:style w:type="paragraph" w:styleId="NoSpacing">
    <w:name w:val="No Spacing"/>
    <w:uiPriority w:val="1"/>
    <w:qFormat/>
    <w:rsid w:val="003D3A54"/>
    <w:pPr>
      <w:spacing w:line="264" w:lineRule="auto"/>
    </w:pPr>
    <w:rPr>
      <w:rFonts w:ascii="Arial" w:hAnsi="Arial"/>
      <w:color w:val="2E404D" w:themeColor="text1"/>
      <w:sz w:val="20"/>
      <w:lang w:val="en-US"/>
    </w:rPr>
  </w:style>
  <w:style w:type="character" w:customStyle="1" w:styleId="Heading4Char">
    <w:name w:val="Heading 4 Char"/>
    <w:basedOn w:val="DefaultParagraphFont"/>
    <w:link w:val="Heading4"/>
    <w:rsid w:val="00E03CAF"/>
    <w:rPr>
      <w:rFonts w:asciiTheme="majorHAnsi" w:eastAsia="Times New Roman" w:hAnsiTheme="majorHAnsi" w:cs="Arial"/>
      <w:b/>
      <w:iCs/>
      <w:color w:val="0072BC" w:themeColor="accent2"/>
      <w:kern w:val="20"/>
      <w:szCs w:val="22"/>
      <w:lang w:val="en-GB"/>
      <w14:ligatures w14:val="none"/>
    </w:rPr>
  </w:style>
  <w:style w:type="table" w:styleId="TableGrid">
    <w:name w:val="Table Grid"/>
    <w:basedOn w:val="TableNormal"/>
    <w:uiPriority w:val="39"/>
    <w:rsid w:val="00BE551C"/>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auto"/>
    </w:tcPr>
    <w:tblStylePr w:type="firstRow">
      <w:rPr>
        <w:b/>
      </w:rPr>
    </w:tblStylePr>
    <w:tblStylePr w:type="firstCol">
      <w:rPr>
        <w:b/>
      </w:rPr>
    </w:tblStylePr>
  </w:style>
  <w:style w:type="character" w:customStyle="1" w:styleId="Heading5Char">
    <w:name w:val="Heading 5 Char"/>
    <w:basedOn w:val="DefaultParagraphFont"/>
    <w:link w:val="Heading5"/>
    <w:rsid w:val="00E03CAF"/>
    <w:rPr>
      <w:rFonts w:asciiTheme="majorHAnsi" w:eastAsia="Times New Roman" w:hAnsiTheme="majorHAnsi" w:cs="Arial"/>
      <w:bCs/>
      <w:color w:val="0072BC" w:themeColor="accent2"/>
      <w:kern w:val="20"/>
      <w:szCs w:val="22"/>
      <w:lang w:val="en-GB"/>
      <w14:ligatures w14:val="none"/>
    </w:rPr>
  </w:style>
  <w:style w:type="paragraph" w:styleId="Subtitle">
    <w:name w:val="Subtitle"/>
    <w:basedOn w:val="Normal"/>
    <w:next w:val="Normal"/>
    <w:link w:val="SubtitleChar"/>
    <w:uiPriority w:val="11"/>
    <w:qFormat/>
    <w:rsid w:val="00C24255"/>
    <w:pPr>
      <w:spacing w:before="240" w:after="120"/>
    </w:pPr>
    <w:rPr>
      <w:sz w:val="28"/>
      <w:szCs w:val="32"/>
    </w:rPr>
  </w:style>
  <w:style w:type="character" w:customStyle="1" w:styleId="SubtitleChar">
    <w:name w:val="Subtitle Char"/>
    <w:basedOn w:val="DefaultParagraphFont"/>
    <w:link w:val="Subtitle"/>
    <w:uiPriority w:val="11"/>
    <w:rsid w:val="00C24255"/>
    <w:rPr>
      <w:rFonts w:ascii="Arial" w:hAnsi="Arial"/>
      <w:color w:val="2E404D" w:themeColor="text1"/>
      <w:sz w:val="28"/>
      <w:szCs w:val="32"/>
      <w:lang w:val="en-US"/>
    </w:rPr>
  </w:style>
  <w:style w:type="paragraph" w:styleId="Title">
    <w:name w:val="Title"/>
    <w:basedOn w:val="Normal"/>
    <w:next w:val="Normal"/>
    <w:link w:val="TitleChar"/>
    <w:uiPriority w:val="10"/>
    <w:qFormat/>
    <w:rsid w:val="00B86F31"/>
    <w:pPr>
      <w:spacing w:before="120" w:after="120"/>
      <w:contextualSpacing/>
      <w:outlineLvl w:val="0"/>
    </w:pPr>
    <w:rPr>
      <w:rFonts w:ascii="Georgia" w:eastAsiaTheme="majorEastAsia" w:hAnsi="Georgia" w:cstheme="majorBidi"/>
      <w:color w:val="0072BC" w:themeColor="accent2"/>
      <w:kern w:val="28"/>
      <w:sz w:val="68"/>
      <w:szCs w:val="64"/>
    </w:rPr>
  </w:style>
  <w:style w:type="paragraph" w:customStyle="1" w:styleId="AppendixHeading1">
    <w:name w:val="Appendix Heading 1"/>
    <w:next w:val="Normal"/>
    <w:uiPriority w:val="5"/>
    <w:qFormat/>
    <w:rsid w:val="007852AB"/>
    <w:pPr>
      <w:keepNext/>
      <w:keepLines/>
      <w:pageBreakBefore/>
      <w:numPr>
        <w:numId w:val="4"/>
      </w:numPr>
      <w:spacing w:after="360" w:line="264" w:lineRule="auto"/>
      <w:ind w:left="1701" w:hanging="1701"/>
      <w:outlineLvl w:val="0"/>
    </w:pPr>
    <w:rPr>
      <w:rFonts w:ascii="Georgia" w:eastAsia="Times New Roman" w:hAnsi="Georgia" w:cs="Arial"/>
      <w:bCs/>
      <w:color w:val="0072BC" w:themeColor="accent2"/>
      <w:kern w:val="28"/>
      <w:sz w:val="40"/>
      <w:szCs w:val="20"/>
      <w:lang w:val="en-GB"/>
      <w14:ligatures w14:val="none"/>
    </w:rPr>
  </w:style>
  <w:style w:type="paragraph" w:styleId="TOC1">
    <w:name w:val="toc 1"/>
    <w:basedOn w:val="Normal"/>
    <w:next w:val="Normal"/>
    <w:autoRedefine/>
    <w:uiPriority w:val="39"/>
    <w:unhideWhenUsed/>
    <w:rsid w:val="004125F9"/>
    <w:pPr>
      <w:tabs>
        <w:tab w:val="left" w:pos="1418"/>
        <w:tab w:val="right" w:leader="dot" w:pos="9628"/>
      </w:tabs>
      <w:spacing w:before="360" w:after="100"/>
      <w:ind w:left="851" w:hanging="851"/>
    </w:pPr>
    <w:rPr>
      <w:rFonts w:asciiTheme="minorHAnsi" w:eastAsiaTheme="minorEastAsia" w:hAnsiTheme="minorHAnsi"/>
      <w:b/>
      <w:noProof/>
      <w:color w:val="2E404D" w:themeColor="text1"/>
      <w:sz w:val="22"/>
      <w:szCs w:val="22"/>
      <w:lang w:val="en-ZA" w:eastAsia="en-ZA"/>
    </w:rPr>
  </w:style>
  <w:style w:type="paragraph" w:styleId="TOC2">
    <w:name w:val="toc 2"/>
    <w:basedOn w:val="Normal"/>
    <w:next w:val="Normal"/>
    <w:autoRedefine/>
    <w:uiPriority w:val="39"/>
    <w:unhideWhenUsed/>
    <w:rsid w:val="00234E0F"/>
    <w:pPr>
      <w:tabs>
        <w:tab w:val="left" w:pos="1418"/>
        <w:tab w:val="right" w:leader="dot" w:pos="9628"/>
      </w:tabs>
      <w:spacing w:before="120" w:after="100"/>
      <w:ind w:left="851" w:hanging="851"/>
    </w:pPr>
    <w:rPr>
      <w:rFonts w:asciiTheme="minorHAnsi" w:eastAsiaTheme="minorEastAsia" w:hAnsiTheme="minorHAnsi"/>
      <w:noProof/>
      <w:sz w:val="22"/>
      <w:szCs w:val="22"/>
      <w:lang w:val="en-ZA" w:eastAsia="en-ZA"/>
    </w:rPr>
  </w:style>
  <w:style w:type="character" w:customStyle="1" w:styleId="Heading6Char">
    <w:name w:val="Heading 6 Char"/>
    <w:basedOn w:val="DefaultParagraphFont"/>
    <w:link w:val="Heading6"/>
    <w:uiPriority w:val="99"/>
    <w:rsid w:val="00522EF9"/>
    <w:rPr>
      <w:rFonts w:asciiTheme="majorHAnsi" w:eastAsia="Times New Roman" w:hAnsiTheme="majorHAnsi" w:cs="Arial"/>
      <w:b/>
      <w:color w:val="0072BC" w:themeColor="accent2"/>
      <w:kern w:val="20"/>
      <w:sz w:val="22"/>
      <w:szCs w:val="22"/>
      <w:lang w:val="en-GB"/>
      <w14:ligatures w14:val="none"/>
    </w:rPr>
  </w:style>
  <w:style w:type="character" w:customStyle="1" w:styleId="Heading7Char">
    <w:name w:val="Heading 7 Char"/>
    <w:basedOn w:val="DefaultParagraphFont"/>
    <w:link w:val="Heading7"/>
    <w:uiPriority w:val="99"/>
    <w:rsid w:val="00522EF9"/>
    <w:rPr>
      <w:rFonts w:asciiTheme="majorHAnsi" w:eastAsia="Times New Roman" w:hAnsiTheme="majorHAnsi" w:cs="Arial"/>
      <w:color w:val="0072BC" w:themeColor="accent2"/>
      <w:kern w:val="20"/>
      <w:sz w:val="22"/>
      <w:szCs w:val="22"/>
      <w:lang w:val="en-GB"/>
      <w14:ligatures w14:val="none"/>
    </w:rPr>
  </w:style>
  <w:style w:type="character" w:customStyle="1" w:styleId="Heading8Char">
    <w:name w:val="Heading 8 Char"/>
    <w:basedOn w:val="DefaultParagraphFont"/>
    <w:link w:val="Heading8"/>
    <w:uiPriority w:val="99"/>
    <w:rsid w:val="00522EF9"/>
    <w:rPr>
      <w:rFonts w:asciiTheme="majorHAnsi" w:eastAsia="Times New Roman" w:hAnsiTheme="majorHAnsi" w:cs="Arial"/>
      <w:b/>
      <w:iCs/>
      <w:color w:val="0072BC" w:themeColor="accent2"/>
      <w:kern w:val="20"/>
      <w:sz w:val="21"/>
      <w:szCs w:val="22"/>
      <w:lang w:val="en-GB"/>
      <w14:ligatures w14:val="none"/>
    </w:rPr>
  </w:style>
  <w:style w:type="character" w:customStyle="1" w:styleId="Heading9Char">
    <w:name w:val="Heading 9 Char"/>
    <w:basedOn w:val="DefaultParagraphFont"/>
    <w:link w:val="Heading9"/>
    <w:uiPriority w:val="99"/>
    <w:rsid w:val="00522EF9"/>
    <w:rPr>
      <w:rFonts w:asciiTheme="majorHAnsi" w:eastAsia="Times New Roman" w:hAnsiTheme="majorHAnsi" w:cs="Arial"/>
      <w:iCs/>
      <w:color w:val="0072BC" w:themeColor="accent2"/>
      <w:kern w:val="20"/>
      <w:sz w:val="21"/>
      <w:szCs w:val="22"/>
      <w:lang w:val="en-GB"/>
      <w14:ligatures w14:val="none"/>
    </w:rPr>
  </w:style>
  <w:style w:type="character" w:customStyle="1" w:styleId="TitleChar">
    <w:name w:val="Title Char"/>
    <w:basedOn w:val="DefaultParagraphFont"/>
    <w:link w:val="Title"/>
    <w:uiPriority w:val="10"/>
    <w:rsid w:val="00B86F31"/>
    <w:rPr>
      <w:rFonts w:ascii="Georgia" w:eastAsiaTheme="majorEastAsia" w:hAnsi="Georgia" w:cstheme="majorBidi"/>
      <w:color w:val="0072BC" w:themeColor="accent2"/>
      <w:kern w:val="28"/>
      <w:sz w:val="68"/>
      <w:szCs w:val="64"/>
      <w:lang w:val="en-US"/>
    </w:rPr>
  </w:style>
  <w:style w:type="character" w:styleId="Hyperlink">
    <w:name w:val="Hyperlink"/>
    <w:basedOn w:val="DefaultParagraphFont"/>
    <w:uiPriority w:val="99"/>
    <w:unhideWhenUsed/>
    <w:rsid w:val="00B347D7"/>
    <w:rPr>
      <w:color w:val="005B96" w:themeColor="hyperlink"/>
      <w:u w:val="single"/>
    </w:rPr>
  </w:style>
  <w:style w:type="character" w:styleId="UnresolvedMention">
    <w:name w:val="Unresolved Mention"/>
    <w:basedOn w:val="DefaultParagraphFont"/>
    <w:uiPriority w:val="99"/>
    <w:semiHidden/>
    <w:unhideWhenUsed/>
    <w:rsid w:val="00B347D7"/>
    <w:rPr>
      <w:color w:val="605E5C"/>
      <w:shd w:val="clear" w:color="auto" w:fill="E1DFDD"/>
    </w:rPr>
  </w:style>
  <w:style w:type="paragraph" w:styleId="TOC3">
    <w:name w:val="toc 3"/>
    <w:basedOn w:val="Normal"/>
    <w:next w:val="Normal"/>
    <w:autoRedefine/>
    <w:uiPriority w:val="39"/>
    <w:unhideWhenUsed/>
    <w:rsid w:val="0002407A"/>
    <w:pPr>
      <w:tabs>
        <w:tab w:val="left" w:pos="1418"/>
        <w:tab w:val="right" w:leader="dot" w:pos="9628"/>
      </w:tabs>
      <w:ind w:left="851" w:hanging="851"/>
    </w:pPr>
    <w:rPr>
      <w:rFonts w:asciiTheme="minorHAnsi" w:eastAsiaTheme="minorEastAsia" w:hAnsiTheme="minorHAnsi"/>
      <w:noProof/>
      <w:szCs w:val="22"/>
      <w:lang w:val="en-ZA" w:eastAsia="en-ZA"/>
    </w:rPr>
  </w:style>
  <w:style w:type="paragraph" w:customStyle="1" w:styleId="Tablebullet2">
    <w:name w:val="Table bullet 2"/>
    <w:basedOn w:val="NTTBlueTableBullet2"/>
    <w:qFormat/>
    <w:rsid w:val="007318BA"/>
    <w:pPr>
      <w:tabs>
        <w:tab w:val="num" w:pos="1134"/>
      </w:tabs>
    </w:pPr>
    <w:rPr>
      <w:color w:val="2E404D" w:themeColor="text1"/>
    </w:rPr>
  </w:style>
  <w:style w:type="table" w:customStyle="1" w:styleId="SmartNavytable">
    <w:name w:val="Smart Navy table"/>
    <w:basedOn w:val="TableGrid"/>
    <w:uiPriority w:val="99"/>
    <w:rsid w:val="002A3108"/>
    <w:tblPr>
      <w:tblStyleRowBandSize w:val="1"/>
      <w:tblStyleColBandSize w:val="1"/>
    </w:tblPr>
    <w:trPr>
      <w:cantSplit/>
    </w:trPr>
    <w:tblStylePr w:type="firstRow">
      <w:rPr>
        <w:b/>
        <w:color w:val="FFFFFF" w:themeColor="background1"/>
      </w:rPr>
      <w:tblPr/>
      <w:trPr>
        <w:cantSplit w:val="0"/>
        <w:tblHeader/>
      </w:trPr>
      <w:tcPr>
        <w:shd w:val="clear" w:color="auto" w:fill="070F26" w:themeFill="accent1"/>
      </w:tcPr>
    </w:tblStylePr>
    <w:tblStylePr w:type="lastRow">
      <w:rPr>
        <w:b/>
        <w:color w:val="2E404D" w:themeColor="text1"/>
      </w:rPr>
      <w:tblPr/>
      <w:tcPr>
        <w:shd w:val="clear" w:color="auto" w:fill="D6DFF7" w:themeFill="accent1" w:themeFillTint="1A"/>
      </w:tcPr>
    </w:tblStylePr>
    <w:tblStylePr w:type="firstCol">
      <w:rPr>
        <w:b/>
        <w:color w:val="FFFFFF" w:themeColor="background1"/>
      </w:rPr>
      <w:tblPr/>
      <w:tcPr>
        <w:shd w:val="clear" w:color="auto" w:fill="070F26" w:themeFill="accent1"/>
      </w:tcPr>
    </w:tblStylePr>
    <w:tblStylePr w:type="lastCol">
      <w:rPr>
        <w:b/>
      </w:rPr>
      <w:tblPr/>
      <w:tcPr>
        <w:shd w:val="clear" w:color="auto" w:fill="D6DFF7" w:themeFill="accent1" w:themeFillTint="1A"/>
      </w:tcPr>
    </w:tblStylePr>
    <w:tblStylePr w:type="band2Vert">
      <w:tblPr/>
      <w:tcPr>
        <w:shd w:val="clear" w:color="auto" w:fill="F1F4FD"/>
      </w:tcPr>
    </w:tblStylePr>
    <w:tblStylePr w:type="band2Horz">
      <w:tblPr/>
      <w:tcPr>
        <w:shd w:val="clear" w:color="auto" w:fill="F1F4FD"/>
      </w:tcPr>
    </w:tblStylePr>
  </w:style>
  <w:style w:type="paragraph" w:customStyle="1" w:styleId="BulletLevel2">
    <w:name w:val="Bullet Level 2"/>
    <w:basedOn w:val="NTTFlushBullet2"/>
    <w:qFormat/>
    <w:rsid w:val="00E728B1"/>
    <w:pPr>
      <w:ind w:left="851" w:hanging="397"/>
    </w:pPr>
  </w:style>
  <w:style w:type="paragraph" w:customStyle="1" w:styleId="BulletLevel3">
    <w:name w:val="Bullet Level 3"/>
    <w:basedOn w:val="NTTFlushBullet3"/>
    <w:qFormat/>
    <w:rsid w:val="00251212"/>
  </w:style>
  <w:style w:type="paragraph" w:customStyle="1" w:styleId="Tablebullet">
    <w:name w:val="Table bullet"/>
    <w:basedOn w:val="NTTBlueTableBullet1"/>
    <w:qFormat/>
    <w:rsid w:val="00486632"/>
    <w:rPr>
      <w:color w:val="2E404D" w:themeColor="text1"/>
    </w:rPr>
  </w:style>
  <w:style w:type="paragraph" w:styleId="Caption">
    <w:name w:val="caption"/>
    <w:next w:val="NTTBodyText"/>
    <w:uiPriority w:val="8"/>
    <w:qFormat/>
    <w:rsid w:val="00121AA7"/>
    <w:pPr>
      <w:spacing w:after="120" w:line="240" w:lineRule="atLeast"/>
      <w:ind w:left="850"/>
    </w:pPr>
    <w:rPr>
      <w:rFonts w:ascii="Arial" w:eastAsia="Times New Roman" w:hAnsi="Arial" w:cs="Arial"/>
      <w:i/>
      <w:color w:val="000000"/>
      <w:spacing w:val="10"/>
      <w:kern w:val="18"/>
      <w:sz w:val="18"/>
      <w:szCs w:val="20"/>
      <w:lang w:val="en-GB" w:eastAsia="en-GB"/>
      <w14:ligatures w14:val="none"/>
    </w:rPr>
  </w:style>
  <w:style w:type="paragraph" w:styleId="TableofFigures">
    <w:name w:val="table of figures"/>
    <w:basedOn w:val="Normal"/>
    <w:next w:val="Normal"/>
    <w:uiPriority w:val="99"/>
    <w:unhideWhenUsed/>
    <w:rsid w:val="003A4083"/>
    <w:pPr>
      <w:spacing w:after="100"/>
    </w:pPr>
  </w:style>
  <w:style w:type="table" w:customStyle="1" w:styleId="NTTFutureBluetable">
    <w:name w:val="NTT Future Blue table"/>
    <w:basedOn w:val="TableGrid"/>
    <w:uiPriority w:val="99"/>
    <w:rsid w:val="002A3108"/>
    <w:pPr>
      <w:spacing w:line="264" w:lineRule="auto"/>
    </w:pPr>
    <w:rPr>
      <w:color w:val="2E404D" w:themeColor="text1"/>
    </w:rPr>
    <w:tblPr>
      <w:tblStyleRowBandSize w:val="1"/>
      <w:tblStyleColBandSize w:val="1"/>
      <w:tblCellMar>
        <w:top w:w="28" w:type="dxa"/>
        <w:bottom w:w="28" w:type="dxa"/>
      </w:tblCellMar>
    </w:tblPr>
    <w:trPr>
      <w:cantSplit/>
    </w:trPr>
    <w:tcPr>
      <w:tcMar>
        <w:top w:w="85" w:type="dxa"/>
        <w:left w:w="85" w:type="dxa"/>
        <w:bottom w:w="85" w:type="dxa"/>
        <w:right w:w="85" w:type="dxa"/>
      </w:tcMar>
    </w:tcPr>
    <w:tblStylePr w:type="firstRow">
      <w:rPr>
        <w:b/>
        <w:color w:val="FFFFFF" w:themeColor="background1"/>
      </w:rPr>
      <w:tblPr/>
      <w:trPr>
        <w:cantSplit w:val="0"/>
        <w:tblHeader/>
      </w:trPr>
      <w:tcPr>
        <w:shd w:val="clear" w:color="auto" w:fill="0072BC" w:themeFill="accent2"/>
      </w:tcPr>
    </w:tblStylePr>
    <w:tblStylePr w:type="lastRow">
      <w:rPr>
        <w:b/>
        <w:color w:val="auto"/>
      </w:rPr>
      <w:tblPr/>
      <w:tcPr>
        <w:shd w:val="clear" w:color="auto" w:fill="BEE5FF" w:themeFill="accent2" w:themeFillTint="33"/>
      </w:tcPr>
    </w:tblStylePr>
    <w:tblStylePr w:type="firstCol">
      <w:rPr>
        <w:b/>
        <w:color w:val="FFFFFF" w:themeColor="background1"/>
      </w:rPr>
      <w:tblPr/>
      <w:tcPr>
        <w:shd w:val="clear" w:color="auto" w:fill="0072BC" w:themeFill="accent2"/>
      </w:tcPr>
    </w:tblStylePr>
    <w:tblStylePr w:type="lastCol">
      <w:rPr>
        <w:b/>
      </w:rPr>
      <w:tblPr/>
      <w:tcPr>
        <w:shd w:val="clear" w:color="auto" w:fill="BEE5FF" w:themeFill="accent2" w:themeFillTint="33"/>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BodyText">
    <w:name w:val="Body Text"/>
    <w:basedOn w:val="Normal"/>
    <w:link w:val="BodyTextChar"/>
    <w:uiPriority w:val="99"/>
    <w:unhideWhenUsed/>
    <w:rsid w:val="00B745F5"/>
    <w:pPr>
      <w:spacing w:before="160" w:after="160"/>
    </w:pPr>
    <w:rPr>
      <w:color w:val="2E404D" w:themeColor="text1"/>
    </w:rPr>
  </w:style>
  <w:style w:type="character" w:styleId="PlaceholderText">
    <w:name w:val="Placeholder Text"/>
    <w:basedOn w:val="DefaultParagraphFont"/>
    <w:uiPriority w:val="99"/>
    <w:semiHidden/>
    <w:rsid w:val="00BA0E50"/>
    <w:rPr>
      <w:color w:val="808080"/>
    </w:rPr>
  </w:style>
  <w:style w:type="paragraph" w:customStyle="1" w:styleId="Guidancetext2body">
    <w:name w:val="Guidance text 2 body"/>
    <w:basedOn w:val="Normal"/>
    <w:qFormat/>
    <w:rsid w:val="00AE5238"/>
    <w:pPr>
      <w:pBdr>
        <w:top w:val="single" w:sz="4" w:space="1" w:color="00CB5D" w:themeColor="accent5"/>
        <w:bottom w:val="single" w:sz="4" w:space="1" w:color="00CB5D" w:themeColor="accent5"/>
      </w:pBdr>
      <w:shd w:val="clear" w:color="auto" w:fill="C1FFDD" w:themeFill="accent5" w:themeFillTint="33"/>
      <w:spacing w:before="160" w:after="160"/>
    </w:pPr>
    <w:rPr>
      <w:color w:val="00652E" w:themeColor="accent5" w:themeShade="80"/>
    </w:rPr>
  </w:style>
  <w:style w:type="paragraph" w:customStyle="1" w:styleId="Legalnumbering1">
    <w:name w:val="Legal numbering 1"/>
    <w:basedOn w:val="Bullet"/>
    <w:qFormat/>
    <w:rsid w:val="00ED3870"/>
    <w:pPr>
      <w:numPr>
        <w:numId w:val="2"/>
      </w:numPr>
      <w:ind w:left="567" w:hanging="567"/>
    </w:pPr>
  </w:style>
  <w:style w:type="character" w:styleId="CommentReference">
    <w:name w:val="annotation reference"/>
    <w:basedOn w:val="DefaultParagraphFont"/>
    <w:uiPriority w:val="99"/>
    <w:semiHidden/>
    <w:unhideWhenUsed/>
    <w:rsid w:val="00742376"/>
    <w:rPr>
      <w:sz w:val="16"/>
      <w:szCs w:val="16"/>
    </w:rPr>
  </w:style>
  <w:style w:type="paragraph" w:styleId="CommentText">
    <w:name w:val="annotation text"/>
    <w:basedOn w:val="Normal"/>
    <w:link w:val="CommentTextChar"/>
    <w:uiPriority w:val="99"/>
    <w:unhideWhenUsed/>
    <w:rsid w:val="00742376"/>
    <w:pPr>
      <w:spacing w:line="240" w:lineRule="auto"/>
    </w:pPr>
    <w:rPr>
      <w:szCs w:val="20"/>
    </w:rPr>
  </w:style>
  <w:style w:type="character" w:customStyle="1" w:styleId="CommentTextChar">
    <w:name w:val="Comment Text Char"/>
    <w:basedOn w:val="DefaultParagraphFont"/>
    <w:link w:val="CommentText"/>
    <w:uiPriority w:val="99"/>
    <w:rsid w:val="00742376"/>
    <w:rPr>
      <w:rFonts w:ascii="Arial" w:hAnsi="Arial"/>
      <w:sz w:val="20"/>
      <w:szCs w:val="20"/>
      <w:lang w:val="en-US"/>
    </w:rPr>
  </w:style>
  <w:style w:type="paragraph" w:customStyle="1" w:styleId="Legalnumbering2">
    <w:name w:val="Legal numbering 2"/>
    <w:basedOn w:val="Legalnumbering1"/>
    <w:qFormat/>
    <w:rsid w:val="00ED3870"/>
    <w:pPr>
      <w:numPr>
        <w:ilvl w:val="1"/>
      </w:numPr>
      <w:ind w:left="567" w:hanging="567"/>
    </w:pPr>
  </w:style>
  <w:style w:type="paragraph" w:customStyle="1" w:styleId="Legalnumbering3">
    <w:name w:val="Legal numbering 3"/>
    <w:basedOn w:val="Legalnumbering2"/>
    <w:qFormat/>
    <w:rsid w:val="00ED3870"/>
    <w:pPr>
      <w:numPr>
        <w:ilvl w:val="2"/>
      </w:numPr>
      <w:ind w:left="567" w:hanging="567"/>
    </w:pPr>
  </w:style>
  <w:style w:type="paragraph" w:customStyle="1" w:styleId="Legalnumbering4">
    <w:name w:val="Legal numbering 4"/>
    <w:basedOn w:val="NTTBullet7"/>
    <w:qFormat/>
    <w:rsid w:val="00303899"/>
    <w:pPr>
      <w:tabs>
        <w:tab w:val="num" w:pos="850"/>
        <w:tab w:val="num" w:pos="1418"/>
      </w:tabs>
      <w:ind w:left="284"/>
    </w:pPr>
  </w:style>
  <w:style w:type="paragraph" w:customStyle="1" w:styleId="Legalnumbering5">
    <w:name w:val="Legal numbering 5"/>
    <w:basedOn w:val="NTTBullet8"/>
    <w:qFormat/>
    <w:rsid w:val="00303899"/>
    <w:pPr>
      <w:tabs>
        <w:tab w:val="num" w:pos="1985"/>
      </w:tabs>
      <w:ind w:left="568"/>
    </w:pPr>
  </w:style>
  <w:style w:type="paragraph" w:customStyle="1" w:styleId="Legalnumbering6">
    <w:name w:val="Legal numbering 6"/>
    <w:basedOn w:val="NTTBullet9"/>
    <w:qFormat/>
    <w:rsid w:val="00303899"/>
    <w:pPr>
      <w:tabs>
        <w:tab w:val="num" w:pos="2552"/>
      </w:tabs>
      <w:ind w:left="851"/>
    </w:pPr>
  </w:style>
  <w:style w:type="paragraph" w:customStyle="1" w:styleId="Tablebullet3">
    <w:name w:val="Table bullet 3"/>
    <w:basedOn w:val="NTTBlueTableBullet3"/>
    <w:qFormat/>
    <w:rsid w:val="007318BA"/>
    <w:pPr>
      <w:contextualSpacing/>
    </w:pPr>
    <w:rPr>
      <w:color w:val="2E404D" w:themeColor="text1"/>
    </w:rPr>
  </w:style>
  <w:style w:type="character" w:customStyle="1" w:styleId="BodyTextChar">
    <w:name w:val="Body Text Char"/>
    <w:basedOn w:val="DefaultParagraphFont"/>
    <w:link w:val="BodyText"/>
    <w:uiPriority w:val="99"/>
    <w:rsid w:val="00B745F5"/>
    <w:rPr>
      <w:rFonts w:ascii="Arial" w:hAnsi="Arial"/>
      <w:color w:val="2E404D" w:themeColor="text1"/>
      <w:sz w:val="20"/>
      <w:lang w:val="en-US"/>
    </w:rPr>
  </w:style>
  <w:style w:type="paragraph" w:styleId="BodyText3">
    <w:name w:val="Body Text 3"/>
    <w:basedOn w:val="Normal"/>
    <w:link w:val="BodyText3Char"/>
    <w:uiPriority w:val="99"/>
    <w:unhideWhenUsed/>
    <w:rsid w:val="00392431"/>
    <w:pPr>
      <w:spacing w:before="160" w:after="160"/>
      <w:contextualSpacing/>
    </w:pPr>
    <w:rPr>
      <w:color w:val="2E404D" w:themeColor="text1"/>
      <w:sz w:val="17"/>
    </w:rPr>
  </w:style>
  <w:style w:type="character" w:customStyle="1" w:styleId="BodyText3Char">
    <w:name w:val="Body Text 3 Char"/>
    <w:basedOn w:val="DefaultParagraphFont"/>
    <w:link w:val="BodyText3"/>
    <w:uiPriority w:val="99"/>
    <w:rsid w:val="00392431"/>
    <w:rPr>
      <w:rFonts w:ascii="Arial" w:hAnsi="Arial"/>
      <w:color w:val="2E404D" w:themeColor="text1"/>
      <w:sz w:val="17"/>
      <w:lang w:val="en-US"/>
    </w:rPr>
  </w:style>
  <w:style w:type="paragraph" w:styleId="BodyTextIndent">
    <w:name w:val="Body Text Indent"/>
    <w:basedOn w:val="Normal"/>
    <w:link w:val="BodyTextIndentChar"/>
    <w:uiPriority w:val="99"/>
    <w:semiHidden/>
    <w:unhideWhenUsed/>
    <w:rsid w:val="008939C6"/>
    <w:pPr>
      <w:spacing w:after="120"/>
      <w:ind w:left="283"/>
    </w:pPr>
  </w:style>
  <w:style w:type="character" w:customStyle="1" w:styleId="BodyTextIndentChar">
    <w:name w:val="Body Text Indent Char"/>
    <w:basedOn w:val="DefaultParagraphFont"/>
    <w:link w:val="BodyTextIndent"/>
    <w:uiPriority w:val="99"/>
    <w:semiHidden/>
    <w:rsid w:val="008939C6"/>
    <w:rPr>
      <w:rFonts w:ascii="Arial" w:hAnsi="Arial"/>
      <w:sz w:val="20"/>
      <w:lang w:val="en-US"/>
    </w:rPr>
  </w:style>
  <w:style w:type="paragraph" w:styleId="BodyTextIndent3">
    <w:name w:val="Body Text Indent 3"/>
    <w:basedOn w:val="Normal"/>
    <w:link w:val="BodyTextIndent3Char"/>
    <w:uiPriority w:val="99"/>
    <w:semiHidden/>
    <w:unhideWhenUsed/>
    <w:rsid w:val="00382304"/>
    <w:pPr>
      <w:spacing w:after="120"/>
      <w:ind w:left="284"/>
    </w:pPr>
    <w:rPr>
      <w:sz w:val="17"/>
      <w:szCs w:val="16"/>
    </w:rPr>
  </w:style>
  <w:style w:type="paragraph" w:styleId="BodyTextIndent2">
    <w:name w:val="Body Text Indent 2"/>
    <w:basedOn w:val="Normal"/>
    <w:link w:val="BodyTextIndent2Char"/>
    <w:uiPriority w:val="99"/>
    <w:semiHidden/>
    <w:unhideWhenUsed/>
    <w:rsid w:val="008939C6"/>
    <w:pPr>
      <w:spacing w:after="120"/>
      <w:ind w:left="284"/>
    </w:pPr>
  </w:style>
  <w:style w:type="character" w:customStyle="1" w:styleId="BodyTextIndent2Char">
    <w:name w:val="Body Text Indent 2 Char"/>
    <w:basedOn w:val="DefaultParagraphFont"/>
    <w:link w:val="BodyTextIndent2"/>
    <w:uiPriority w:val="99"/>
    <w:semiHidden/>
    <w:rsid w:val="008939C6"/>
    <w:rPr>
      <w:rFonts w:ascii="Arial" w:hAnsi="Arial"/>
      <w:sz w:val="20"/>
      <w:lang w:val="en-US"/>
    </w:rPr>
  </w:style>
  <w:style w:type="character" w:customStyle="1" w:styleId="BodyTextIndent3Char">
    <w:name w:val="Body Text Indent 3 Char"/>
    <w:basedOn w:val="DefaultParagraphFont"/>
    <w:link w:val="BodyTextIndent3"/>
    <w:uiPriority w:val="99"/>
    <w:semiHidden/>
    <w:rsid w:val="00382304"/>
    <w:rPr>
      <w:rFonts w:ascii="Arial" w:hAnsi="Arial"/>
      <w:sz w:val="17"/>
      <w:szCs w:val="16"/>
      <w:lang w:val="en-US"/>
    </w:rPr>
  </w:style>
  <w:style w:type="paragraph" w:customStyle="1" w:styleId="CaptionWide">
    <w:name w:val="Caption Wide"/>
    <w:basedOn w:val="Caption"/>
    <w:uiPriority w:val="99"/>
    <w:rsid w:val="004B7585"/>
    <w:pPr>
      <w:spacing w:line="264" w:lineRule="auto"/>
      <w:ind w:left="0"/>
    </w:pPr>
    <w:rPr>
      <w:spacing w:val="0"/>
    </w:rPr>
  </w:style>
  <w:style w:type="numbering" w:customStyle="1" w:styleId="NTTAppendixList">
    <w:name w:val="_NTT Appendix List"/>
    <w:uiPriority w:val="89"/>
    <w:rsid w:val="00F93B13"/>
    <w:pPr>
      <w:numPr>
        <w:numId w:val="3"/>
      </w:numPr>
    </w:pPr>
  </w:style>
  <w:style w:type="paragraph" w:customStyle="1" w:styleId="AppendixHeading2">
    <w:name w:val="Appendix Heading 2"/>
    <w:basedOn w:val="Heading2"/>
    <w:next w:val="Normal"/>
    <w:uiPriority w:val="5"/>
    <w:qFormat/>
    <w:rsid w:val="00D24630"/>
    <w:pPr>
      <w:numPr>
        <w:numId w:val="4"/>
      </w:numPr>
      <w:ind w:left="1701" w:hanging="1701"/>
    </w:pPr>
    <w:rPr>
      <w:bCs w:val="0"/>
      <w:szCs w:val="32"/>
    </w:rPr>
  </w:style>
  <w:style w:type="paragraph" w:customStyle="1" w:styleId="AppendixHeading3">
    <w:name w:val="Appendix Heading 3"/>
    <w:basedOn w:val="Heading3"/>
    <w:next w:val="Normal"/>
    <w:uiPriority w:val="5"/>
    <w:qFormat/>
    <w:rsid w:val="00FD54FD"/>
    <w:pPr>
      <w:numPr>
        <w:numId w:val="4"/>
      </w:numPr>
      <w:ind w:left="1701" w:hanging="1701"/>
    </w:pPr>
    <w:rPr>
      <w:rFonts w:asciiTheme="minorHAnsi" w:hAnsiTheme="minorHAnsi"/>
      <w:bCs/>
    </w:rPr>
  </w:style>
  <w:style w:type="numbering" w:customStyle="1" w:styleId="NTTBlueBulletList">
    <w:name w:val="_NTT Blue Bullet List"/>
    <w:uiPriority w:val="89"/>
    <w:rsid w:val="009F1A55"/>
    <w:pPr>
      <w:numPr>
        <w:numId w:val="5"/>
      </w:numPr>
    </w:pPr>
  </w:style>
  <w:style w:type="paragraph" w:customStyle="1" w:styleId="NTTBlueBullet1">
    <w:name w:val="NTT Blue Bullet 1"/>
    <w:basedOn w:val="Normal"/>
    <w:uiPriority w:val="29"/>
    <w:rsid w:val="00A43CFD"/>
    <w:pPr>
      <w:numPr>
        <w:numId w:val="6"/>
      </w:numPr>
      <w:tabs>
        <w:tab w:val="clear" w:pos="1134"/>
      </w:tabs>
      <w:spacing w:before="160" w:after="160"/>
      <w:ind w:left="1191" w:hanging="340"/>
      <w:contextualSpacing/>
    </w:pPr>
    <w:rPr>
      <w:rFonts w:eastAsia="Times New Roman" w:cs="Arial"/>
      <w:color w:val="005B96" w:themeColor="accent3"/>
      <w:kern w:val="20"/>
      <w:szCs w:val="20"/>
      <w:lang w:val="en-GB"/>
      <w14:ligatures w14:val="none"/>
    </w:rPr>
  </w:style>
  <w:style w:type="paragraph" w:customStyle="1" w:styleId="NTTBlueBullet2">
    <w:name w:val="NTT Blue Bullet 2"/>
    <w:basedOn w:val="Normal"/>
    <w:uiPriority w:val="29"/>
    <w:rsid w:val="0030602F"/>
    <w:pPr>
      <w:numPr>
        <w:ilvl w:val="1"/>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3">
    <w:name w:val="NTT Blue Bullet 3"/>
    <w:basedOn w:val="Normal"/>
    <w:uiPriority w:val="29"/>
    <w:rsid w:val="0030602F"/>
    <w:pPr>
      <w:numPr>
        <w:ilvl w:val="2"/>
        <w:numId w:val="6"/>
      </w:numPr>
      <w:tabs>
        <w:tab w:val="clear" w:pos="1701"/>
      </w:tabs>
      <w:spacing w:before="160" w:after="160"/>
      <w:ind w:left="1815" w:hanging="284"/>
      <w:contextualSpacing/>
    </w:pPr>
    <w:rPr>
      <w:rFonts w:eastAsia="Times New Roman" w:cs="Arial"/>
      <w:color w:val="005B96" w:themeColor="accent3"/>
      <w:kern w:val="20"/>
      <w:szCs w:val="20"/>
      <w:lang w:val="en-GB"/>
      <w14:ligatures w14:val="none"/>
    </w:rPr>
  </w:style>
  <w:style w:type="paragraph" w:customStyle="1" w:styleId="NTTBlueBullet4">
    <w:name w:val="NTT Blue Bullet 4"/>
    <w:basedOn w:val="Normal"/>
    <w:uiPriority w:val="29"/>
    <w:rsid w:val="00B23563"/>
    <w:pPr>
      <w:numPr>
        <w:ilvl w:val="3"/>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5">
    <w:name w:val="NTT Blue Bullet 5"/>
    <w:basedOn w:val="Normal"/>
    <w:uiPriority w:val="29"/>
    <w:rsid w:val="005A39EB"/>
    <w:pPr>
      <w:numPr>
        <w:ilvl w:val="4"/>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6">
    <w:name w:val="NTT Blue Bullet 6"/>
    <w:basedOn w:val="Normal"/>
    <w:uiPriority w:val="29"/>
    <w:rsid w:val="005A39EB"/>
    <w:pPr>
      <w:numPr>
        <w:ilvl w:val="5"/>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7">
    <w:name w:val="NTT Blue Bullet 7"/>
    <w:basedOn w:val="Normal"/>
    <w:uiPriority w:val="29"/>
    <w:rsid w:val="00911702"/>
    <w:pPr>
      <w:numPr>
        <w:ilvl w:val="6"/>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8">
    <w:name w:val="NTT Blue Bullet 8"/>
    <w:basedOn w:val="Normal"/>
    <w:uiPriority w:val="29"/>
    <w:rsid w:val="004C2406"/>
    <w:pPr>
      <w:numPr>
        <w:ilvl w:val="7"/>
        <w:numId w:val="6"/>
      </w:numPr>
      <w:tabs>
        <w:tab w:val="clear" w:pos="1985"/>
      </w:tabs>
      <w:spacing w:before="160" w:after="160"/>
      <w:ind w:left="1814" w:hanging="340"/>
      <w:contextualSpacing/>
    </w:pPr>
    <w:rPr>
      <w:rFonts w:eastAsia="Times New Roman" w:cs="Arial"/>
      <w:color w:val="005B96" w:themeColor="accent3"/>
      <w:kern w:val="20"/>
      <w:szCs w:val="20"/>
      <w:lang w:val="en-GB"/>
      <w14:ligatures w14:val="none"/>
    </w:rPr>
  </w:style>
  <w:style w:type="paragraph" w:customStyle="1" w:styleId="NTTBlueBullet9">
    <w:name w:val="NTT Blue Bullet 9"/>
    <w:basedOn w:val="Normal"/>
    <w:uiPriority w:val="29"/>
    <w:rsid w:val="004C2406"/>
    <w:pPr>
      <w:numPr>
        <w:ilvl w:val="8"/>
        <w:numId w:val="6"/>
      </w:numPr>
      <w:tabs>
        <w:tab w:val="clear" w:pos="2552"/>
      </w:tabs>
      <w:spacing w:before="160" w:after="160"/>
      <w:ind w:left="1814" w:hanging="340"/>
      <w:contextualSpacing/>
    </w:pPr>
    <w:rPr>
      <w:rFonts w:eastAsia="Times New Roman" w:cs="Arial"/>
      <w:color w:val="005B96" w:themeColor="accent3"/>
      <w:kern w:val="20"/>
      <w:szCs w:val="20"/>
      <w:lang w:val="en-GB"/>
      <w14:ligatures w14:val="none"/>
    </w:rPr>
  </w:style>
  <w:style w:type="numbering" w:customStyle="1" w:styleId="NTTBlueTableBulletList">
    <w:name w:val="_NTT Blue Table Bullet List"/>
    <w:uiPriority w:val="89"/>
    <w:rsid w:val="009F1A55"/>
    <w:pPr>
      <w:numPr>
        <w:numId w:val="7"/>
      </w:numPr>
    </w:pPr>
  </w:style>
  <w:style w:type="paragraph" w:customStyle="1" w:styleId="NTTBlueTableBullet1">
    <w:name w:val="NTT Blue Table Bullet 1"/>
    <w:basedOn w:val="Normal"/>
    <w:uiPriority w:val="34"/>
    <w:rsid w:val="0015224D"/>
    <w:pPr>
      <w:numPr>
        <w:numId w:val="8"/>
      </w:numPr>
      <w:tabs>
        <w:tab w:val="clear" w:pos="283"/>
      </w:tabs>
      <w:ind w:left="340" w:hanging="340"/>
      <w:contextualSpacing/>
    </w:pPr>
    <w:rPr>
      <w:rFonts w:eastAsia="Times New Roman" w:cs="Arial"/>
      <w:color w:val="005B96" w:themeColor="accent3"/>
      <w:kern w:val="18"/>
      <w:szCs w:val="18"/>
      <w:lang w:val="en-GB"/>
      <w14:ligatures w14:val="none"/>
    </w:rPr>
  </w:style>
  <w:style w:type="paragraph" w:customStyle="1" w:styleId="NTTBlueTableBullet2">
    <w:name w:val="NTT Blue Table Bullet 2"/>
    <w:basedOn w:val="Normal"/>
    <w:uiPriority w:val="34"/>
    <w:rsid w:val="00767F75"/>
    <w:pPr>
      <w:numPr>
        <w:ilvl w:val="1"/>
        <w:numId w:val="8"/>
      </w:numPr>
      <w:tabs>
        <w:tab w:val="clear" w:pos="1134"/>
      </w:tabs>
      <w:ind w:left="680" w:hanging="340"/>
    </w:pPr>
    <w:rPr>
      <w:rFonts w:eastAsia="Times New Roman" w:cs="Arial"/>
      <w:color w:val="005B96" w:themeColor="accent3"/>
      <w:kern w:val="18"/>
      <w:szCs w:val="20"/>
      <w:lang w:val="en-GB"/>
      <w14:ligatures w14:val="none"/>
    </w:rPr>
  </w:style>
  <w:style w:type="paragraph" w:customStyle="1" w:styleId="NTTBlueTableBullet3">
    <w:name w:val="NTT Blue Table Bullet 3"/>
    <w:basedOn w:val="Normal"/>
    <w:uiPriority w:val="34"/>
    <w:rsid w:val="00767F75"/>
    <w:pPr>
      <w:numPr>
        <w:ilvl w:val="2"/>
        <w:numId w:val="8"/>
      </w:numPr>
      <w:tabs>
        <w:tab w:val="clear" w:pos="850"/>
      </w:tabs>
      <w:ind w:left="964" w:hanging="284"/>
    </w:pPr>
    <w:rPr>
      <w:rFonts w:eastAsia="Times New Roman" w:cs="Arial"/>
      <w:color w:val="005B96" w:themeColor="accent3"/>
      <w:kern w:val="18"/>
      <w:szCs w:val="20"/>
      <w:lang w:val="en-GB"/>
      <w14:ligatures w14:val="none"/>
    </w:rPr>
  </w:style>
  <w:style w:type="paragraph" w:customStyle="1" w:styleId="NTTBlueTableBullet4">
    <w:name w:val="NTT Blue Table Bullet 4"/>
    <w:basedOn w:val="Normal"/>
    <w:uiPriority w:val="34"/>
    <w:rsid w:val="00ED179B"/>
    <w:pPr>
      <w:numPr>
        <w:ilvl w:val="3"/>
        <w:numId w:val="8"/>
      </w:numPr>
      <w:tabs>
        <w:tab w:val="clear" w:pos="567"/>
        <w:tab w:val="left" w:pos="0"/>
      </w:tabs>
      <w:ind w:left="851" w:hanging="851"/>
    </w:pPr>
    <w:rPr>
      <w:rFonts w:eastAsia="Times New Roman" w:cs="Arial"/>
      <w:color w:val="005B96" w:themeColor="accent3"/>
      <w:kern w:val="18"/>
      <w:szCs w:val="20"/>
      <w:lang w:val="en-GB"/>
      <w14:ligatures w14:val="none"/>
    </w:rPr>
  </w:style>
  <w:style w:type="paragraph" w:customStyle="1" w:styleId="NTTBlueTableBullet5">
    <w:name w:val="NTT Blue Table Bullet 5"/>
    <w:basedOn w:val="Normal"/>
    <w:uiPriority w:val="34"/>
    <w:rsid w:val="0040405A"/>
    <w:pPr>
      <w:numPr>
        <w:ilvl w:val="4"/>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6">
    <w:name w:val="NTT Blue Table Bullet 6"/>
    <w:basedOn w:val="Normal"/>
    <w:uiPriority w:val="34"/>
    <w:rsid w:val="0062106E"/>
    <w:pPr>
      <w:numPr>
        <w:ilvl w:val="5"/>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7">
    <w:name w:val="NTT Blue Table Bullet 7"/>
    <w:basedOn w:val="Normal"/>
    <w:uiPriority w:val="34"/>
    <w:rsid w:val="00911702"/>
    <w:pPr>
      <w:numPr>
        <w:ilvl w:val="6"/>
        <w:numId w:val="8"/>
      </w:numPr>
      <w:tabs>
        <w:tab w:val="clear" w:pos="567"/>
      </w:tabs>
      <w:ind w:left="680" w:hanging="340"/>
    </w:pPr>
    <w:rPr>
      <w:rFonts w:eastAsia="Times New Roman" w:cs="Arial"/>
      <w:color w:val="005B96" w:themeColor="accent3"/>
      <w:kern w:val="18"/>
      <w:szCs w:val="20"/>
      <w:lang w:val="en-GB"/>
      <w14:ligatures w14:val="none"/>
    </w:rPr>
  </w:style>
  <w:style w:type="paragraph" w:customStyle="1" w:styleId="NTTBlueTableBullet8">
    <w:name w:val="NTT Blue Table Bullet 8"/>
    <w:basedOn w:val="Normal"/>
    <w:uiPriority w:val="34"/>
    <w:rsid w:val="00D87AB2"/>
    <w:pPr>
      <w:numPr>
        <w:ilvl w:val="7"/>
        <w:numId w:val="8"/>
      </w:numPr>
      <w:ind w:left="964" w:hanging="340"/>
    </w:pPr>
    <w:rPr>
      <w:rFonts w:eastAsia="Times New Roman" w:cs="Arial"/>
      <w:color w:val="005B96" w:themeColor="accent3"/>
      <w:kern w:val="18"/>
      <w:szCs w:val="20"/>
      <w:lang w:val="en-GB"/>
      <w14:ligatures w14:val="none"/>
    </w:rPr>
  </w:style>
  <w:style w:type="paragraph" w:customStyle="1" w:styleId="NTTBlueTableBullet9">
    <w:name w:val="NTT Blue Table Bullet 9"/>
    <w:basedOn w:val="Normal"/>
    <w:uiPriority w:val="34"/>
    <w:rsid w:val="004C2406"/>
    <w:pPr>
      <w:numPr>
        <w:ilvl w:val="8"/>
        <w:numId w:val="8"/>
      </w:numPr>
      <w:ind w:left="964" w:hanging="340"/>
    </w:pPr>
    <w:rPr>
      <w:rFonts w:eastAsia="Times New Roman" w:cs="Arial"/>
      <w:color w:val="005B96" w:themeColor="accent3"/>
      <w:kern w:val="18"/>
      <w:szCs w:val="20"/>
      <w:lang w:val="en-GB"/>
      <w14:ligatures w14:val="none"/>
    </w:rPr>
  </w:style>
  <w:style w:type="numbering" w:customStyle="1" w:styleId="NTTBulletList">
    <w:name w:val="_NTT Bullet List"/>
    <w:uiPriority w:val="89"/>
    <w:rsid w:val="00DD1DB4"/>
    <w:pPr>
      <w:numPr>
        <w:numId w:val="9"/>
      </w:numPr>
    </w:pPr>
  </w:style>
  <w:style w:type="numbering" w:customStyle="1" w:styleId="NTTFlushBlueBulletList">
    <w:name w:val="_NTT Flush Blue Bullet List"/>
    <w:rsid w:val="00DD1DB4"/>
    <w:pPr>
      <w:numPr>
        <w:numId w:val="10"/>
      </w:numPr>
    </w:pPr>
  </w:style>
  <w:style w:type="numbering" w:customStyle="1" w:styleId="NTTFlushBulletList">
    <w:name w:val="_NTT Flush Bullet List"/>
    <w:basedOn w:val="NoList"/>
    <w:rsid w:val="00DD1DB4"/>
    <w:pPr>
      <w:numPr>
        <w:numId w:val="11"/>
      </w:numPr>
    </w:pPr>
  </w:style>
  <w:style w:type="paragraph" w:customStyle="1" w:styleId="NTTBullet1">
    <w:name w:val="NTT Bullet 1"/>
    <w:basedOn w:val="Normal"/>
    <w:link w:val="NTTBullet1Char"/>
    <w:uiPriority w:val="9"/>
    <w:qFormat/>
    <w:rsid w:val="008C0602"/>
    <w:pPr>
      <w:numPr>
        <w:numId w:val="12"/>
      </w:numPr>
      <w:tabs>
        <w:tab w:val="clear" w:pos="1134"/>
      </w:tabs>
      <w:spacing w:before="160" w:after="160"/>
      <w:ind w:left="1191" w:hanging="340"/>
      <w:contextualSpacing/>
    </w:pPr>
    <w:rPr>
      <w:rFonts w:eastAsia="Times New Roman" w:cs="Arial"/>
      <w:color w:val="2E404D" w:themeColor="text1"/>
      <w:kern w:val="20"/>
      <w:szCs w:val="20"/>
      <w:lang w:val="en-GB"/>
      <w14:ligatures w14:val="none"/>
    </w:rPr>
  </w:style>
  <w:style w:type="character" w:customStyle="1" w:styleId="NTTBullet1Char">
    <w:name w:val="NTT Bullet 1 Char"/>
    <w:basedOn w:val="DefaultParagraphFont"/>
    <w:link w:val="NTTBullet1"/>
    <w:uiPriority w:val="9"/>
    <w:rsid w:val="008C0602"/>
    <w:rPr>
      <w:rFonts w:ascii="Arial" w:eastAsia="Times New Roman" w:hAnsi="Arial" w:cs="Arial"/>
      <w:color w:val="2E404D" w:themeColor="text1"/>
      <w:kern w:val="20"/>
      <w:sz w:val="20"/>
      <w:szCs w:val="20"/>
      <w:lang w:val="en-GB"/>
      <w14:ligatures w14:val="none"/>
    </w:rPr>
  </w:style>
  <w:style w:type="paragraph" w:customStyle="1" w:styleId="NTTBullet2">
    <w:name w:val="NTT Bullet 2"/>
    <w:basedOn w:val="NTTBullet1"/>
    <w:uiPriority w:val="9"/>
    <w:qFormat/>
    <w:rsid w:val="00B10354"/>
    <w:pPr>
      <w:numPr>
        <w:ilvl w:val="1"/>
      </w:numPr>
      <w:tabs>
        <w:tab w:val="clear" w:pos="1418"/>
      </w:tabs>
      <w:ind w:left="1531" w:hanging="340"/>
    </w:pPr>
  </w:style>
  <w:style w:type="paragraph" w:customStyle="1" w:styleId="NTTBullet3">
    <w:name w:val="NTT Bullet 3"/>
    <w:basedOn w:val="NTTBullet2"/>
    <w:uiPriority w:val="9"/>
    <w:qFormat/>
    <w:rsid w:val="00252A11"/>
    <w:pPr>
      <w:numPr>
        <w:ilvl w:val="2"/>
      </w:numPr>
      <w:tabs>
        <w:tab w:val="clear" w:pos="1701"/>
      </w:tabs>
      <w:ind w:left="1815" w:hanging="284"/>
    </w:pPr>
  </w:style>
  <w:style w:type="paragraph" w:customStyle="1" w:styleId="NTTBullet4">
    <w:name w:val="NTT Bullet 4"/>
    <w:basedOn w:val="Normal"/>
    <w:uiPriority w:val="9"/>
    <w:rsid w:val="00B23563"/>
    <w:pPr>
      <w:numPr>
        <w:ilvl w:val="3"/>
        <w:numId w:val="12"/>
      </w:numPr>
      <w:tabs>
        <w:tab w:val="clear" w:pos="1418"/>
      </w:tabs>
      <w:spacing w:before="160" w:after="160"/>
      <w:ind w:left="1531" w:hanging="680"/>
      <w:contextualSpacing/>
    </w:pPr>
    <w:rPr>
      <w:rFonts w:eastAsia="Times New Roman" w:cs="Arial"/>
      <w:color w:val="2E404D" w:themeColor="text1"/>
      <w:kern w:val="20"/>
      <w:szCs w:val="20"/>
      <w:lang w:val="en-GB"/>
      <w14:ligatures w14:val="none"/>
    </w:rPr>
  </w:style>
  <w:style w:type="paragraph" w:customStyle="1" w:styleId="NTTBullet5">
    <w:name w:val="NTT Bullet 5"/>
    <w:basedOn w:val="NTTBullet4"/>
    <w:uiPriority w:val="9"/>
    <w:rsid w:val="00B23563"/>
    <w:pPr>
      <w:numPr>
        <w:ilvl w:val="4"/>
      </w:numPr>
      <w:tabs>
        <w:tab w:val="clear" w:pos="1418"/>
      </w:tabs>
      <w:ind w:left="1531" w:hanging="680"/>
    </w:pPr>
  </w:style>
  <w:style w:type="paragraph" w:customStyle="1" w:styleId="NTTBullet6">
    <w:name w:val="NTT Bullet 6"/>
    <w:basedOn w:val="NTTBullet5"/>
    <w:uiPriority w:val="9"/>
    <w:rsid w:val="00B23563"/>
    <w:pPr>
      <w:numPr>
        <w:ilvl w:val="5"/>
      </w:numPr>
      <w:tabs>
        <w:tab w:val="clear" w:pos="1418"/>
      </w:tabs>
      <w:ind w:left="1531" w:hanging="680"/>
    </w:pPr>
  </w:style>
  <w:style w:type="paragraph" w:customStyle="1" w:styleId="NTTBullet7">
    <w:name w:val="NTT Bullet 7"/>
    <w:basedOn w:val="Normal"/>
    <w:uiPriority w:val="9"/>
    <w:qFormat/>
    <w:rsid w:val="00911702"/>
    <w:pPr>
      <w:numPr>
        <w:ilvl w:val="6"/>
        <w:numId w:val="12"/>
      </w:numPr>
      <w:tabs>
        <w:tab w:val="clear" w:pos="1418"/>
      </w:tabs>
      <w:spacing w:before="160" w:after="160"/>
      <w:ind w:left="1531" w:hanging="340"/>
      <w:contextualSpacing/>
    </w:pPr>
    <w:rPr>
      <w:rFonts w:eastAsia="Times New Roman" w:cs="Arial"/>
      <w:color w:val="2E404D" w:themeColor="text1"/>
      <w:kern w:val="20"/>
      <w:szCs w:val="20"/>
      <w:lang w:val="en-GB"/>
      <w14:ligatures w14:val="none"/>
    </w:rPr>
  </w:style>
  <w:style w:type="paragraph" w:customStyle="1" w:styleId="NTTBullet8">
    <w:name w:val="NTT Bullet 8"/>
    <w:basedOn w:val="NTTBullet7"/>
    <w:uiPriority w:val="9"/>
    <w:qFormat/>
    <w:rsid w:val="00D87AB2"/>
    <w:pPr>
      <w:numPr>
        <w:ilvl w:val="7"/>
      </w:numPr>
      <w:tabs>
        <w:tab w:val="clear" w:pos="1985"/>
      </w:tabs>
      <w:ind w:left="1814" w:hanging="340"/>
    </w:pPr>
  </w:style>
  <w:style w:type="paragraph" w:customStyle="1" w:styleId="NTTBullet9">
    <w:name w:val="NTT Bullet 9"/>
    <w:basedOn w:val="NTTBullet8"/>
    <w:uiPriority w:val="9"/>
    <w:qFormat/>
    <w:rsid w:val="004C2406"/>
    <w:pPr>
      <w:numPr>
        <w:ilvl w:val="8"/>
      </w:numPr>
      <w:tabs>
        <w:tab w:val="clear" w:pos="2552"/>
      </w:tabs>
      <w:ind w:left="1814" w:hanging="340"/>
    </w:pPr>
  </w:style>
  <w:style w:type="paragraph" w:customStyle="1" w:styleId="NTTFlushBlueBullet1">
    <w:name w:val="NTT Flush Blue Bullet 1"/>
    <w:basedOn w:val="Normal"/>
    <w:link w:val="NTTFlushBlueBullet1Char"/>
    <w:rsid w:val="00E728B1"/>
    <w:pPr>
      <w:numPr>
        <w:numId w:val="13"/>
      </w:numPr>
      <w:spacing w:before="160" w:after="160"/>
      <w:ind w:left="397" w:hanging="397"/>
      <w:contextualSpacing/>
    </w:pPr>
    <w:rPr>
      <w:rFonts w:eastAsia="Times New Roman" w:cs="Arial"/>
      <w:color w:val="005B96" w:themeColor="accent3"/>
      <w:kern w:val="20"/>
      <w:szCs w:val="20"/>
      <w:lang w:val="en-GB"/>
      <w14:ligatures w14:val="none"/>
    </w:rPr>
  </w:style>
  <w:style w:type="character" w:customStyle="1" w:styleId="NTTFlushBlueBullet1Char">
    <w:name w:val="NTT Flush Blue Bullet 1 Char"/>
    <w:basedOn w:val="DefaultParagraphFont"/>
    <w:link w:val="NTTFlushBlueBullet1"/>
    <w:rsid w:val="00E728B1"/>
    <w:rPr>
      <w:rFonts w:ascii="Arial" w:eastAsia="Times New Roman" w:hAnsi="Arial" w:cs="Arial"/>
      <w:color w:val="005B96" w:themeColor="accent3"/>
      <w:kern w:val="20"/>
      <w:sz w:val="20"/>
      <w:szCs w:val="20"/>
      <w:lang w:val="en-GB"/>
      <w14:ligatures w14:val="none"/>
    </w:rPr>
  </w:style>
  <w:style w:type="paragraph" w:customStyle="1" w:styleId="NTTFlushBlueBullet2">
    <w:name w:val="NTT Flush Blue Bullet 2"/>
    <w:basedOn w:val="Normal"/>
    <w:link w:val="NTTFlushBlueBullet2Char"/>
    <w:rsid w:val="00251212"/>
    <w:pPr>
      <w:numPr>
        <w:ilvl w:val="1"/>
        <w:numId w:val="13"/>
      </w:numPr>
      <w:spacing w:before="160" w:after="160"/>
      <w:ind w:left="851" w:hanging="397"/>
      <w:contextualSpacing/>
    </w:pPr>
    <w:rPr>
      <w:rFonts w:eastAsia="Times New Roman" w:cs="Arial"/>
      <w:color w:val="005B96" w:themeColor="accent3"/>
      <w:kern w:val="20"/>
      <w:szCs w:val="20"/>
      <w:lang w:val="en-GB"/>
      <w14:ligatures w14:val="none"/>
    </w:rPr>
  </w:style>
  <w:style w:type="character" w:customStyle="1" w:styleId="NTTFlushBlueBullet2Char">
    <w:name w:val="NTT Flush Blue Bullet 2 Char"/>
    <w:basedOn w:val="DefaultParagraphFont"/>
    <w:link w:val="NTTFlushBlueBullet2"/>
    <w:rsid w:val="00251212"/>
    <w:rPr>
      <w:rFonts w:ascii="Arial" w:eastAsia="Times New Roman" w:hAnsi="Arial" w:cs="Arial"/>
      <w:color w:val="005B96" w:themeColor="accent3"/>
      <w:kern w:val="20"/>
      <w:sz w:val="20"/>
      <w:szCs w:val="20"/>
      <w:lang w:val="en-GB"/>
      <w14:ligatures w14:val="none"/>
    </w:rPr>
  </w:style>
  <w:style w:type="paragraph" w:customStyle="1" w:styleId="NTTFlushBlueBullet3">
    <w:name w:val="NTT Flush Blue Bullet 3"/>
    <w:basedOn w:val="Normal"/>
    <w:link w:val="NTTFlushBlueBullet3Char"/>
    <w:rsid w:val="00251212"/>
    <w:pPr>
      <w:numPr>
        <w:ilvl w:val="2"/>
        <w:numId w:val="13"/>
      </w:numPr>
      <w:spacing w:before="160" w:after="160"/>
      <w:ind w:left="1078"/>
      <w:contextualSpacing/>
    </w:pPr>
    <w:rPr>
      <w:rFonts w:eastAsia="Times New Roman" w:cs="Arial"/>
      <w:color w:val="005B96" w:themeColor="accent3"/>
      <w:kern w:val="20"/>
      <w:szCs w:val="20"/>
      <w:lang w:val="en-GB"/>
      <w14:ligatures w14:val="none"/>
    </w:rPr>
  </w:style>
  <w:style w:type="character" w:customStyle="1" w:styleId="NTTFlushBlueBullet3Char">
    <w:name w:val="NTT Flush Blue Bullet 3 Char"/>
    <w:basedOn w:val="DefaultParagraphFont"/>
    <w:link w:val="NTTFlushBlueBulle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4">
    <w:name w:val="NTT Flush Blue Bullet 4"/>
    <w:basedOn w:val="Normal"/>
    <w:link w:val="NTTFlushBlueBullet4Char"/>
    <w:rsid w:val="00257804"/>
    <w:pPr>
      <w:numPr>
        <w:ilvl w:val="3"/>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4Char">
    <w:name w:val="NTT Flush Blue Bullet 4 Char"/>
    <w:basedOn w:val="DefaultParagraphFont"/>
    <w:link w:val="NTTFlushBlueBullet4"/>
    <w:rsid w:val="00257804"/>
    <w:rPr>
      <w:rFonts w:ascii="Arial" w:eastAsia="Times New Roman" w:hAnsi="Arial" w:cs="Arial"/>
      <w:color w:val="005B96" w:themeColor="accent3"/>
      <w:kern w:val="20"/>
      <w:sz w:val="20"/>
      <w:szCs w:val="20"/>
      <w:lang w:val="en-GB"/>
      <w14:ligatures w14:val="none"/>
    </w:rPr>
  </w:style>
  <w:style w:type="paragraph" w:customStyle="1" w:styleId="NTTFlushBlueBullet5">
    <w:name w:val="NTT Flush Blue Bullet 5"/>
    <w:basedOn w:val="Normal"/>
    <w:link w:val="NTTFlushBlueBullet5Char"/>
    <w:rsid w:val="00257804"/>
    <w:pPr>
      <w:numPr>
        <w:ilvl w:val="4"/>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5Char">
    <w:name w:val="NTT Flush Blue Bullet 5 Char"/>
    <w:basedOn w:val="DefaultParagraphFont"/>
    <w:link w:val="NTTFlushBlueBullet5"/>
    <w:rsid w:val="00257804"/>
    <w:rPr>
      <w:rFonts w:ascii="Arial" w:eastAsia="Times New Roman" w:hAnsi="Arial" w:cs="Arial"/>
      <w:color w:val="005B96" w:themeColor="accent3"/>
      <w:kern w:val="20"/>
      <w:sz w:val="20"/>
      <w:szCs w:val="20"/>
      <w:lang w:val="en-GB"/>
      <w14:ligatures w14:val="none"/>
    </w:rPr>
  </w:style>
  <w:style w:type="paragraph" w:customStyle="1" w:styleId="NTTFlushBlueBullet6">
    <w:name w:val="NTT Flush Blue Bullet 6"/>
    <w:basedOn w:val="Normal"/>
    <w:link w:val="NTTFlushBlueBullet6Char"/>
    <w:rsid w:val="00257804"/>
    <w:pPr>
      <w:numPr>
        <w:ilvl w:val="5"/>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6Char">
    <w:name w:val="NTT Flush Blue Bullet 6 Char"/>
    <w:basedOn w:val="DefaultParagraphFont"/>
    <w:link w:val="NTTFlushBlueBullet6"/>
    <w:rsid w:val="00257804"/>
    <w:rPr>
      <w:rFonts w:ascii="Arial" w:eastAsia="Times New Roman" w:hAnsi="Arial" w:cs="Arial"/>
      <w:color w:val="005B96" w:themeColor="accent3"/>
      <w:kern w:val="20"/>
      <w:sz w:val="20"/>
      <w:szCs w:val="20"/>
      <w:lang w:val="en-GB"/>
      <w14:ligatures w14:val="none"/>
    </w:rPr>
  </w:style>
  <w:style w:type="paragraph" w:customStyle="1" w:styleId="NTTFlushBlueBullet7">
    <w:name w:val="NTT Flush Blue Bullet 7"/>
    <w:basedOn w:val="Normal"/>
    <w:link w:val="NTTFlushBlueBullet7Char"/>
    <w:rsid w:val="006569FC"/>
    <w:pPr>
      <w:numPr>
        <w:ilvl w:val="6"/>
        <w:numId w:val="13"/>
      </w:numPr>
      <w:spacing w:before="160" w:after="160"/>
      <w:ind w:left="680" w:hanging="340"/>
      <w:contextualSpacing/>
    </w:pPr>
    <w:rPr>
      <w:rFonts w:eastAsia="Times New Roman" w:cs="Arial"/>
      <w:color w:val="005B96" w:themeColor="accent3"/>
      <w:kern w:val="20"/>
      <w:szCs w:val="20"/>
      <w:lang w:val="en-GB"/>
      <w14:ligatures w14:val="none"/>
    </w:rPr>
  </w:style>
  <w:style w:type="character" w:customStyle="1" w:styleId="NTTFlushBlueBullet7Char">
    <w:name w:val="NTT Flush Blue Bullet 7 Char"/>
    <w:basedOn w:val="DefaultParagraphFont"/>
    <w:link w:val="NTTFlushBlueBullet7"/>
    <w:rsid w:val="006569FC"/>
    <w:rPr>
      <w:rFonts w:ascii="Arial" w:eastAsia="Times New Roman" w:hAnsi="Arial" w:cs="Arial"/>
      <w:color w:val="005B96" w:themeColor="accent3"/>
      <w:kern w:val="20"/>
      <w:sz w:val="20"/>
      <w:szCs w:val="20"/>
      <w:lang w:val="en-GB"/>
      <w14:ligatures w14:val="none"/>
    </w:rPr>
  </w:style>
  <w:style w:type="paragraph" w:customStyle="1" w:styleId="NTTFlushBlueBullet8">
    <w:name w:val="NTT Flush Blue Bullet 8"/>
    <w:basedOn w:val="Normal"/>
    <w:link w:val="NTTFlushBlueBullet8Char"/>
    <w:rsid w:val="00D87AB2"/>
    <w:pPr>
      <w:numPr>
        <w:ilvl w:val="7"/>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8Char">
    <w:name w:val="NTT Flush Blue Bullet 8 Char"/>
    <w:basedOn w:val="DefaultParagraphFont"/>
    <w:link w:val="NTTFlushBlueBullet8"/>
    <w:rsid w:val="00D87AB2"/>
    <w:rPr>
      <w:rFonts w:ascii="Arial" w:eastAsia="Times New Roman" w:hAnsi="Arial" w:cs="Arial"/>
      <w:color w:val="005B96" w:themeColor="accent3"/>
      <w:kern w:val="20"/>
      <w:sz w:val="20"/>
      <w:szCs w:val="20"/>
      <w:lang w:val="en-GB"/>
      <w14:ligatures w14:val="none"/>
    </w:rPr>
  </w:style>
  <w:style w:type="paragraph" w:customStyle="1" w:styleId="NTTFlushBlueBullet9">
    <w:name w:val="NTT Flush Blue Bullet 9"/>
    <w:basedOn w:val="Normal"/>
    <w:link w:val="NTTFlushBlueBullet9Char"/>
    <w:rsid w:val="004C2406"/>
    <w:pPr>
      <w:numPr>
        <w:ilvl w:val="8"/>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9Char">
    <w:name w:val="NTT Flush Blue Bullet 9 Char"/>
    <w:basedOn w:val="DefaultParagraphFont"/>
    <w:link w:val="NTTFlushBlueBullet9"/>
    <w:rsid w:val="004C2406"/>
    <w:rPr>
      <w:rFonts w:ascii="Arial" w:eastAsia="Times New Roman" w:hAnsi="Arial" w:cs="Arial"/>
      <w:color w:val="005B96" w:themeColor="accent3"/>
      <w:kern w:val="20"/>
      <w:sz w:val="20"/>
      <w:szCs w:val="20"/>
      <w:lang w:val="en-GB"/>
      <w14:ligatures w14:val="none"/>
    </w:rPr>
  </w:style>
  <w:style w:type="paragraph" w:customStyle="1" w:styleId="NTTFlushBullet1">
    <w:name w:val="NTT Flush Bullet 1"/>
    <w:basedOn w:val="NTTBullet1"/>
    <w:link w:val="NTTFlushBullet1Char"/>
    <w:uiPriority w:val="19"/>
    <w:rsid w:val="00E728B1"/>
    <w:pPr>
      <w:numPr>
        <w:numId w:val="14"/>
      </w:numPr>
      <w:ind w:left="397" w:hanging="397"/>
    </w:pPr>
  </w:style>
  <w:style w:type="character" w:customStyle="1" w:styleId="NTTFlushBullet1Char">
    <w:name w:val="NTT Flush Bullet 1 Char"/>
    <w:basedOn w:val="NTTBullet1Char"/>
    <w:link w:val="NTTFlushBullet1"/>
    <w:uiPriority w:val="19"/>
    <w:rsid w:val="00E728B1"/>
    <w:rPr>
      <w:rFonts w:ascii="Arial" w:eastAsia="Times New Roman" w:hAnsi="Arial" w:cs="Arial"/>
      <w:color w:val="2E404D" w:themeColor="text1"/>
      <w:kern w:val="20"/>
      <w:sz w:val="20"/>
      <w:szCs w:val="20"/>
      <w:lang w:val="en-GB"/>
      <w14:ligatures w14:val="none"/>
    </w:rPr>
  </w:style>
  <w:style w:type="paragraph" w:customStyle="1" w:styleId="NTTFlushBullet2">
    <w:name w:val="NTT Flush Bullet 2"/>
    <w:basedOn w:val="NTTBullet2"/>
    <w:uiPriority w:val="19"/>
    <w:rsid w:val="00E728B1"/>
    <w:pPr>
      <w:numPr>
        <w:numId w:val="14"/>
      </w:numPr>
      <w:ind w:left="794" w:hanging="340"/>
    </w:pPr>
  </w:style>
  <w:style w:type="paragraph" w:customStyle="1" w:styleId="NTTFlushBullet3">
    <w:name w:val="NTT Flush Bullet 3"/>
    <w:basedOn w:val="NTTBullet3"/>
    <w:uiPriority w:val="19"/>
    <w:rsid w:val="00251212"/>
    <w:pPr>
      <w:numPr>
        <w:numId w:val="14"/>
      </w:numPr>
      <w:ind w:left="1078"/>
    </w:pPr>
  </w:style>
  <w:style w:type="paragraph" w:customStyle="1" w:styleId="NTTFlushBullet4">
    <w:name w:val="NTT Flush Bullet 4"/>
    <w:basedOn w:val="NTTBullet4"/>
    <w:uiPriority w:val="19"/>
    <w:rsid w:val="00C12906"/>
    <w:pPr>
      <w:numPr>
        <w:numId w:val="14"/>
      </w:numPr>
      <w:ind w:left="851" w:hanging="851"/>
    </w:pPr>
  </w:style>
  <w:style w:type="paragraph" w:customStyle="1" w:styleId="NTTFlushBullet5">
    <w:name w:val="NTT Flush Bullet 5"/>
    <w:basedOn w:val="NTTBullet5"/>
    <w:uiPriority w:val="19"/>
    <w:rsid w:val="00C12906"/>
    <w:pPr>
      <w:numPr>
        <w:numId w:val="14"/>
      </w:numPr>
      <w:ind w:left="851" w:hanging="851"/>
    </w:pPr>
  </w:style>
  <w:style w:type="paragraph" w:customStyle="1" w:styleId="NTTFlushBullet6">
    <w:name w:val="NTT Flush Bullet 6"/>
    <w:basedOn w:val="NTTBullet6"/>
    <w:uiPriority w:val="19"/>
    <w:rsid w:val="00C12906"/>
    <w:pPr>
      <w:numPr>
        <w:numId w:val="14"/>
      </w:numPr>
      <w:ind w:left="851" w:hanging="851"/>
    </w:pPr>
  </w:style>
  <w:style w:type="paragraph" w:customStyle="1" w:styleId="NTTFlushBullet7">
    <w:name w:val="NTT Flush Bullet 7"/>
    <w:basedOn w:val="NTTBullet7"/>
    <w:uiPriority w:val="19"/>
    <w:rsid w:val="00911702"/>
    <w:pPr>
      <w:numPr>
        <w:numId w:val="14"/>
      </w:numPr>
      <w:ind w:left="680" w:hanging="340"/>
    </w:pPr>
  </w:style>
  <w:style w:type="paragraph" w:customStyle="1" w:styleId="NTTFlushBullet8">
    <w:name w:val="NTT Flush Bullet 8"/>
    <w:basedOn w:val="NTTBullet8"/>
    <w:uiPriority w:val="19"/>
    <w:rsid w:val="00F30B8A"/>
    <w:pPr>
      <w:numPr>
        <w:numId w:val="14"/>
      </w:numPr>
      <w:ind w:left="964" w:hanging="340"/>
    </w:pPr>
  </w:style>
  <w:style w:type="paragraph" w:customStyle="1" w:styleId="NTTFlushBullet9">
    <w:name w:val="NTT Flush Bullet 9"/>
    <w:basedOn w:val="NTTBullet9"/>
    <w:uiPriority w:val="19"/>
    <w:rsid w:val="004C2406"/>
    <w:pPr>
      <w:numPr>
        <w:numId w:val="14"/>
      </w:numPr>
      <w:ind w:left="964" w:hanging="340"/>
    </w:pPr>
  </w:style>
  <w:style w:type="numbering" w:customStyle="1" w:styleId="NTTRedBulletList">
    <w:name w:val="_NTT Red Bullet List"/>
    <w:uiPriority w:val="89"/>
    <w:rsid w:val="00FF625A"/>
    <w:pPr>
      <w:numPr>
        <w:numId w:val="15"/>
      </w:numPr>
    </w:pPr>
  </w:style>
  <w:style w:type="numbering" w:customStyle="1" w:styleId="NTTRedTableBulletList">
    <w:name w:val="_NTT Red Table Bullet List"/>
    <w:uiPriority w:val="89"/>
    <w:rsid w:val="00FF625A"/>
    <w:pPr>
      <w:numPr>
        <w:numId w:val="16"/>
      </w:numPr>
    </w:pPr>
  </w:style>
  <w:style w:type="numbering" w:customStyle="1" w:styleId="NTTTableBulletList">
    <w:name w:val="_NTT Table Bullet List"/>
    <w:uiPriority w:val="89"/>
    <w:rsid w:val="00FF625A"/>
    <w:pPr>
      <w:numPr>
        <w:numId w:val="17"/>
      </w:numPr>
    </w:pPr>
  </w:style>
  <w:style w:type="paragraph" w:customStyle="1" w:styleId="NTTRedBullet1">
    <w:name w:val="NTT Red Bullet 1"/>
    <w:basedOn w:val="NTTBlueBullet1"/>
    <w:uiPriority w:val="39"/>
    <w:unhideWhenUsed/>
    <w:rsid w:val="0002263F"/>
    <w:rPr>
      <w:color w:val="E42600"/>
    </w:rPr>
  </w:style>
  <w:style w:type="paragraph" w:customStyle="1" w:styleId="NTTRedBullet2">
    <w:name w:val="NTT Red Bullet 2"/>
    <w:basedOn w:val="NTTBlueBullet2"/>
    <w:uiPriority w:val="39"/>
    <w:unhideWhenUsed/>
    <w:rsid w:val="0002263F"/>
    <w:rPr>
      <w:color w:val="E42600"/>
    </w:rPr>
  </w:style>
  <w:style w:type="paragraph" w:customStyle="1" w:styleId="NTTRedBullet3">
    <w:name w:val="NTT Red Bullet 3"/>
    <w:basedOn w:val="NTTBlueBullet3"/>
    <w:uiPriority w:val="39"/>
    <w:unhideWhenUsed/>
    <w:rsid w:val="0002263F"/>
    <w:rPr>
      <w:color w:val="E42600"/>
    </w:rPr>
  </w:style>
  <w:style w:type="paragraph" w:customStyle="1" w:styleId="NTTRedBullet4">
    <w:name w:val="NTT Red Bullet 4"/>
    <w:basedOn w:val="NTTBlueBullet4"/>
    <w:uiPriority w:val="39"/>
    <w:unhideWhenUsed/>
    <w:rsid w:val="0002263F"/>
    <w:rPr>
      <w:color w:val="E42600"/>
    </w:rPr>
  </w:style>
  <w:style w:type="paragraph" w:customStyle="1" w:styleId="NTTRedBullet5">
    <w:name w:val="NTT Red Bullet 5"/>
    <w:basedOn w:val="NTTBlueBullet5"/>
    <w:uiPriority w:val="39"/>
    <w:unhideWhenUsed/>
    <w:rsid w:val="0002263F"/>
    <w:rPr>
      <w:color w:val="E42600"/>
    </w:rPr>
  </w:style>
  <w:style w:type="paragraph" w:customStyle="1" w:styleId="NTTRedBullet6">
    <w:name w:val="NTT Red Bullet 6"/>
    <w:basedOn w:val="NTTBlueBullet6"/>
    <w:uiPriority w:val="39"/>
    <w:unhideWhenUsed/>
    <w:rsid w:val="0002263F"/>
    <w:rPr>
      <w:color w:val="E42600"/>
    </w:rPr>
  </w:style>
  <w:style w:type="paragraph" w:customStyle="1" w:styleId="NTTRedBullet7">
    <w:name w:val="NTT Red Bullet 7"/>
    <w:basedOn w:val="NTTBlueBullet7"/>
    <w:uiPriority w:val="39"/>
    <w:unhideWhenUsed/>
    <w:rsid w:val="0002263F"/>
    <w:rPr>
      <w:color w:val="E42600"/>
    </w:rPr>
  </w:style>
  <w:style w:type="paragraph" w:customStyle="1" w:styleId="NTTRedBullet8">
    <w:name w:val="NTT Red Bullet 8"/>
    <w:basedOn w:val="NTTBlueBullet8"/>
    <w:uiPriority w:val="39"/>
    <w:unhideWhenUsed/>
    <w:rsid w:val="0002263F"/>
    <w:rPr>
      <w:color w:val="E42600"/>
    </w:rPr>
  </w:style>
  <w:style w:type="paragraph" w:customStyle="1" w:styleId="NTTRedBullet9">
    <w:name w:val="NTT Red Bullet 9"/>
    <w:basedOn w:val="NTTBlueBullet9"/>
    <w:uiPriority w:val="39"/>
    <w:unhideWhenUsed/>
    <w:rsid w:val="0002263F"/>
    <w:rPr>
      <w:color w:val="E42600"/>
    </w:rPr>
  </w:style>
  <w:style w:type="paragraph" w:customStyle="1" w:styleId="NTTTableBullet1">
    <w:name w:val="NTT Table Bullet 1"/>
    <w:basedOn w:val="NTTBlueTableBullet1"/>
    <w:uiPriority w:val="14"/>
    <w:rsid w:val="004703D8"/>
    <w:rPr>
      <w:color w:val="2E404D" w:themeColor="text1"/>
    </w:rPr>
  </w:style>
  <w:style w:type="paragraph" w:customStyle="1" w:styleId="NTTRedTableBullet1">
    <w:name w:val="NTT Red Table Bullet 1"/>
    <w:basedOn w:val="NTTBlueTableBullet1"/>
    <w:uiPriority w:val="44"/>
    <w:unhideWhenUsed/>
    <w:rsid w:val="0002263F"/>
    <w:rPr>
      <w:color w:val="E42600"/>
    </w:rPr>
  </w:style>
  <w:style w:type="paragraph" w:customStyle="1" w:styleId="NTTTableBullet2">
    <w:name w:val="NTT Table Bullet 2"/>
    <w:basedOn w:val="NTTTableBullet1"/>
    <w:uiPriority w:val="14"/>
    <w:rsid w:val="00E728B1"/>
    <w:pPr>
      <w:numPr>
        <w:ilvl w:val="1"/>
        <w:numId w:val="18"/>
      </w:numPr>
      <w:tabs>
        <w:tab w:val="clear" w:pos="567"/>
      </w:tabs>
      <w:ind w:left="851" w:hanging="454"/>
    </w:pPr>
  </w:style>
  <w:style w:type="paragraph" w:customStyle="1" w:styleId="NTTRedTableBullet2">
    <w:name w:val="NTT Red Table Bullet 2"/>
    <w:basedOn w:val="NTTBlueTableBullet2"/>
    <w:uiPriority w:val="44"/>
    <w:unhideWhenUsed/>
    <w:rsid w:val="0002263F"/>
    <w:pPr>
      <w:contextualSpacing/>
    </w:pPr>
    <w:rPr>
      <w:color w:val="E42600"/>
    </w:rPr>
  </w:style>
  <w:style w:type="paragraph" w:customStyle="1" w:styleId="NTTTableBullet3">
    <w:name w:val="NTT Table Bullet 3"/>
    <w:basedOn w:val="NTTTableBullet2"/>
    <w:uiPriority w:val="14"/>
    <w:rsid w:val="004703D8"/>
    <w:pPr>
      <w:numPr>
        <w:ilvl w:val="2"/>
      </w:numPr>
      <w:tabs>
        <w:tab w:val="clear" w:pos="851"/>
      </w:tabs>
      <w:ind w:left="964"/>
    </w:pPr>
  </w:style>
  <w:style w:type="paragraph" w:customStyle="1" w:styleId="NTTRedTableBullet3">
    <w:name w:val="NTT Red Table Bullet 3"/>
    <w:basedOn w:val="NTTBlueTableBullet3"/>
    <w:uiPriority w:val="44"/>
    <w:unhideWhenUsed/>
    <w:rsid w:val="00F540DE"/>
    <w:rPr>
      <w:color w:val="E42600"/>
    </w:rPr>
  </w:style>
  <w:style w:type="paragraph" w:customStyle="1" w:styleId="NTTTableBullet4">
    <w:name w:val="NTT Table Bullet 4"/>
    <w:basedOn w:val="NTTBlueTableBullet4"/>
    <w:uiPriority w:val="14"/>
    <w:rsid w:val="0074771F"/>
    <w:pPr>
      <w:tabs>
        <w:tab w:val="clear" w:pos="0"/>
      </w:tabs>
      <w:contextualSpacing/>
    </w:pPr>
    <w:rPr>
      <w:color w:val="2E404D" w:themeColor="text1"/>
    </w:rPr>
  </w:style>
  <w:style w:type="paragraph" w:customStyle="1" w:styleId="NTTRedTableBullet4">
    <w:name w:val="NTT Red Table Bullet 4"/>
    <w:basedOn w:val="NTTBlueTableBullet4"/>
    <w:uiPriority w:val="44"/>
    <w:unhideWhenUsed/>
    <w:rsid w:val="0083153F"/>
    <w:pPr>
      <w:tabs>
        <w:tab w:val="clear" w:pos="0"/>
      </w:tabs>
      <w:contextualSpacing/>
    </w:pPr>
    <w:rPr>
      <w:color w:val="E42600"/>
    </w:rPr>
  </w:style>
  <w:style w:type="paragraph" w:customStyle="1" w:styleId="NTTTableBullet5">
    <w:name w:val="NTT Table Bullet 5"/>
    <w:basedOn w:val="NTTBlueTableBullet5"/>
    <w:uiPriority w:val="14"/>
    <w:rsid w:val="004D35A5"/>
    <w:rPr>
      <w:color w:val="2E404D" w:themeColor="text1"/>
    </w:rPr>
  </w:style>
  <w:style w:type="paragraph" w:customStyle="1" w:styleId="NTTRedTableBullet5">
    <w:name w:val="NTT Red Table Bullet 5"/>
    <w:basedOn w:val="NTTBlueTableBullet5"/>
    <w:uiPriority w:val="44"/>
    <w:unhideWhenUsed/>
    <w:rsid w:val="005969B0"/>
    <w:rPr>
      <w:color w:val="E42600"/>
    </w:rPr>
  </w:style>
  <w:style w:type="paragraph" w:customStyle="1" w:styleId="NTTTableBullet6">
    <w:name w:val="NTT Table Bullet 6"/>
    <w:basedOn w:val="NTTRedTableBullet6"/>
    <w:uiPriority w:val="14"/>
    <w:rsid w:val="004D35A5"/>
    <w:rPr>
      <w:color w:val="2E404D" w:themeColor="text1"/>
    </w:rPr>
  </w:style>
  <w:style w:type="paragraph" w:customStyle="1" w:styleId="NTTRedTableBullet6">
    <w:name w:val="NTT Red Table Bullet 6"/>
    <w:basedOn w:val="NTTBlueTableBullet6"/>
    <w:uiPriority w:val="44"/>
    <w:unhideWhenUsed/>
    <w:rsid w:val="0002263F"/>
    <w:pPr>
      <w:contextualSpacing/>
    </w:pPr>
    <w:rPr>
      <w:color w:val="E42600"/>
    </w:rPr>
  </w:style>
  <w:style w:type="paragraph" w:customStyle="1" w:styleId="NTTTableBullet7">
    <w:name w:val="NTT Table Bullet 7"/>
    <w:basedOn w:val="NTTBlueTableBullet7"/>
    <w:uiPriority w:val="14"/>
    <w:rsid w:val="006569FC"/>
    <w:pPr>
      <w:contextualSpacing/>
    </w:pPr>
    <w:rPr>
      <w:color w:val="2E404D" w:themeColor="text1"/>
    </w:rPr>
  </w:style>
  <w:style w:type="paragraph" w:customStyle="1" w:styleId="NTTRedTableBullet7">
    <w:name w:val="NTT Red Table Bullet 7"/>
    <w:basedOn w:val="NTTBlueTableBullet7"/>
    <w:uiPriority w:val="44"/>
    <w:unhideWhenUsed/>
    <w:rsid w:val="0083153F"/>
    <w:pPr>
      <w:contextualSpacing/>
    </w:pPr>
    <w:rPr>
      <w:color w:val="E42600"/>
    </w:rPr>
  </w:style>
  <w:style w:type="paragraph" w:customStyle="1" w:styleId="NTTTableBullet8">
    <w:name w:val="NTT Table Bullet 8"/>
    <w:basedOn w:val="NTTTableBullet7"/>
    <w:uiPriority w:val="14"/>
    <w:rsid w:val="00D87AB2"/>
    <w:pPr>
      <w:numPr>
        <w:ilvl w:val="7"/>
        <w:numId w:val="18"/>
      </w:numPr>
      <w:tabs>
        <w:tab w:val="clear" w:pos="1134"/>
      </w:tabs>
      <w:ind w:left="964" w:hanging="340"/>
    </w:pPr>
  </w:style>
  <w:style w:type="paragraph" w:customStyle="1" w:styleId="NTTRedTableBullet8">
    <w:name w:val="NTT Red Table Bullet 8"/>
    <w:basedOn w:val="NTTBlueTableBullet8"/>
    <w:uiPriority w:val="44"/>
    <w:unhideWhenUsed/>
    <w:rsid w:val="0083153F"/>
    <w:pPr>
      <w:tabs>
        <w:tab w:val="clear" w:pos="1134"/>
      </w:tabs>
      <w:contextualSpacing/>
    </w:pPr>
    <w:rPr>
      <w:color w:val="E42600"/>
    </w:rPr>
  </w:style>
  <w:style w:type="paragraph" w:customStyle="1" w:styleId="NTTTableBullet9">
    <w:name w:val="NTT Table Bullet 9"/>
    <w:basedOn w:val="NTTTableBullet8"/>
    <w:uiPriority w:val="14"/>
    <w:rsid w:val="004C2406"/>
    <w:pPr>
      <w:numPr>
        <w:ilvl w:val="8"/>
      </w:numPr>
      <w:ind w:left="964" w:hanging="340"/>
    </w:pPr>
  </w:style>
  <w:style w:type="paragraph" w:customStyle="1" w:styleId="NTTRedTableBullet9">
    <w:name w:val="NTT Red Table Bullet 9"/>
    <w:basedOn w:val="NTTBlueTableBullet9"/>
    <w:uiPriority w:val="44"/>
    <w:unhideWhenUsed/>
    <w:rsid w:val="0083153F"/>
    <w:pPr>
      <w:tabs>
        <w:tab w:val="clear" w:pos="1701"/>
      </w:tabs>
    </w:pPr>
    <w:rPr>
      <w:color w:val="E42600"/>
    </w:rPr>
  </w:style>
  <w:style w:type="paragraph" w:styleId="BalloonText">
    <w:name w:val="Balloon Text"/>
    <w:basedOn w:val="Normal"/>
    <w:link w:val="BalloonTextChar"/>
    <w:uiPriority w:val="99"/>
    <w:semiHidden/>
    <w:unhideWhenUsed/>
    <w:rsid w:val="000A6681"/>
    <w:pPr>
      <w:spacing w:line="240" w:lineRule="auto"/>
    </w:pPr>
    <w:rPr>
      <w:rFonts w:asciiTheme="minorHAnsi" w:hAnsiTheme="minorHAnsi" w:cs="Segoe UI"/>
      <w:sz w:val="18"/>
      <w:szCs w:val="18"/>
    </w:rPr>
  </w:style>
  <w:style w:type="character" w:customStyle="1" w:styleId="BalloonTextChar">
    <w:name w:val="Balloon Text Char"/>
    <w:basedOn w:val="DefaultParagraphFont"/>
    <w:link w:val="BalloonText"/>
    <w:uiPriority w:val="99"/>
    <w:semiHidden/>
    <w:rsid w:val="000A6681"/>
    <w:rPr>
      <w:rFonts w:cs="Segoe UI"/>
      <w:sz w:val="18"/>
      <w:szCs w:val="18"/>
      <w:lang w:val="en-US"/>
    </w:rPr>
  </w:style>
  <w:style w:type="paragraph" w:styleId="Bibliography">
    <w:name w:val="Bibliography"/>
    <w:basedOn w:val="Normal"/>
    <w:next w:val="Normal"/>
    <w:uiPriority w:val="37"/>
    <w:semiHidden/>
    <w:unhideWhenUsed/>
    <w:rsid w:val="000A6681"/>
  </w:style>
  <w:style w:type="paragraph" w:styleId="NormalIndent">
    <w:name w:val="Normal Indent"/>
    <w:basedOn w:val="Normal"/>
    <w:uiPriority w:val="99"/>
    <w:semiHidden/>
    <w:unhideWhenUsed/>
    <w:rsid w:val="00392431"/>
    <w:pPr>
      <w:ind w:left="851"/>
    </w:pPr>
    <w:rPr>
      <w:color w:val="2E404D" w:themeColor="text1"/>
    </w:rPr>
  </w:style>
  <w:style w:type="character" w:styleId="PageNumber">
    <w:name w:val="page number"/>
    <w:basedOn w:val="DefaultParagraphFont"/>
    <w:uiPriority w:val="99"/>
    <w:semiHidden/>
    <w:unhideWhenUsed/>
    <w:rsid w:val="00392431"/>
    <w:rPr>
      <w:rFonts w:ascii="Arial" w:hAnsi="Arial"/>
      <w:color w:val="2E404D" w:themeColor="text1"/>
    </w:rPr>
  </w:style>
  <w:style w:type="paragraph" w:customStyle="1" w:styleId="NTTAPicture">
    <w:name w:val="NTT A Picture"/>
    <w:basedOn w:val="Normal"/>
    <w:next w:val="Caption"/>
    <w:uiPriority w:val="9"/>
    <w:rsid w:val="007F37BC"/>
    <w:pPr>
      <w:keepNext/>
    </w:pPr>
    <w:rPr>
      <w:rFonts w:eastAsia="Times New Roman" w:cs="Arial"/>
      <w:color w:val="2E404D" w:themeColor="text1"/>
      <w:kern w:val="20"/>
      <w:szCs w:val="20"/>
      <w:lang w:val="en-GB"/>
      <w14:ligatures w14:val="none"/>
    </w:rPr>
  </w:style>
  <w:style w:type="paragraph" w:customStyle="1" w:styleId="NTTActionCaption">
    <w:name w:val="NTT Action Caption"/>
    <w:basedOn w:val="Normal"/>
    <w:next w:val="Normal"/>
    <w:uiPriority w:val="99"/>
    <w:rsid w:val="00A97E47"/>
    <w:pPr>
      <w:spacing w:before="160" w:after="60"/>
    </w:pPr>
    <w:rPr>
      <w:rFonts w:eastAsia="Times New Roman" w:cs="Arial"/>
      <w:i/>
      <w:color w:val="2E404D" w:themeColor="text1"/>
      <w:kern w:val="18"/>
      <w:sz w:val="18"/>
      <w:szCs w:val="20"/>
      <w:lang w:val="en-GB" w:eastAsia="en-GB"/>
      <w14:ligatures w14:val="none"/>
    </w:rPr>
  </w:style>
  <w:style w:type="paragraph" w:customStyle="1" w:styleId="NTTAttachment">
    <w:name w:val="NTT Attachment"/>
    <w:next w:val="Normal"/>
    <w:link w:val="NTTAttachmentChar"/>
    <w:unhideWhenUsed/>
    <w:locked/>
    <w:rsid w:val="00AB5773"/>
    <w:pPr>
      <w:pageBreakBefore/>
      <w:numPr>
        <w:numId w:val="19"/>
      </w:numPr>
      <w:spacing w:before="240" w:after="120" w:line="264" w:lineRule="auto"/>
      <w:ind w:left="1418" w:hanging="1418"/>
      <w:outlineLvl w:val="0"/>
    </w:pPr>
    <w:rPr>
      <w:rFonts w:ascii="Arial Bold" w:hAnsi="Arial Bold" w:cs="Arial"/>
      <w:b/>
      <w:color w:val="2E404D" w:themeColor="text1"/>
      <w:kern w:val="20"/>
      <w:sz w:val="20"/>
      <w:szCs w:val="22"/>
      <w:lang w:val="en-GB"/>
      <w14:ligatures w14:val="none"/>
    </w:rPr>
  </w:style>
  <w:style w:type="character" w:customStyle="1" w:styleId="NTTAttachmentChar">
    <w:name w:val="NTT Attachment Char"/>
    <w:basedOn w:val="DefaultParagraphFont"/>
    <w:link w:val="NTTAttachment"/>
    <w:rsid w:val="00AB5773"/>
    <w:rPr>
      <w:rFonts w:ascii="Arial Bold" w:hAnsi="Arial Bold" w:cs="Arial"/>
      <w:b/>
      <w:color w:val="2E404D" w:themeColor="text1"/>
      <w:kern w:val="20"/>
      <w:sz w:val="20"/>
      <w:szCs w:val="22"/>
      <w:lang w:val="en-GB"/>
      <w14:ligatures w14:val="none"/>
    </w:rPr>
  </w:style>
  <w:style w:type="paragraph" w:customStyle="1" w:styleId="NTTBlueBodyBoldText">
    <w:name w:val="NTT Blue Body Bold Text"/>
    <w:basedOn w:val="Normal"/>
    <w:next w:val="Normal"/>
    <w:uiPriority w:val="29"/>
    <w:rsid w:val="005475C3"/>
    <w:pPr>
      <w:keepNext/>
      <w:keepLines/>
      <w:spacing w:before="160" w:after="160"/>
      <w:ind w:left="851"/>
    </w:pPr>
    <w:rPr>
      <w:rFonts w:ascii="Arial Bold" w:eastAsia="Times New Roman" w:hAnsi="Arial Bold" w:cs="Arial"/>
      <w:b/>
      <w:color w:val="005B96" w:themeColor="accent3"/>
      <w:kern w:val="20"/>
      <w:szCs w:val="20"/>
      <w:lang w:val="en-GB"/>
      <w14:ligatures w14:val="none"/>
    </w:rPr>
  </w:style>
  <w:style w:type="paragraph" w:customStyle="1" w:styleId="NTTBlueBodyText">
    <w:name w:val="NTT Blue Body Text"/>
    <w:basedOn w:val="Normal"/>
    <w:uiPriority w:val="29"/>
    <w:rsid w:val="00045EA2"/>
    <w:pPr>
      <w:spacing w:before="160" w:after="160"/>
      <w:ind w:left="851"/>
    </w:pPr>
    <w:rPr>
      <w:rFonts w:eastAsia="Times New Roman" w:cs="Arial"/>
      <w:color w:val="005B96" w:themeColor="accent3"/>
      <w:kern w:val="20"/>
      <w:szCs w:val="20"/>
      <w:lang w:val="en-GB"/>
      <w14:ligatures w14:val="none"/>
    </w:rPr>
  </w:style>
  <w:style w:type="paragraph" w:customStyle="1" w:styleId="NTTBlueQuestion">
    <w:name w:val="NTT Blue Question"/>
    <w:basedOn w:val="NTTBlueBodyText"/>
    <w:next w:val="Normal"/>
    <w:uiPriority w:val="29"/>
    <w:qFormat/>
    <w:rsid w:val="00690285"/>
    <w:pPr>
      <w:ind w:hanging="851"/>
    </w:pPr>
  </w:style>
  <w:style w:type="paragraph" w:customStyle="1" w:styleId="NTTBlueTableBodyText">
    <w:name w:val="NTT Blue Table Body Text"/>
    <w:basedOn w:val="Normal"/>
    <w:uiPriority w:val="34"/>
    <w:rsid w:val="00690285"/>
    <w:rPr>
      <w:rFonts w:eastAsia="Times New Roman" w:cs="Arial"/>
      <w:color w:val="005B96" w:themeColor="accent3"/>
      <w:kern w:val="18"/>
      <w:szCs w:val="18"/>
      <w:lang w:val="en-GB"/>
      <w14:ligatures w14:val="none"/>
    </w:rPr>
  </w:style>
  <w:style w:type="paragraph" w:customStyle="1" w:styleId="NTTBodyBoldText">
    <w:name w:val="NTT Body Bold Text"/>
    <w:basedOn w:val="Normal"/>
    <w:next w:val="Normal"/>
    <w:uiPriority w:val="9"/>
    <w:qFormat/>
    <w:rsid w:val="00B52EA2"/>
    <w:pPr>
      <w:keepNext/>
      <w:keepLines/>
      <w:spacing w:before="160" w:after="160"/>
      <w:ind w:left="851"/>
    </w:pPr>
    <w:rPr>
      <w:rFonts w:ascii="Arial Bold" w:eastAsia="Times New Roman" w:hAnsi="Arial Bold" w:cs="Arial"/>
      <w:b/>
      <w:color w:val="2E404D" w:themeColor="text1"/>
      <w:kern w:val="20"/>
      <w:szCs w:val="20"/>
      <w:lang w:val="en-GB"/>
      <w14:ligatures w14:val="none"/>
    </w:rPr>
  </w:style>
  <w:style w:type="paragraph" w:customStyle="1" w:styleId="NTTBodyText">
    <w:name w:val="NTT Body Text"/>
    <w:link w:val="NTTBodyTextChar"/>
    <w:uiPriority w:val="1"/>
    <w:qFormat/>
    <w:rsid w:val="00690285"/>
    <w:pPr>
      <w:spacing w:before="160" w:after="160" w:line="264" w:lineRule="auto"/>
      <w:ind w:left="851"/>
    </w:pPr>
    <w:rPr>
      <w:rFonts w:ascii="Arial" w:eastAsia="Times New Roman" w:hAnsi="Arial" w:cs="Arial"/>
      <w:color w:val="2E404D" w:themeColor="text1"/>
      <w:kern w:val="20"/>
      <w:sz w:val="20"/>
      <w:szCs w:val="20"/>
      <w:lang w:val="en-GB"/>
      <w14:ligatures w14:val="none"/>
    </w:rPr>
  </w:style>
  <w:style w:type="character" w:customStyle="1" w:styleId="NTTBodyTextChar">
    <w:name w:val="NTT Body Text Char"/>
    <w:basedOn w:val="DefaultParagraphFont"/>
    <w:link w:val="NTTBodyText"/>
    <w:uiPriority w:val="1"/>
    <w:rsid w:val="00690285"/>
    <w:rPr>
      <w:rFonts w:ascii="Arial" w:eastAsia="Times New Roman" w:hAnsi="Arial" w:cs="Arial"/>
      <w:color w:val="2E404D" w:themeColor="text1"/>
      <w:kern w:val="20"/>
      <w:sz w:val="20"/>
      <w:szCs w:val="20"/>
      <w:lang w:val="en-GB"/>
      <w14:ligatures w14:val="none"/>
    </w:rPr>
  </w:style>
  <w:style w:type="paragraph" w:customStyle="1" w:styleId="NTTFlushBlueBodyBold">
    <w:name w:val="NTT Flush Blue Body Bold"/>
    <w:basedOn w:val="Normal"/>
    <w:link w:val="NTTFlushBlueBodyBoldChar"/>
    <w:rsid w:val="00263F18"/>
    <w:pPr>
      <w:keepNext/>
      <w:keepLines/>
      <w:spacing w:before="160" w:after="160"/>
    </w:pPr>
    <w:rPr>
      <w:rFonts w:ascii="Arial Bold" w:eastAsia="Times New Roman" w:hAnsi="Arial Bold" w:cs="Arial"/>
      <w:b/>
      <w:color w:val="005B96" w:themeColor="accent3"/>
      <w:kern w:val="20"/>
      <w:szCs w:val="20"/>
      <w:lang w:val="en-GB"/>
      <w14:ligatures w14:val="none"/>
    </w:rPr>
  </w:style>
  <w:style w:type="character" w:customStyle="1" w:styleId="NTTFlushBlueBodyBoldChar">
    <w:name w:val="NTT Flush Blue Body Bold Char"/>
    <w:basedOn w:val="DefaultParagraphFont"/>
    <w:link w:val="NTTFlushBlueBodyBold"/>
    <w:rsid w:val="00263F18"/>
    <w:rPr>
      <w:rFonts w:ascii="Arial Bold" w:eastAsia="Times New Roman" w:hAnsi="Arial Bold" w:cs="Arial"/>
      <w:b/>
      <w:color w:val="005B96" w:themeColor="accent3"/>
      <w:kern w:val="20"/>
      <w:sz w:val="20"/>
      <w:szCs w:val="20"/>
      <w:lang w:val="en-GB"/>
      <w14:ligatures w14:val="none"/>
    </w:rPr>
  </w:style>
  <w:style w:type="paragraph" w:customStyle="1" w:styleId="NTTFlushBlueBodyText">
    <w:name w:val="NTT Flush Blue Body Text"/>
    <w:basedOn w:val="Normal"/>
    <w:link w:val="NTTFlushBlueBodyTextChar"/>
    <w:rsid w:val="00E32017"/>
    <w:pPr>
      <w:spacing w:before="160" w:after="160"/>
    </w:pPr>
    <w:rPr>
      <w:rFonts w:eastAsia="Times New Roman" w:cs="Arial"/>
      <w:color w:val="005B96" w:themeColor="accent3"/>
      <w:kern w:val="20"/>
      <w:szCs w:val="20"/>
      <w:lang w:val="en-GB"/>
      <w14:ligatures w14:val="none"/>
    </w:rPr>
  </w:style>
  <w:style w:type="character" w:customStyle="1" w:styleId="NTTFlushBlueBodyTextChar">
    <w:name w:val="NTT Flush Blue Body Text Char"/>
    <w:basedOn w:val="DefaultParagraphFont"/>
    <w:link w:val="NTTFlushBlueBodyText"/>
    <w:rsid w:val="00E32017"/>
    <w:rPr>
      <w:rFonts w:ascii="Arial" w:eastAsia="Times New Roman" w:hAnsi="Arial" w:cs="Arial"/>
      <w:color w:val="005B96" w:themeColor="accent3"/>
      <w:kern w:val="20"/>
      <w:sz w:val="20"/>
      <w:szCs w:val="20"/>
      <w:lang w:val="en-GB"/>
      <w14:ligatures w14:val="none"/>
    </w:rPr>
  </w:style>
  <w:style w:type="paragraph" w:customStyle="1" w:styleId="NTTFlushBodyText">
    <w:name w:val="NTT Flush Body Text"/>
    <w:basedOn w:val="NTTBodyText"/>
    <w:uiPriority w:val="4"/>
    <w:rsid w:val="00E32017"/>
    <w:pPr>
      <w:ind w:left="0"/>
    </w:pPr>
  </w:style>
  <w:style w:type="paragraph" w:customStyle="1" w:styleId="NTTFlushBodyBold">
    <w:name w:val="NTT Flush Body Bold"/>
    <w:basedOn w:val="NTTFlushBodyText"/>
    <w:next w:val="NTTFlushBodyText"/>
    <w:uiPriority w:val="19"/>
    <w:rsid w:val="00C33FA2"/>
    <w:pPr>
      <w:keepNext/>
      <w:keepLines/>
    </w:pPr>
    <w:rPr>
      <w:rFonts w:ascii="Arial Bold" w:hAnsi="Arial Bold"/>
      <w:b/>
    </w:rPr>
  </w:style>
  <w:style w:type="paragraph" w:customStyle="1" w:styleId="NTTFlushPicture">
    <w:name w:val="NTT Flush Picture"/>
    <w:basedOn w:val="NTTFlushBodyText"/>
    <w:next w:val="CaptionWide"/>
    <w:uiPriority w:val="19"/>
    <w:qFormat/>
    <w:rsid w:val="00E32017"/>
  </w:style>
  <w:style w:type="paragraph" w:customStyle="1" w:styleId="NTTLegalBody">
    <w:name w:val="NTT Legal Body"/>
    <w:link w:val="NTTLegalBodyChar"/>
    <w:unhideWhenUsed/>
    <w:locked/>
    <w:rsid w:val="00E32017"/>
    <w:pPr>
      <w:spacing w:before="160" w:after="160" w:line="264" w:lineRule="auto"/>
    </w:pPr>
    <w:rPr>
      <w:rFonts w:ascii="Arial" w:hAnsi="Arial" w:cs="Arial"/>
      <w:color w:val="2E404D" w:themeColor="text1"/>
      <w:kern w:val="20"/>
      <w:sz w:val="20"/>
      <w:szCs w:val="22"/>
      <w:lang w:val="en-GB"/>
      <w14:ligatures w14:val="none"/>
    </w:rPr>
  </w:style>
  <w:style w:type="character" w:customStyle="1" w:styleId="NTTLegalBodyChar">
    <w:name w:val="NTT Legal Body Char"/>
    <w:basedOn w:val="DefaultParagraphFont"/>
    <w:link w:val="NTTLegalBody"/>
    <w:rsid w:val="00E32017"/>
    <w:rPr>
      <w:rFonts w:ascii="Arial" w:hAnsi="Arial" w:cs="Arial"/>
      <w:color w:val="2E404D" w:themeColor="text1"/>
      <w:kern w:val="20"/>
      <w:sz w:val="20"/>
      <w:szCs w:val="22"/>
      <w:lang w:val="en-GB"/>
      <w14:ligatures w14:val="none"/>
    </w:rPr>
  </w:style>
  <w:style w:type="paragraph" w:customStyle="1" w:styleId="NTTLegal1">
    <w:name w:val="NTT Legal_1"/>
    <w:basedOn w:val="Legalnumbering1"/>
    <w:next w:val="Normal"/>
    <w:link w:val="NTTLegal1Char"/>
    <w:unhideWhenUsed/>
    <w:locked/>
    <w:rsid w:val="00241D70"/>
    <w:pPr>
      <w:ind w:left="851" w:hanging="851"/>
    </w:pPr>
  </w:style>
  <w:style w:type="character" w:customStyle="1" w:styleId="NTTLegal1Char">
    <w:name w:val="NTT Legal_1 Char"/>
    <w:basedOn w:val="DefaultParagraphFont"/>
    <w:link w:val="NTTLegal1"/>
    <w:rsid w:val="00241D70"/>
    <w:rPr>
      <w:rFonts w:ascii="Arial" w:eastAsia="Times New Roman" w:hAnsi="Arial" w:cs="Arial"/>
      <w:color w:val="2E404D" w:themeColor="text1"/>
      <w:kern w:val="20"/>
      <w:sz w:val="20"/>
      <w:szCs w:val="20"/>
      <w:lang w:val="en-GB"/>
      <w14:ligatures w14:val="none"/>
    </w:rPr>
  </w:style>
  <w:style w:type="paragraph" w:customStyle="1" w:styleId="NTTLegal2">
    <w:name w:val="NTT Legal_2"/>
    <w:basedOn w:val="Legalnumbering2"/>
    <w:link w:val="NTTLegal2Char"/>
    <w:unhideWhenUsed/>
    <w:rsid w:val="00241D70"/>
    <w:pPr>
      <w:ind w:left="851" w:hanging="851"/>
    </w:pPr>
  </w:style>
  <w:style w:type="character" w:customStyle="1" w:styleId="NTTLegal2Char">
    <w:name w:val="NTT Legal_2 Char"/>
    <w:basedOn w:val="DefaultParagraphFont"/>
    <w:link w:val="NTTLegal2"/>
    <w:rsid w:val="00241D70"/>
    <w:rPr>
      <w:rFonts w:ascii="Arial" w:eastAsia="Times New Roman" w:hAnsi="Arial" w:cs="Arial"/>
      <w:color w:val="2E404D" w:themeColor="text1"/>
      <w:kern w:val="20"/>
      <w:sz w:val="20"/>
      <w:szCs w:val="20"/>
      <w:lang w:val="en-GB"/>
      <w14:ligatures w14:val="none"/>
    </w:rPr>
  </w:style>
  <w:style w:type="paragraph" w:customStyle="1" w:styleId="NTTLegal3">
    <w:name w:val="NTT Legal_3"/>
    <w:basedOn w:val="Legalnumbering3"/>
    <w:link w:val="NTTLegal3Char"/>
    <w:unhideWhenUsed/>
    <w:rsid w:val="00241D70"/>
    <w:pPr>
      <w:ind w:left="851" w:hanging="851"/>
    </w:pPr>
  </w:style>
  <w:style w:type="character" w:customStyle="1" w:styleId="NTTLegal3Char">
    <w:name w:val="NTT Legal_3 Char"/>
    <w:basedOn w:val="DefaultParagraphFont"/>
    <w:link w:val="NTTLegal3"/>
    <w:rsid w:val="00241D70"/>
    <w:rPr>
      <w:rFonts w:ascii="Arial" w:eastAsia="Times New Roman" w:hAnsi="Arial" w:cs="Arial"/>
      <w:color w:val="2E404D" w:themeColor="text1"/>
      <w:kern w:val="20"/>
      <w:sz w:val="20"/>
      <w:szCs w:val="20"/>
      <w:lang w:val="en-GB"/>
      <w14:ligatures w14:val="none"/>
    </w:rPr>
  </w:style>
  <w:style w:type="paragraph" w:customStyle="1" w:styleId="NTTLegal4">
    <w:name w:val="NTT Legal_4"/>
    <w:basedOn w:val="Normal"/>
    <w:link w:val="NTTLegal4Char"/>
    <w:unhideWhenUsed/>
    <w:rsid w:val="00E92B5A"/>
    <w:pPr>
      <w:numPr>
        <w:numId w:val="20"/>
      </w:numPr>
      <w:tabs>
        <w:tab w:val="left" w:pos="1417"/>
      </w:tabs>
      <w:spacing w:before="160" w:after="160"/>
      <w:ind w:left="1191" w:hanging="340"/>
      <w:contextualSpacing/>
      <w:outlineLvl w:val="3"/>
    </w:pPr>
    <w:rPr>
      <w:rFonts w:cs="Arial"/>
      <w:color w:val="2E404D" w:themeColor="text1"/>
      <w:kern w:val="20"/>
      <w:szCs w:val="22"/>
      <w:lang w:val="en-GB"/>
      <w14:ligatures w14:val="none"/>
    </w:rPr>
  </w:style>
  <w:style w:type="character" w:customStyle="1" w:styleId="NTTLegal4Char">
    <w:name w:val="NTT Legal_4 Char"/>
    <w:basedOn w:val="DefaultParagraphFont"/>
    <w:link w:val="NTTLegal4"/>
    <w:rsid w:val="00E92B5A"/>
    <w:rPr>
      <w:rFonts w:ascii="Arial" w:hAnsi="Arial" w:cs="Arial"/>
      <w:color w:val="2E404D" w:themeColor="text1"/>
      <w:kern w:val="20"/>
      <w:sz w:val="20"/>
      <w:szCs w:val="22"/>
      <w:lang w:val="en-GB"/>
      <w14:ligatures w14:val="none"/>
    </w:rPr>
  </w:style>
  <w:style w:type="paragraph" w:customStyle="1" w:styleId="NTTLegal5">
    <w:name w:val="NTT Legal_5"/>
    <w:basedOn w:val="Legalnumbering6"/>
    <w:link w:val="NTTLegal5Char"/>
    <w:unhideWhenUsed/>
    <w:rsid w:val="00E92B5A"/>
    <w:pPr>
      <w:ind w:left="1191"/>
    </w:pPr>
  </w:style>
  <w:style w:type="character" w:customStyle="1" w:styleId="NTTLegal5Char">
    <w:name w:val="NTT Legal_5 Char"/>
    <w:basedOn w:val="DefaultParagraphFont"/>
    <w:link w:val="NTTLegal5"/>
    <w:rsid w:val="00E92B5A"/>
    <w:rPr>
      <w:rFonts w:ascii="Arial" w:eastAsia="Times New Roman" w:hAnsi="Arial" w:cs="Arial"/>
      <w:color w:val="2E404D" w:themeColor="text1"/>
      <w:kern w:val="20"/>
      <w:sz w:val="20"/>
      <w:szCs w:val="20"/>
      <w:lang w:val="en-GB"/>
      <w14:ligatures w14:val="none"/>
    </w:rPr>
  </w:style>
  <w:style w:type="paragraph" w:customStyle="1" w:styleId="NTTLegal6">
    <w:name w:val="NTT Legal_6"/>
    <w:basedOn w:val="NTTLegal5"/>
    <w:link w:val="NTTLegal6Char"/>
    <w:unhideWhenUsed/>
    <w:rsid w:val="00E92B5A"/>
    <w:pPr>
      <w:numPr>
        <w:ilvl w:val="0"/>
        <w:numId w:val="21"/>
      </w:numPr>
      <w:ind w:left="1191" w:hanging="340"/>
    </w:pPr>
  </w:style>
  <w:style w:type="character" w:customStyle="1" w:styleId="NTTLegal6Char">
    <w:name w:val="NTT Legal_6 Char"/>
    <w:basedOn w:val="DefaultParagraphFont"/>
    <w:link w:val="NTTLegal6"/>
    <w:rsid w:val="00E92B5A"/>
    <w:rPr>
      <w:rFonts w:ascii="Arial" w:eastAsia="Times New Roman" w:hAnsi="Arial" w:cs="Arial"/>
      <w:color w:val="2E404D" w:themeColor="text1"/>
      <w:kern w:val="20"/>
      <w:sz w:val="20"/>
      <w:szCs w:val="20"/>
      <w:lang w:val="en-GB"/>
      <w14:ligatures w14:val="none"/>
    </w:rPr>
  </w:style>
  <w:style w:type="paragraph" w:customStyle="1" w:styleId="NTTQuestion">
    <w:name w:val="NTT Question"/>
    <w:basedOn w:val="NTTBlueQuestion"/>
    <w:next w:val="NTTBodyText"/>
    <w:uiPriority w:val="59"/>
    <w:qFormat/>
    <w:rsid w:val="00B3236F"/>
    <w:rPr>
      <w:color w:val="2E404D" w:themeColor="text1"/>
    </w:rPr>
  </w:style>
  <w:style w:type="paragraph" w:customStyle="1" w:styleId="NTTRedBodyText">
    <w:name w:val="NTT Red Body Text"/>
    <w:basedOn w:val="NTTBodyText"/>
    <w:uiPriority w:val="39"/>
    <w:unhideWhenUsed/>
    <w:rsid w:val="00676140"/>
    <w:rPr>
      <w:color w:val="E42600"/>
    </w:rPr>
  </w:style>
  <w:style w:type="paragraph" w:customStyle="1" w:styleId="NTTRedTableBodyText">
    <w:name w:val="NTT Red Table Body Text"/>
    <w:basedOn w:val="Normal"/>
    <w:uiPriority w:val="44"/>
    <w:unhideWhenUsed/>
    <w:rsid w:val="0002263F"/>
    <w:rPr>
      <w:rFonts w:eastAsia="Times New Roman" w:cs="Arial"/>
      <w:color w:val="E42600"/>
      <w:kern w:val="18"/>
      <w:szCs w:val="18"/>
      <w:lang w:val="en-GB"/>
      <w14:ligatures w14:val="none"/>
    </w:rPr>
  </w:style>
  <w:style w:type="paragraph" w:customStyle="1" w:styleId="NTTRqmtHeading">
    <w:name w:val="NTT Rqmt Heading"/>
    <w:next w:val="NTTBodyText"/>
    <w:uiPriority w:val="17"/>
    <w:rsid w:val="00AB7488"/>
    <w:pPr>
      <w:pBdr>
        <w:top w:val="single" w:sz="4" w:space="3" w:color="2E404D" w:themeColor="text1"/>
        <w:bottom w:val="single" w:sz="4" w:space="3" w:color="2E404D" w:themeColor="text1"/>
      </w:pBdr>
      <w:shd w:val="clear" w:color="auto" w:fill="E9E9E9" w:themeFill="accent6" w:themeFillTint="33"/>
      <w:spacing w:before="160" w:after="160" w:line="264" w:lineRule="auto"/>
      <w:ind w:left="851"/>
    </w:pPr>
    <w:rPr>
      <w:rFonts w:ascii="Arial" w:eastAsia="Times New Roman" w:hAnsi="Arial" w:cs="Arial"/>
      <w:color w:val="2E404D" w:themeColor="text1"/>
      <w:kern w:val="20"/>
      <w:sz w:val="20"/>
      <w:szCs w:val="20"/>
      <w:lang w:val="en-GB"/>
      <w14:ligatures w14:val="none"/>
    </w:rPr>
  </w:style>
  <w:style w:type="paragraph" w:customStyle="1" w:styleId="NTTRqmtHeadingWide">
    <w:name w:val="NTT Rqmt Heading Wide"/>
    <w:basedOn w:val="NTTRqmtHeading"/>
    <w:next w:val="NTTFlushBodyText"/>
    <w:uiPriority w:val="17"/>
    <w:rsid w:val="00AB7488"/>
    <w:pPr>
      <w:ind w:left="0"/>
    </w:pPr>
  </w:style>
  <w:style w:type="paragraph" w:customStyle="1" w:styleId="NTTSmallPrint">
    <w:name w:val="NTT Small Print"/>
    <w:basedOn w:val="NTTFlushBodyText"/>
    <w:uiPriority w:val="79"/>
    <w:unhideWhenUsed/>
    <w:rsid w:val="00676140"/>
    <w:rPr>
      <w:kern w:val="17"/>
      <w:sz w:val="17"/>
    </w:rPr>
  </w:style>
  <w:style w:type="paragraph" w:customStyle="1" w:styleId="NTTTableBodyText">
    <w:name w:val="NTT Table Body Text"/>
    <w:uiPriority w:val="14"/>
    <w:rsid w:val="00676140"/>
    <w:pPr>
      <w:spacing w:line="264" w:lineRule="auto"/>
    </w:pPr>
    <w:rPr>
      <w:rFonts w:ascii="Arial" w:eastAsia="Times New Roman" w:hAnsi="Arial" w:cs="Arial"/>
      <w:color w:val="2E404D" w:themeColor="text1"/>
      <w:kern w:val="18"/>
      <w:sz w:val="20"/>
      <w:szCs w:val="18"/>
      <w:lang w:val="en-GB"/>
      <w14:ligatures w14:val="none"/>
    </w:rPr>
  </w:style>
  <w:style w:type="numbering" w:customStyle="1" w:styleId="NTTHeadingsList">
    <w:name w:val="_NTT Headings List"/>
    <w:basedOn w:val="NoList"/>
    <w:uiPriority w:val="89"/>
    <w:rsid w:val="005F1C66"/>
    <w:pPr>
      <w:numPr>
        <w:numId w:val="22"/>
      </w:numPr>
    </w:pPr>
  </w:style>
  <w:style w:type="paragraph" w:customStyle="1" w:styleId="NTTFlushHeading">
    <w:name w:val="NTT Flush Heading"/>
    <w:next w:val="NTTFlushBodyText"/>
    <w:uiPriority w:val="3"/>
    <w:rsid w:val="00B3236F"/>
    <w:pPr>
      <w:keepNext/>
      <w:keepLines/>
      <w:pageBreakBefore/>
      <w:spacing w:after="360" w:line="264" w:lineRule="auto"/>
      <w:outlineLvl w:val="0"/>
    </w:pPr>
    <w:rPr>
      <w:rFonts w:ascii="Georgia" w:eastAsia="MS PGothic" w:hAnsi="Georgia" w:cs="Arial"/>
      <w:bCs/>
      <w:color w:val="0072BC" w:themeColor="accent2"/>
      <w:kern w:val="28"/>
      <w:sz w:val="40"/>
      <w:szCs w:val="28"/>
      <w:lang w:val="en-GB" w:eastAsia="ja-JP"/>
      <w14:ligatures w14:val="none"/>
    </w:rPr>
  </w:style>
  <w:style w:type="paragraph" w:customStyle="1" w:styleId="NTTFlushSubHeading">
    <w:name w:val="NTT Flush Sub Heading"/>
    <w:next w:val="NTTFlushBodyText"/>
    <w:uiPriority w:val="3"/>
    <w:rsid w:val="00AB5773"/>
    <w:pPr>
      <w:keepNext/>
      <w:keepLines/>
      <w:spacing w:before="360" w:after="120" w:line="264" w:lineRule="auto"/>
      <w:outlineLvl w:val="1"/>
    </w:pPr>
    <w:rPr>
      <w:rFonts w:asciiTheme="majorHAnsi" w:eastAsia="MS PGothic" w:hAnsiTheme="majorHAnsi" w:cs="Arial"/>
      <w:b/>
      <w:color w:val="2E404D" w:themeColor="text1"/>
      <w:kern w:val="24"/>
      <w:sz w:val="28"/>
      <w:lang w:val="en-GB" w:eastAsia="ja-JP"/>
      <w14:ligatures w14:val="none"/>
    </w:rPr>
  </w:style>
  <w:style w:type="paragraph" w:customStyle="1" w:styleId="NTTFlushSubSubHeading">
    <w:name w:val="NTT Flush Sub Sub Heading"/>
    <w:basedOn w:val="NTTFlushSubHeading"/>
    <w:next w:val="NTTFlushBodyText"/>
    <w:link w:val="NTTFlushSubSubHeadingChar"/>
    <w:rsid w:val="00627CC5"/>
    <w:pPr>
      <w:outlineLvl w:val="2"/>
    </w:pPr>
    <w:rPr>
      <w:b w:val="0"/>
      <w:szCs w:val="20"/>
    </w:rPr>
  </w:style>
  <w:style w:type="character" w:customStyle="1" w:styleId="NTTFlushSubSubHeadingChar">
    <w:name w:val="NTT Flush Sub Sub Heading Char"/>
    <w:basedOn w:val="NTTBodyTextChar"/>
    <w:link w:val="NTTFlushSubSubHeading"/>
    <w:rsid w:val="00627CC5"/>
    <w:rPr>
      <w:rFonts w:asciiTheme="majorHAnsi" w:eastAsia="MS PGothic" w:hAnsiTheme="majorHAnsi" w:cs="Arial"/>
      <w:color w:val="2E404D" w:themeColor="text1"/>
      <w:kern w:val="24"/>
      <w:sz w:val="28"/>
      <w:szCs w:val="20"/>
      <w:lang w:val="en-GB" w:eastAsia="ja-JP"/>
      <w14:ligatures w14:val="none"/>
    </w:rPr>
  </w:style>
  <w:style w:type="paragraph" w:styleId="TOCHeading">
    <w:name w:val="TOC Heading"/>
    <w:basedOn w:val="Normal"/>
    <w:next w:val="Normal"/>
    <w:uiPriority w:val="39"/>
    <w:unhideWhenUsed/>
    <w:qFormat/>
    <w:rsid w:val="00D24630"/>
    <w:pPr>
      <w:spacing w:after="360"/>
    </w:pPr>
    <w:rPr>
      <w:rFonts w:ascii="Georgia" w:eastAsiaTheme="majorEastAsia" w:hAnsi="Georgia" w:cstheme="majorBidi"/>
      <w:color w:val="0072BC" w:themeColor="accent2"/>
      <w:sz w:val="40"/>
      <w:szCs w:val="32"/>
    </w:rPr>
  </w:style>
  <w:style w:type="numbering" w:customStyle="1" w:styleId="NTTBoldBulletList">
    <w:name w:val="_NTT Bold Bullet List"/>
    <w:uiPriority w:val="89"/>
    <w:rsid w:val="00786EEE"/>
    <w:pPr>
      <w:numPr>
        <w:numId w:val="25"/>
      </w:numPr>
    </w:pPr>
  </w:style>
  <w:style w:type="paragraph" w:customStyle="1" w:styleId="NTTBoldBullet">
    <w:name w:val="NTT Bold Bullet"/>
    <w:basedOn w:val="NTTBullet1"/>
    <w:next w:val="Normal"/>
    <w:uiPriority w:val="9"/>
    <w:rsid w:val="00B52EA2"/>
    <w:pPr>
      <w:keepNext/>
      <w:keepLines/>
      <w:numPr>
        <w:ilvl w:val="2"/>
        <w:numId w:val="27"/>
      </w:numPr>
      <w:ind w:left="1135" w:hanging="284"/>
    </w:pPr>
    <w:rPr>
      <w:rFonts w:ascii="Arial Bold" w:hAnsi="Arial Bold"/>
      <w:b/>
    </w:rPr>
  </w:style>
  <w:style w:type="paragraph" w:customStyle="1" w:styleId="NTTBlueBoldBullet">
    <w:name w:val="NTT Blue Bold Bullet"/>
    <w:basedOn w:val="NTTBoldBullet"/>
    <w:next w:val="Normal"/>
    <w:uiPriority w:val="29"/>
    <w:rsid w:val="005475C3"/>
    <w:pPr>
      <w:numPr>
        <w:ilvl w:val="1"/>
      </w:numPr>
      <w:ind w:left="1135" w:hanging="284"/>
    </w:pPr>
    <w:rPr>
      <w:color w:val="005B96" w:themeColor="accent3"/>
    </w:rPr>
  </w:style>
  <w:style w:type="paragraph" w:customStyle="1" w:styleId="NTTFlushBlueBoldBullet">
    <w:name w:val="NTT Flush Blue Bold Bullet"/>
    <w:basedOn w:val="Normal"/>
    <w:link w:val="NTTFlushBlueBoldBulletChar"/>
    <w:rsid w:val="00263F18"/>
    <w:pPr>
      <w:keepNext/>
      <w:keepLines/>
      <w:numPr>
        <w:ilvl w:val="5"/>
        <w:numId w:val="27"/>
      </w:numPr>
      <w:spacing w:before="160" w:after="160"/>
      <w:contextualSpacing/>
    </w:pPr>
    <w:rPr>
      <w:rFonts w:eastAsia="Times New Roman" w:cs="Arial"/>
      <w:b/>
      <w:color w:val="005B96" w:themeColor="accent3"/>
      <w:kern w:val="20"/>
      <w:szCs w:val="20"/>
      <w:lang w:val="en-GB"/>
      <w14:ligatures w14:val="none"/>
    </w:rPr>
  </w:style>
  <w:style w:type="character" w:customStyle="1" w:styleId="NTTFlushBlueBoldBulletChar">
    <w:name w:val="NTT Flush Blue Bold Bullet Char"/>
    <w:basedOn w:val="DefaultParagraphFont"/>
    <w:link w:val="NTTFlushBlueBoldBullet"/>
    <w:rsid w:val="00263F18"/>
    <w:rPr>
      <w:rFonts w:ascii="Arial" w:eastAsia="Times New Roman" w:hAnsi="Arial" w:cs="Arial"/>
      <w:b/>
      <w:color w:val="005B96" w:themeColor="accent3"/>
      <w:kern w:val="20"/>
      <w:sz w:val="20"/>
      <w:szCs w:val="20"/>
      <w:lang w:val="en-GB"/>
      <w14:ligatures w14:val="none"/>
    </w:rPr>
  </w:style>
  <w:style w:type="paragraph" w:customStyle="1" w:styleId="NTTFlushBoldBullet">
    <w:name w:val="NTT Flush Bold Bullet"/>
    <w:basedOn w:val="NTTBoldBullet"/>
    <w:next w:val="Normal"/>
    <w:uiPriority w:val="19"/>
    <w:rsid w:val="00C33FA2"/>
    <w:pPr>
      <w:numPr>
        <w:ilvl w:val="6"/>
      </w:numPr>
    </w:pPr>
  </w:style>
  <w:style w:type="paragraph" w:customStyle="1" w:styleId="NTTRedBoldBullet">
    <w:name w:val="NTT Red Bold Bullet"/>
    <w:basedOn w:val="NTTBoldBullet"/>
    <w:next w:val="Normal"/>
    <w:uiPriority w:val="39"/>
    <w:unhideWhenUsed/>
    <w:rsid w:val="00F31CD6"/>
    <w:pPr>
      <w:numPr>
        <w:ilvl w:val="3"/>
      </w:numPr>
      <w:ind w:left="1135" w:hanging="284"/>
    </w:pPr>
    <w:rPr>
      <w:b w:val="0"/>
      <w:color w:val="E42600"/>
    </w:rPr>
  </w:style>
  <w:style w:type="numbering" w:customStyle="1" w:styleId="NTTGuidanceTextBullets">
    <w:name w:val="_NTT Guidance Text Bullets"/>
    <w:uiPriority w:val="89"/>
    <w:rsid w:val="00786EEE"/>
    <w:pPr>
      <w:numPr>
        <w:numId w:val="26"/>
      </w:numPr>
    </w:pPr>
  </w:style>
  <w:style w:type="paragraph" w:customStyle="1" w:styleId="GuidanceText3Bullet">
    <w:name w:val="Guidance Text 3 Bullet"/>
    <w:basedOn w:val="Normal"/>
    <w:uiPriority w:val="49"/>
    <w:rsid w:val="0004099E"/>
    <w:pPr>
      <w:numPr>
        <w:numId w:val="28"/>
      </w:numPr>
      <w:pBdr>
        <w:top w:val="single" w:sz="4" w:space="3" w:color="00CB5D" w:themeColor="accent5"/>
        <w:bottom w:val="single" w:sz="4" w:space="3" w:color="00CB5D" w:themeColor="accent5"/>
      </w:pBdr>
      <w:shd w:val="clear" w:color="auto" w:fill="C1FFDD" w:themeFill="accent5" w:themeFillTint="33"/>
      <w:tabs>
        <w:tab w:val="left" w:pos="284"/>
      </w:tabs>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GuidanceText4List">
    <w:name w:val="Guidance Text 4 List"/>
    <w:basedOn w:val="Normal"/>
    <w:uiPriority w:val="49"/>
    <w:rsid w:val="0004099E"/>
    <w:pPr>
      <w:numPr>
        <w:ilvl w:val="1"/>
        <w:numId w:val="28"/>
      </w:numPr>
      <w:pBdr>
        <w:top w:val="single" w:sz="4" w:space="3" w:color="00CB5D" w:themeColor="accent5"/>
        <w:bottom w:val="single" w:sz="4" w:space="3" w:color="00CB5D" w:themeColor="accent5"/>
      </w:pBdr>
      <w:shd w:val="clear" w:color="auto" w:fill="C1FFDD" w:themeFill="accent5" w:themeFillTint="33"/>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NTTBlueNotedText3Bullet">
    <w:name w:val="NTT Blue Noted Text 3 Bullet"/>
    <w:basedOn w:val="NTTBlueNotedText2Body"/>
    <w:uiPriority w:val="36"/>
    <w:rsid w:val="0044104B"/>
    <w:pPr>
      <w:numPr>
        <w:ilvl w:val="2"/>
        <w:numId w:val="28"/>
      </w:numPr>
      <w:ind w:left="284" w:hanging="284"/>
      <w:contextualSpacing/>
    </w:pPr>
  </w:style>
  <w:style w:type="paragraph" w:customStyle="1" w:styleId="NTTBlueNotedText4List">
    <w:name w:val="NTT Blue Noted Text 4 List"/>
    <w:basedOn w:val="NTTBlueNotedText2Body"/>
    <w:uiPriority w:val="36"/>
    <w:rsid w:val="00C40984"/>
    <w:pPr>
      <w:numPr>
        <w:ilvl w:val="3"/>
        <w:numId w:val="28"/>
      </w:numPr>
      <w:tabs>
        <w:tab w:val="left" w:pos="1134"/>
      </w:tabs>
      <w:ind w:left="284" w:hanging="284"/>
      <w:contextualSpacing/>
    </w:pPr>
  </w:style>
  <w:style w:type="paragraph" w:customStyle="1" w:styleId="NTTRedNotedText3Bullet">
    <w:name w:val="NTT Red Noted Text 3 Bullet"/>
    <w:basedOn w:val="NTTRedNotedText2Body"/>
    <w:uiPriority w:val="46"/>
    <w:unhideWhenUsed/>
    <w:rsid w:val="003E307D"/>
    <w:pPr>
      <w:numPr>
        <w:ilvl w:val="6"/>
        <w:numId w:val="28"/>
      </w:numPr>
      <w:ind w:left="284" w:hanging="284"/>
      <w:contextualSpacing/>
    </w:pPr>
  </w:style>
  <w:style w:type="paragraph" w:customStyle="1" w:styleId="NTTRedNotedText4Bullet">
    <w:name w:val="NTT Red Noted Text 4 Bullet"/>
    <w:basedOn w:val="NTTRedNotedText2Body"/>
    <w:uiPriority w:val="46"/>
    <w:unhideWhenUsed/>
    <w:rsid w:val="003E307D"/>
    <w:pPr>
      <w:numPr>
        <w:ilvl w:val="7"/>
        <w:numId w:val="28"/>
      </w:numPr>
      <w:ind w:left="284" w:hanging="284"/>
      <w:contextualSpacing/>
    </w:pPr>
  </w:style>
  <w:style w:type="paragraph" w:customStyle="1" w:styleId="GuidanceText1Bold">
    <w:name w:val="Guidance Text 1 Bold"/>
    <w:basedOn w:val="Guidancetext2body"/>
    <w:next w:val="Normal"/>
    <w:uiPriority w:val="49"/>
    <w:qFormat/>
    <w:rsid w:val="00AE5238"/>
    <w:rPr>
      <w:rFonts w:ascii="Arial Bold" w:hAnsi="Arial Bold"/>
      <w:b/>
    </w:rPr>
  </w:style>
  <w:style w:type="paragraph" w:customStyle="1" w:styleId="NTTBlueBulletText1">
    <w:name w:val="NTT Blue Bullet Text 1"/>
    <w:basedOn w:val="Normal"/>
    <w:uiPriority w:val="29"/>
    <w:rsid w:val="00A43CFD"/>
    <w:pPr>
      <w:spacing w:before="160" w:after="160"/>
      <w:ind w:left="1191"/>
      <w:contextualSpacing/>
    </w:pPr>
    <w:rPr>
      <w:rFonts w:eastAsia="Times New Roman" w:cs="Arial"/>
      <w:color w:val="005B96" w:themeColor="accent3"/>
      <w:kern w:val="20"/>
      <w:szCs w:val="20"/>
      <w:lang w:val="en-GB"/>
      <w14:ligatures w14:val="none"/>
    </w:rPr>
  </w:style>
  <w:style w:type="paragraph" w:customStyle="1" w:styleId="NTTBlueBulletText2">
    <w:name w:val="NTT Blue Bullet Text 2"/>
    <w:basedOn w:val="Normal"/>
    <w:uiPriority w:val="29"/>
    <w:rsid w:val="00B23563"/>
    <w:pPr>
      <w:spacing w:before="160" w:after="160"/>
      <w:ind w:left="1531"/>
      <w:contextualSpacing/>
    </w:pPr>
    <w:rPr>
      <w:rFonts w:eastAsia="Times New Roman" w:cs="Arial"/>
      <w:color w:val="005B96" w:themeColor="accent3"/>
      <w:kern w:val="20"/>
      <w:szCs w:val="20"/>
      <w:lang w:val="en-GB"/>
      <w14:ligatures w14:val="none"/>
    </w:rPr>
  </w:style>
  <w:style w:type="paragraph" w:customStyle="1" w:styleId="NTTBlueBulletText3">
    <w:name w:val="NTT Blue Bullet Text 3"/>
    <w:basedOn w:val="Normal"/>
    <w:uiPriority w:val="29"/>
    <w:rsid w:val="0030602F"/>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4">
    <w:name w:val="NTT Blue Bullet Text 4"/>
    <w:basedOn w:val="Normal"/>
    <w:uiPriority w:val="29"/>
    <w:rsid w:val="004C2406"/>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5">
    <w:name w:val="NTT Blue Bullet Text 5"/>
    <w:basedOn w:val="NTTBlueBulletText4"/>
    <w:uiPriority w:val="29"/>
    <w:rsid w:val="009D3BEB"/>
  </w:style>
  <w:style w:type="paragraph" w:customStyle="1" w:styleId="NTTBlueNotedText2Body">
    <w:name w:val="NTT Blue Noted Text 2 Body"/>
    <w:uiPriority w:val="36"/>
    <w:rsid w:val="00C40984"/>
    <w:pPr>
      <w:pBdr>
        <w:top w:val="single" w:sz="8" w:space="3" w:color="005B96" w:themeColor="accent3"/>
        <w:bottom w:val="single" w:sz="8" w:space="3" w:color="005B96" w:themeColor="accent3"/>
      </w:pBdr>
      <w:shd w:val="clear" w:color="auto" w:fill="D0ECFE" w:themeFill="accent4" w:themeFillTint="33"/>
      <w:spacing w:before="160" w:after="160" w:line="264" w:lineRule="auto"/>
    </w:pPr>
    <w:rPr>
      <w:rFonts w:ascii="Arial" w:eastAsia="Times New Roman" w:hAnsi="Arial" w:cs="Times New Roman"/>
      <w:color w:val="005B96" w:themeColor="accent3"/>
      <w:kern w:val="20"/>
      <w:sz w:val="20"/>
      <w:szCs w:val="20"/>
      <w:lang w:val="en-GB"/>
      <w14:ligatures w14:val="none"/>
    </w:rPr>
  </w:style>
  <w:style w:type="paragraph" w:customStyle="1" w:styleId="NTTBlueNotedText1Bold">
    <w:name w:val="NTT Blue Noted Text 1 Bold"/>
    <w:basedOn w:val="NTTBlueNotedText2Body"/>
    <w:next w:val="NTTBlueNotedText2Body"/>
    <w:uiPriority w:val="36"/>
    <w:rsid w:val="00C40984"/>
    <w:pPr>
      <w:keepNext/>
      <w:keepLines/>
    </w:pPr>
    <w:rPr>
      <w:rFonts w:ascii="Arial Bold" w:hAnsi="Arial Bold"/>
      <w:b/>
    </w:rPr>
  </w:style>
  <w:style w:type="paragraph" w:customStyle="1" w:styleId="NTTBlueTableBoldBullet">
    <w:name w:val="NTT Blue Table Bold Bullet"/>
    <w:basedOn w:val="Normal"/>
    <w:next w:val="Normal"/>
    <w:uiPriority w:val="34"/>
    <w:rsid w:val="00B52EA2"/>
    <w:pPr>
      <w:keepNext/>
      <w:keepLines/>
      <w:numPr>
        <w:numId w:val="29"/>
      </w:numPr>
      <w:contextualSpacing/>
    </w:pPr>
    <w:rPr>
      <w:rFonts w:eastAsia="Times New Roman" w:cs="Arial"/>
      <w:b/>
      <w:color w:val="005B96" w:themeColor="accent3"/>
      <w:kern w:val="18"/>
      <w:szCs w:val="20"/>
      <w:lang w:val="en-GB"/>
      <w14:ligatures w14:val="none"/>
    </w:rPr>
  </w:style>
  <w:style w:type="paragraph" w:customStyle="1" w:styleId="NTTBlueTableBulletText1">
    <w:name w:val="NTT Blue Table Bullet Text 1"/>
    <w:basedOn w:val="Normal"/>
    <w:uiPriority w:val="34"/>
    <w:rsid w:val="0015224D"/>
    <w:pPr>
      <w:ind w:left="340"/>
    </w:pPr>
    <w:rPr>
      <w:rFonts w:eastAsia="Times New Roman" w:cs="Arial"/>
      <w:color w:val="005B96" w:themeColor="accent3"/>
      <w:kern w:val="18"/>
      <w:szCs w:val="20"/>
      <w:lang w:val="en-GB"/>
      <w14:ligatures w14:val="none"/>
    </w:rPr>
  </w:style>
  <w:style w:type="paragraph" w:customStyle="1" w:styleId="NTTBlueTableBulletText2">
    <w:name w:val="NTT Blue Table Bullet Text 2"/>
    <w:basedOn w:val="Normal"/>
    <w:uiPriority w:val="34"/>
    <w:rsid w:val="0040405A"/>
    <w:pPr>
      <w:ind w:left="851"/>
    </w:pPr>
    <w:rPr>
      <w:rFonts w:eastAsia="Times New Roman" w:cs="Arial"/>
      <w:color w:val="005B96" w:themeColor="accent3"/>
      <w:kern w:val="18"/>
      <w:szCs w:val="20"/>
      <w:lang w:val="en-GB"/>
      <w14:ligatures w14:val="none"/>
    </w:rPr>
  </w:style>
  <w:style w:type="paragraph" w:customStyle="1" w:styleId="NTTBlueTableBulletText3">
    <w:name w:val="NTT Blue Table Bullet Text 3"/>
    <w:basedOn w:val="Normal"/>
    <w:uiPriority w:val="34"/>
    <w:rsid w:val="00767F75"/>
    <w:pPr>
      <w:ind w:left="964"/>
    </w:pPr>
    <w:rPr>
      <w:rFonts w:eastAsia="Times New Roman" w:cs="Arial"/>
      <w:color w:val="005B96" w:themeColor="accent3"/>
      <w:kern w:val="18"/>
      <w:szCs w:val="20"/>
      <w:lang w:val="en-GB"/>
      <w14:ligatures w14:val="none"/>
    </w:rPr>
  </w:style>
  <w:style w:type="paragraph" w:customStyle="1" w:styleId="NTTBlueTableBulletText4">
    <w:name w:val="NTT Blue Table Bullet Text 4"/>
    <w:basedOn w:val="NTTBlueTableBulletText3"/>
    <w:uiPriority w:val="34"/>
    <w:rsid w:val="00AD2E63"/>
  </w:style>
  <w:style w:type="paragraph" w:customStyle="1" w:styleId="NTTBlueTableBulletText5">
    <w:name w:val="NTT Blue Table Bullet Text 5"/>
    <w:basedOn w:val="NTTBlueTableBulletText1"/>
    <w:uiPriority w:val="34"/>
    <w:rsid w:val="004C2406"/>
    <w:pPr>
      <w:ind w:left="964"/>
    </w:pPr>
  </w:style>
  <w:style w:type="paragraph" w:customStyle="1" w:styleId="NTTBulletText1">
    <w:name w:val="NTT Bullet Text 1"/>
    <w:basedOn w:val="NTTBodyText"/>
    <w:uiPriority w:val="9"/>
    <w:rsid w:val="008C0602"/>
    <w:pPr>
      <w:ind w:left="1191"/>
      <w:contextualSpacing/>
    </w:pPr>
  </w:style>
  <w:style w:type="paragraph" w:customStyle="1" w:styleId="NTTBulletText2">
    <w:name w:val="NTT Bullet Text 2"/>
    <w:basedOn w:val="NTTBulletText1"/>
    <w:uiPriority w:val="9"/>
    <w:rsid w:val="00B23563"/>
    <w:pPr>
      <w:ind w:left="1531"/>
    </w:pPr>
  </w:style>
  <w:style w:type="paragraph" w:customStyle="1" w:styleId="NTTBulletText3">
    <w:name w:val="NTT Bullet Text 3"/>
    <w:basedOn w:val="NTTBulletText2"/>
    <w:uiPriority w:val="9"/>
    <w:rsid w:val="00252A11"/>
    <w:pPr>
      <w:ind w:left="1814"/>
    </w:pPr>
  </w:style>
  <w:style w:type="paragraph" w:customStyle="1" w:styleId="NTTBulletText4">
    <w:name w:val="NTT Bullet Text 4"/>
    <w:basedOn w:val="NTTBulletText3"/>
    <w:uiPriority w:val="9"/>
    <w:rsid w:val="003E307D"/>
  </w:style>
  <w:style w:type="paragraph" w:customStyle="1" w:styleId="NTTBulletText5">
    <w:name w:val="NTT Bullet Text 5"/>
    <w:basedOn w:val="NTTBulletText4"/>
    <w:uiPriority w:val="9"/>
    <w:rsid w:val="00FC5E53"/>
  </w:style>
  <w:style w:type="character" w:customStyle="1" w:styleId="NTTEmphasis">
    <w:name w:val="NTT Emphasis"/>
    <w:uiPriority w:val="29"/>
    <w:rsid w:val="003768F0"/>
    <w:rPr>
      <w:rFonts w:ascii="Arial" w:hAnsi="Arial"/>
      <w:b w:val="0"/>
      <w:color w:val="0072BC" w:themeColor="accent2"/>
      <w:spacing w:val="0"/>
      <w:kern w:val="20"/>
      <w:sz w:val="24"/>
    </w:rPr>
  </w:style>
  <w:style w:type="paragraph" w:customStyle="1" w:styleId="NTTFlushBlueBulletText1">
    <w:name w:val="NTT Flush Blue Bullet Text 1"/>
    <w:basedOn w:val="Normal"/>
    <w:link w:val="NTTFlushBlueBulletText1Char"/>
    <w:rsid w:val="00E728B1"/>
    <w:pPr>
      <w:spacing w:before="160" w:after="160"/>
      <w:ind w:left="397"/>
      <w:contextualSpacing/>
    </w:pPr>
    <w:rPr>
      <w:rFonts w:eastAsia="Times New Roman" w:cs="Arial"/>
      <w:color w:val="005B96" w:themeColor="accent3"/>
      <w:kern w:val="20"/>
      <w:szCs w:val="20"/>
      <w:lang w:val="en-GB" w:eastAsia="ja-JP"/>
      <w14:ligatures w14:val="none"/>
    </w:rPr>
  </w:style>
  <w:style w:type="character" w:customStyle="1" w:styleId="NTTFlushBlueBulletText1Char">
    <w:name w:val="NTT Flush Blue Bullet Text 1 Char"/>
    <w:basedOn w:val="DefaultParagraphFont"/>
    <w:link w:val="NTTFlushBlueBulletText1"/>
    <w:rsid w:val="00E728B1"/>
    <w:rPr>
      <w:rFonts w:ascii="Arial" w:eastAsia="Times New Roman" w:hAnsi="Arial" w:cs="Arial"/>
      <w:color w:val="005B96" w:themeColor="accent3"/>
      <w:kern w:val="20"/>
      <w:sz w:val="20"/>
      <w:szCs w:val="20"/>
      <w:lang w:val="en-GB" w:eastAsia="ja-JP"/>
      <w14:ligatures w14:val="none"/>
    </w:rPr>
  </w:style>
  <w:style w:type="paragraph" w:customStyle="1" w:styleId="NTTFlushBlueBulletText2">
    <w:name w:val="NTT Flush Blue Bullet Text 2"/>
    <w:basedOn w:val="Normal"/>
    <w:link w:val="NTTFlushBlueBulletText2Char"/>
    <w:rsid w:val="00257804"/>
    <w:pPr>
      <w:spacing w:before="160" w:after="160"/>
      <w:ind w:left="851"/>
    </w:pPr>
    <w:rPr>
      <w:rFonts w:eastAsia="Times New Roman" w:cs="Arial"/>
      <w:color w:val="005B96" w:themeColor="accent3"/>
      <w:kern w:val="20"/>
      <w:szCs w:val="20"/>
      <w:lang w:val="en-GB"/>
      <w14:ligatures w14:val="none"/>
    </w:rPr>
  </w:style>
  <w:style w:type="character" w:customStyle="1" w:styleId="NTTFlushBlueBulletText2Char">
    <w:name w:val="NTT Flush Blue Bullet Text 2 Char"/>
    <w:basedOn w:val="DefaultParagraphFont"/>
    <w:link w:val="NTTFlushBlueBulletText2"/>
    <w:rsid w:val="00257804"/>
    <w:rPr>
      <w:rFonts w:ascii="Arial" w:eastAsia="Times New Roman" w:hAnsi="Arial" w:cs="Arial"/>
      <w:color w:val="005B96" w:themeColor="accent3"/>
      <w:kern w:val="20"/>
      <w:sz w:val="20"/>
      <w:szCs w:val="20"/>
      <w:lang w:val="en-GB"/>
      <w14:ligatures w14:val="none"/>
    </w:rPr>
  </w:style>
  <w:style w:type="paragraph" w:customStyle="1" w:styleId="NTTFlushBlueBulletText3">
    <w:name w:val="NTT Flush Blue Bullet Text 3"/>
    <w:basedOn w:val="Normal"/>
    <w:link w:val="NTTFlushBlueBulletText3Char"/>
    <w:rsid w:val="00251212"/>
    <w:pPr>
      <w:spacing w:before="160" w:after="160"/>
      <w:ind w:left="1077"/>
      <w:contextualSpacing/>
    </w:pPr>
    <w:rPr>
      <w:rFonts w:eastAsia="Times New Roman" w:cs="Arial"/>
      <w:color w:val="005B96" w:themeColor="accent3"/>
      <w:kern w:val="20"/>
      <w:szCs w:val="20"/>
      <w:lang w:val="en-GB"/>
      <w14:ligatures w14:val="none"/>
    </w:rPr>
  </w:style>
  <w:style w:type="character" w:customStyle="1" w:styleId="NTTFlushBlueBulletText3Char">
    <w:name w:val="NTT Flush Blue Bullet Text 3 Char"/>
    <w:basedOn w:val="DefaultParagraphFont"/>
    <w:link w:val="NTTFlushBlueBulletTex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Text4">
    <w:name w:val="NTT Flush Blue Bullet Text 4"/>
    <w:basedOn w:val="NTTFlushBlueBulletText3"/>
    <w:link w:val="NTTFlushBlueBulletText4Char"/>
    <w:rsid w:val="00C33FA2"/>
  </w:style>
  <w:style w:type="character" w:customStyle="1" w:styleId="NTTFlushBlueBulletText4Char">
    <w:name w:val="NTT Flush Blue Bullet Text 4 Char"/>
    <w:basedOn w:val="DefaultParagraphFont"/>
    <w:link w:val="NTTFlushBlueBulletText4"/>
    <w:rsid w:val="00C33FA2"/>
    <w:rPr>
      <w:rFonts w:ascii="Arial" w:eastAsia="Times New Roman" w:hAnsi="Arial" w:cs="Arial"/>
      <w:color w:val="005B96" w:themeColor="accent3"/>
      <w:kern w:val="20"/>
      <w:sz w:val="20"/>
      <w:szCs w:val="20"/>
      <w:lang w:val="en-GB"/>
      <w14:ligatures w14:val="none"/>
    </w:rPr>
  </w:style>
  <w:style w:type="paragraph" w:customStyle="1" w:styleId="NTTFlushBlueBulletText5">
    <w:name w:val="NTT Flush Blue Bullet Text 5"/>
    <w:basedOn w:val="NTTFlushBlueBulletText1"/>
    <w:link w:val="NTTFlushBlueBulletText5Char"/>
    <w:rsid w:val="004C2406"/>
    <w:pPr>
      <w:ind w:left="964"/>
    </w:pPr>
  </w:style>
  <w:style w:type="character" w:customStyle="1" w:styleId="NTTFlushBlueBulletText5Char">
    <w:name w:val="NTT Flush Blue Bullet Text 5 Char"/>
    <w:basedOn w:val="DefaultParagraphFont"/>
    <w:link w:val="NTTFlushBlueBulletText5"/>
    <w:rsid w:val="004C2406"/>
    <w:rPr>
      <w:rFonts w:ascii="Arial" w:eastAsia="Times New Roman" w:hAnsi="Arial" w:cs="Arial"/>
      <w:color w:val="005B96" w:themeColor="accent3"/>
      <w:kern w:val="20"/>
      <w:sz w:val="20"/>
      <w:szCs w:val="20"/>
      <w:lang w:val="en-GB" w:eastAsia="ja-JP"/>
      <w14:ligatures w14:val="none"/>
    </w:rPr>
  </w:style>
  <w:style w:type="paragraph" w:customStyle="1" w:styleId="NTTFlushBulletText1">
    <w:name w:val="NTT Flush Bullet Text 1"/>
    <w:basedOn w:val="NTTBulletText1"/>
    <w:uiPriority w:val="19"/>
    <w:rsid w:val="00E728B1"/>
    <w:pPr>
      <w:ind w:left="397"/>
    </w:pPr>
    <w:rPr>
      <w:rFonts w:eastAsia="MS PGothic"/>
      <w:bCs/>
      <w:lang w:eastAsia="ja-JP"/>
    </w:rPr>
  </w:style>
  <w:style w:type="paragraph" w:customStyle="1" w:styleId="NTTFlushBulletText2">
    <w:name w:val="NTT Flush Bullet Text 2"/>
    <w:basedOn w:val="NTTFlushBulletText1"/>
    <w:uiPriority w:val="19"/>
    <w:rsid w:val="00257804"/>
    <w:pPr>
      <w:ind w:left="851"/>
    </w:pPr>
    <w:rPr>
      <w:lang w:eastAsia="en-US"/>
    </w:rPr>
  </w:style>
  <w:style w:type="paragraph" w:customStyle="1" w:styleId="NTTFlushBulletText3">
    <w:name w:val="NTT Flush Bullet Text 3"/>
    <w:basedOn w:val="NTTFlushBulletText2"/>
    <w:uiPriority w:val="19"/>
    <w:rsid w:val="00594A58"/>
    <w:pPr>
      <w:ind w:left="964"/>
    </w:pPr>
  </w:style>
  <w:style w:type="paragraph" w:customStyle="1" w:styleId="NTTFlushBulletText4">
    <w:name w:val="NTT Flush Bullet Text 4"/>
    <w:basedOn w:val="NTTFlushBulletText3"/>
    <w:uiPriority w:val="19"/>
    <w:rsid w:val="00B3236F"/>
  </w:style>
  <w:style w:type="paragraph" w:customStyle="1" w:styleId="NTTFlushBulletText5">
    <w:name w:val="NTT Flush Bullet Text 5"/>
    <w:basedOn w:val="NTTFlushBulletText1"/>
    <w:uiPriority w:val="19"/>
    <w:rsid w:val="004C2406"/>
    <w:pPr>
      <w:ind w:left="964"/>
    </w:pPr>
  </w:style>
  <w:style w:type="paragraph" w:customStyle="1" w:styleId="NTTRedBodyBoldText">
    <w:name w:val="NTT Red Body Bold Text"/>
    <w:basedOn w:val="NTTBodyBoldText"/>
    <w:next w:val="NTTRedBodyText"/>
    <w:uiPriority w:val="39"/>
    <w:unhideWhenUsed/>
    <w:rsid w:val="00F31CD6"/>
    <w:rPr>
      <w:color w:val="E42600"/>
    </w:rPr>
  </w:style>
  <w:style w:type="paragraph" w:customStyle="1" w:styleId="NTTRedBulletText1">
    <w:name w:val="NTT Red Bullet Text 1"/>
    <w:basedOn w:val="NTTBulletText1"/>
    <w:uiPriority w:val="39"/>
    <w:unhideWhenUsed/>
    <w:rsid w:val="00353C88"/>
    <w:rPr>
      <w:bCs/>
      <w:color w:val="E42600"/>
    </w:rPr>
  </w:style>
  <w:style w:type="paragraph" w:customStyle="1" w:styleId="NTTRedBulletText2">
    <w:name w:val="NTT Red Bullet Text 2"/>
    <w:basedOn w:val="NTTBulletText2"/>
    <w:uiPriority w:val="39"/>
    <w:unhideWhenUsed/>
    <w:rsid w:val="003E307D"/>
    <w:rPr>
      <w:color w:val="E42600"/>
    </w:rPr>
  </w:style>
  <w:style w:type="paragraph" w:customStyle="1" w:styleId="NTTRedBulletText3">
    <w:name w:val="NTT Red Bullet Text 3"/>
    <w:basedOn w:val="NTTBulletText3"/>
    <w:uiPriority w:val="39"/>
    <w:unhideWhenUsed/>
    <w:rsid w:val="003E307D"/>
    <w:rPr>
      <w:color w:val="E42600"/>
    </w:rPr>
  </w:style>
  <w:style w:type="paragraph" w:customStyle="1" w:styleId="NTTRedBulletText4">
    <w:name w:val="NTT Red Bullet Text 4"/>
    <w:basedOn w:val="NTTRedBulletText3"/>
    <w:uiPriority w:val="39"/>
    <w:unhideWhenUsed/>
    <w:rsid w:val="003E307D"/>
  </w:style>
  <w:style w:type="paragraph" w:customStyle="1" w:styleId="NTTRedBulletText5">
    <w:name w:val="NTT Red Bullet Text 5"/>
    <w:basedOn w:val="NTTRedBulletText4"/>
    <w:uiPriority w:val="39"/>
    <w:unhideWhenUsed/>
    <w:rsid w:val="009D3BEB"/>
  </w:style>
  <w:style w:type="paragraph" w:customStyle="1" w:styleId="NTTRedNotedText1Bold">
    <w:name w:val="NTT Red Noted Text 1 Bold"/>
    <w:basedOn w:val="NTTBlueNotedText1Bold"/>
    <w:next w:val="Normal"/>
    <w:uiPriority w:val="46"/>
    <w:unhideWhenUsed/>
    <w:rsid w:val="003E307D"/>
    <w:pPr>
      <w:pBdr>
        <w:top w:val="single" w:sz="8" w:space="3" w:color="E42600"/>
        <w:bottom w:val="single" w:sz="8" w:space="3" w:color="E42600"/>
      </w:pBdr>
      <w:shd w:val="clear" w:color="auto" w:fill="E9E9E9" w:themeFill="accent6" w:themeFillTint="33"/>
    </w:pPr>
    <w:rPr>
      <w:color w:val="E42600"/>
    </w:rPr>
  </w:style>
  <w:style w:type="paragraph" w:customStyle="1" w:styleId="NTTRedNotedText2Body">
    <w:name w:val="NTT Red Noted Text 2 Body"/>
    <w:basedOn w:val="NTTRedNotedText1Bold"/>
    <w:uiPriority w:val="46"/>
    <w:unhideWhenUsed/>
    <w:rsid w:val="003E307D"/>
    <w:rPr>
      <w:rFonts w:asciiTheme="minorHAnsi" w:hAnsiTheme="minorHAnsi"/>
      <w:b w:val="0"/>
    </w:rPr>
  </w:style>
  <w:style w:type="paragraph" w:customStyle="1" w:styleId="NTTRedTableBodyBoldText">
    <w:name w:val="NTT Red Table Body Bold Text"/>
    <w:basedOn w:val="Normal"/>
    <w:next w:val="NTTRedTableBodyText"/>
    <w:uiPriority w:val="44"/>
    <w:unhideWhenUsed/>
    <w:rsid w:val="003E307D"/>
    <w:pPr>
      <w:keepNext/>
      <w:keepLines/>
    </w:pPr>
    <w:rPr>
      <w:rFonts w:ascii="Arial Bold" w:eastAsia="Times New Roman" w:hAnsi="Arial Bold" w:cs="Arial"/>
      <w:color w:val="E42600"/>
      <w:kern w:val="18"/>
      <w:szCs w:val="18"/>
      <w:lang w:val="en-GB"/>
      <w14:ligatures w14:val="none"/>
    </w:rPr>
  </w:style>
  <w:style w:type="paragraph" w:customStyle="1" w:styleId="NTTRedTableBoldBullet">
    <w:name w:val="NTT Red Table Bold Bullet"/>
    <w:basedOn w:val="Normal"/>
    <w:next w:val="Normal"/>
    <w:uiPriority w:val="44"/>
    <w:unhideWhenUsed/>
    <w:qFormat/>
    <w:rsid w:val="003E307D"/>
    <w:pPr>
      <w:keepNext/>
      <w:keepLines/>
      <w:numPr>
        <w:ilvl w:val="2"/>
        <w:numId w:val="29"/>
      </w:numPr>
      <w:contextualSpacing/>
    </w:pPr>
    <w:rPr>
      <w:rFonts w:ascii="Arial Bold" w:eastAsia="Times New Roman" w:hAnsi="Arial Bold" w:cs="Arial"/>
      <w:b/>
      <w:color w:val="E42600"/>
      <w:kern w:val="18"/>
      <w:szCs w:val="20"/>
      <w:lang w:val="en-GB"/>
      <w14:ligatures w14:val="none"/>
    </w:rPr>
  </w:style>
  <w:style w:type="paragraph" w:customStyle="1" w:styleId="NTTRedTableBulletText1">
    <w:name w:val="NTT Red Table Bullet Text 1"/>
    <w:basedOn w:val="Normal"/>
    <w:uiPriority w:val="44"/>
    <w:unhideWhenUsed/>
    <w:rsid w:val="008C0602"/>
    <w:pPr>
      <w:ind w:left="340"/>
    </w:pPr>
    <w:rPr>
      <w:rFonts w:eastAsia="Times New Roman" w:cs="Arial"/>
      <w:bCs/>
      <w:color w:val="E42600"/>
      <w:kern w:val="18"/>
      <w:szCs w:val="20"/>
      <w:lang w:val="en-GB"/>
      <w14:ligatures w14:val="none"/>
    </w:rPr>
  </w:style>
  <w:style w:type="paragraph" w:customStyle="1" w:styleId="NTTRedTableBulletText2">
    <w:name w:val="NTT Red Table Bullet Text 2"/>
    <w:basedOn w:val="Normal"/>
    <w:uiPriority w:val="44"/>
    <w:unhideWhenUsed/>
    <w:rsid w:val="0040405A"/>
    <w:pPr>
      <w:ind w:left="851"/>
      <w:contextualSpacing/>
    </w:pPr>
    <w:rPr>
      <w:rFonts w:eastAsia="Times New Roman" w:cs="Arial"/>
      <w:bCs/>
      <w:color w:val="E42600"/>
      <w:kern w:val="18"/>
      <w:szCs w:val="20"/>
      <w:lang w:val="en-GB"/>
      <w14:ligatures w14:val="none"/>
    </w:rPr>
  </w:style>
  <w:style w:type="paragraph" w:customStyle="1" w:styleId="NTTRedTableBulletText3">
    <w:name w:val="NTT Red Table Bullet Text 3"/>
    <w:basedOn w:val="Normal"/>
    <w:uiPriority w:val="44"/>
    <w:unhideWhenUsed/>
    <w:rsid w:val="008C0602"/>
    <w:pPr>
      <w:ind w:left="964"/>
    </w:pPr>
    <w:rPr>
      <w:rFonts w:eastAsia="Times New Roman" w:cs="Arial"/>
      <w:bCs/>
      <w:color w:val="E42600"/>
      <w:kern w:val="18"/>
      <w:szCs w:val="20"/>
      <w:lang w:val="en-GB"/>
      <w14:ligatures w14:val="none"/>
    </w:rPr>
  </w:style>
  <w:style w:type="paragraph" w:customStyle="1" w:styleId="NTTRedTableBulletText4">
    <w:name w:val="NTT Red Table Bullet Text 4"/>
    <w:basedOn w:val="NTTRedTableBulletText3"/>
    <w:uiPriority w:val="44"/>
    <w:unhideWhenUsed/>
    <w:rsid w:val="0083153F"/>
  </w:style>
  <w:style w:type="paragraph" w:customStyle="1" w:styleId="NTTRedTableBulletText5">
    <w:name w:val="NTT Red Table Bullet Text 5"/>
    <w:basedOn w:val="NTTRedTableBulletText1"/>
    <w:uiPriority w:val="44"/>
    <w:unhideWhenUsed/>
    <w:rsid w:val="004C2406"/>
    <w:pPr>
      <w:ind w:left="964"/>
    </w:pPr>
  </w:style>
  <w:style w:type="paragraph" w:customStyle="1" w:styleId="NTTTableBoldBullet">
    <w:name w:val="NTT Table Bold Bullet"/>
    <w:basedOn w:val="NTTTableBullet1"/>
    <w:next w:val="Normal"/>
    <w:uiPriority w:val="14"/>
    <w:rsid w:val="001D44F0"/>
    <w:pPr>
      <w:keepNext/>
      <w:keepLines/>
      <w:numPr>
        <w:ilvl w:val="3"/>
        <w:numId w:val="29"/>
      </w:numPr>
    </w:pPr>
    <w:rPr>
      <w:rFonts w:ascii="Arial Bold" w:hAnsi="Arial Bold" w:cs="Tahoma"/>
      <w:b/>
      <w:szCs w:val="20"/>
    </w:rPr>
  </w:style>
  <w:style w:type="paragraph" w:customStyle="1" w:styleId="NTTTableBulletText1">
    <w:name w:val="NTT Table Bullet Text 1"/>
    <w:uiPriority w:val="14"/>
    <w:rsid w:val="004703D8"/>
    <w:pPr>
      <w:spacing w:line="264" w:lineRule="auto"/>
      <w:ind w:left="340"/>
    </w:pPr>
    <w:rPr>
      <w:rFonts w:ascii="Arial" w:eastAsia="Times New Roman" w:hAnsi="Arial" w:cs="Arial"/>
      <w:color w:val="2E404D" w:themeColor="text1"/>
      <w:kern w:val="18"/>
      <w:sz w:val="20"/>
      <w:szCs w:val="20"/>
      <w:lang w:val="en-GB"/>
      <w14:ligatures w14:val="none"/>
    </w:rPr>
  </w:style>
  <w:style w:type="paragraph" w:customStyle="1" w:styleId="NTTTableBulletText2">
    <w:name w:val="NTT Table Bullet Text 2"/>
    <w:basedOn w:val="NTTTableBulletText1"/>
    <w:uiPriority w:val="14"/>
    <w:rsid w:val="004D35A5"/>
    <w:pPr>
      <w:ind w:left="851"/>
    </w:pPr>
  </w:style>
  <w:style w:type="paragraph" w:customStyle="1" w:styleId="NTTTableBulletText3">
    <w:name w:val="NTT Table Bullet Text 3"/>
    <w:basedOn w:val="NTTTableBulletText1"/>
    <w:uiPriority w:val="14"/>
    <w:rsid w:val="00251212"/>
    <w:pPr>
      <w:ind w:left="1077"/>
    </w:pPr>
  </w:style>
  <w:style w:type="paragraph" w:customStyle="1" w:styleId="NTTTableBulletText4">
    <w:name w:val="NTT Table Bullet Text 4"/>
    <w:basedOn w:val="NTTTableBulletText3"/>
    <w:uiPriority w:val="14"/>
    <w:rsid w:val="00FD2F8C"/>
  </w:style>
  <w:style w:type="paragraph" w:customStyle="1" w:styleId="NTTTableBulletText5">
    <w:name w:val="NTT Table Bullet Text 5"/>
    <w:basedOn w:val="NTTTableBulletText1"/>
    <w:uiPriority w:val="14"/>
    <w:rsid w:val="004C2406"/>
    <w:pPr>
      <w:ind w:left="964"/>
    </w:pPr>
  </w:style>
  <w:style w:type="paragraph" w:customStyle="1" w:styleId="NTTTableWhiteHeader">
    <w:name w:val="NTT Table White Header"/>
    <w:uiPriority w:val="15"/>
    <w:rsid w:val="00FD2F8C"/>
    <w:pPr>
      <w:spacing w:line="264" w:lineRule="auto"/>
    </w:pPr>
    <w:rPr>
      <w:rFonts w:ascii="Arial Bold" w:eastAsia="Times New Roman" w:hAnsi="Arial Bold" w:cs="Arial"/>
      <w:b/>
      <w:color w:val="FFFFFF"/>
      <w:kern w:val="18"/>
      <w:sz w:val="20"/>
      <w:szCs w:val="18"/>
      <w:lang w:val="en-GB"/>
      <w14:ligatures w14:val="none"/>
    </w:rPr>
  </w:style>
  <w:style w:type="paragraph" w:customStyle="1" w:styleId="NTTtablepicture">
    <w:name w:val="NTT table picture"/>
    <w:basedOn w:val="NTTAPicture"/>
    <w:qFormat/>
    <w:rsid w:val="003D12EC"/>
  </w:style>
  <w:style w:type="paragraph" w:customStyle="1" w:styleId="NTTtablebodyboldtext">
    <w:name w:val="NTT table body bold text"/>
    <w:basedOn w:val="NTTTableBodyText"/>
    <w:qFormat/>
    <w:rsid w:val="00D31309"/>
    <w:rPr>
      <w:rFonts w:ascii="Arial Bold" w:hAnsi="Arial Bold"/>
      <w:b/>
    </w:rPr>
  </w:style>
  <w:style w:type="paragraph" w:customStyle="1" w:styleId="NTTBluetablebodyboldtext">
    <w:name w:val="NTT Blue table body bold text"/>
    <w:basedOn w:val="NTTBlueTableBodyText"/>
    <w:qFormat/>
    <w:rsid w:val="00D31309"/>
    <w:rPr>
      <w:b/>
    </w:rPr>
  </w:style>
  <w:style w:type="paragraph" w:customStyle="1" w:styleId="LOFHeading">
    <w:name w:val="LOF Heading"/>
    <w:next w:val="TOC2"/>
    <w:link w:val="LOFHeadingChar"/>
    <w:rsid w:val="00C57CAF"/>
    <w:pPr>
      <w:keepNext/>
      <w:keepLines/>
      <w:spacing w:before="240" w:after="120" w:line="264" w:lineRule="auto"/>
    </w:pPr>
    <w:rPr>
      <w:rFonts w:asciiTheme="majorHAnsi" w:hAnsiTheme="majorHAnsi"/>
      <w:b/>
      <w:color w:val="0072BC" w:themeColor="accent2"/>
      <w:kern w:val="36"/>
      <w:sz w:val="28"/>
      <w:lang w:val="en-US"/>
    </w:rPr>
  </w:style>
  <w:style w:type="table" w:styleId="PlainTable1">
    <w:name w:val="Plain Table 1"/>
    <w:basedOn w:val="TableNormal"/>
    <w:uiPriority w:val="41"/>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OFHeadingChar">
    <w:name w:val="LOF Heading Char"/>
    <w:basedOn w:val="DefaultParagraphFont"/>
    <w:link w:val="LOFHeading"/>
    <w:rsid w:val="00C57CAF"/>
    <w:rPr>
      <w:rFonts w:asciiTheme="majorHAnsi" w:hAnsiTheme="majorHAnsi"/>
      <w:b/>
      <w:color w:val="0072BC" w:themeColor="accent2"/>
      <w:kern w:val="36"/>
      <w:sz w:val="28"/>
      <w:lang w:val="en-US"/>
    </w:rPr>
  </w:style>
  <w:style w:type="paragraph" w:customStyle="1" w:styleId="NTTHistoryHeading">
    <w:name w:val="NTT History Heading"/>
    <w:link w:val="NTTHistoryHeadingChar"/>
    <w:rsid w:val="004102DE"/>
    <w:pPr>
      <w:keepNext/>
      <w:keepLines/>
      <w:spacing w:before="240" w:after="120" w:line="264" w:lineRule="auto"/>
    </w:pPr>
    <w:rPr>
      <w:rFonts w:asciiTheme="majorHAnsi" w:hAnsiTheme="majorHAnsi"/>
      <w:b/>
      <w:color w:val="0072BC" w:themeColor="accent2"/>
      <w:kern w:val="18"/>
      <w:lang w:val="en-US"/>
    </w:rPr>
  </w:style>
  <w:style w:type="character" w:customStyle="1" w:styleId="NTTHistoryHeadingChar">
    <w:name w:val="NTT History Heading Char"/>
    <w:basedOn w:val="DefaultParagraphFont"/>
    <w:link w:val="NTTHistoryHeading"/>
    <w:rsid w:val="004102DE"/>
    <w:rPr>
      <w:rFonts w:asciiTheme="majorHAnsi" w:hAnsiTheme="majorHAnsi"/>
      <w:b/>
      <w:color w:val="0072BC" w:themeColor="accent2"/>
      <w:kern w:val="18"/>
      <w:lang w:val="en-US"/>
    </w:rPr>
  </w:style>
  <w:style w:type="table" w:styleId="GridTable1Light">
    <w:name w:val="Grid Table 1 Light"/>
    <w:basedOn w:val="TableNormal"/>
    <w:uiPriority w:val="46"/>
    <w:rsid w:val="002921D0"/>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1">
    <w:name w:val="Grid Table 1 Light Accent 1"/>
    <w:basedOn w:val="GridTable1Light"/>
    <w:uiPriority w:val="46"/>
    <w:rsid w:val="002921D0"/>
    <w:tblPr>
      <w:tblBorders>
        <w:top w:val="none" w:sz="0" w:space="0" w:color="auto"/>
        <w:bottom w:val="none" w:sz="0" w:space="0" w:color="auto"/>
        <w:insideH w:val="none" w:sz="0" w:space="0" w:color="auto"/>
        <w:insideV w:val="none" w:sz="0" w:space="0" w:color="auto"/>
      </w:tblBorders>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2">
    <w:name w:val="Grid Table 1 Light Accent 2"/>
    <w:basedOn w:val="TableGrid1"/>
    <w:uiPriority w:val="46"/>
    <w:rsid w:val="00BE551C"/>
    <w:rPr>
      <w:kern w:val="0"/>
      <w:sz w:val="20"/>
      <w:szCs w:val="20"/>
      <w:lang w:val="en-US" w:eastAsia="en-GB"/>
      <w14:ligatures w14:val="none"/>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12" w:space="0" w:color="3DB2FF" w:themeColor="accent2" w:themeTint="99"/>
        </w:tcBorders>
      </w:tcPr>
    </w:tblStylePr>
    <w:tblStylePr w:type="lastRow">
      <w:rPr>
        <w:b/>
        <w:bCs/>
        <w:i/>
        <w:iCs/>
      </w:rPr>
      <w:tblPr/>
      <w:tcPr>
        <w:tcBorders>
          <w:top w:val="double" w:sz="2" w:space="0" w:color="3DB2FF" w:themeColor="accent2" w:themeTint="99"/>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style>
  <w:style w:type="table" w:styleId="GridTable1Light-Accent3">
    <w:name w:val="Grid Table 1 Light Accent 3"/>
    <w:basedOn w:val="TableNormal"/>
    <w:uiPriority w:val="46"/>
    <w:rsid w:val="00BE551C"/>
    <w:rPr>
      <w:sz w:val="20"/>
    </w:rPr>
    <w:tblPr>
      <w:tblStyleRowBandSize w:val="1"/>
      <w:tblStyleColBandSize w:val="1"/>
      <w:tblBorders>
        <w:top w:val="single" w:sz="4" w:space="0" w:color="6FC5FF" w:themeColor="accent3" w:themeTint="66"/>
        <w:left w:val="single" w:sz="4" w:space="0" w:color="6FC5FF" w:themeColor="accent3" w:themeTint="66"/>
        <w:bottom w:val="single" w:sz="4" w:space="0" w:color="6FC5FF" w:themeColor="accent3" w:themeTint="66"/>
        <w:right w:val="single" w:sz="4" w:space="0" w:color="6FC5FF" w:themeColor="accent3" w:themeTint="66"/>
        <w:insideH w:val="single" w:sz="4" w:space="0" w:color="6FC5FF" w:themeColor="accent3" w:themeTint="66"/>
        <w:insideV w:val="single" w:sz="4" w:space="0" w:color="6FC5FF" w:themeColor="accent3" w:themeTint="66"/>
      </w:tblBorders>
      <w:tblCellMar>
        <w:top w:w="85" w:type="dxa"/>
        <w:left w:w="85" w:type="dxa"/>
        <w:bottom w:w="85" w:type="dxa"/>
        <w:right w:w="85" w:type="dxa"/>
      </w:tblCellMar>
    </w:tblPr>
    <w:tblStylePr w:type="firstRow">
      <w:rPr>
        <w:b/>
        <w:bCs/>
      </w:rPr>
      <w:tblPr/>
      <w:tcPr>
        <w:tcBorders>
          <w:bottom w:val="single" w:sz="12" w:space="0" w:color="27A9FF" w:themeColor="accent3" w:themeTint="99"/>
        </w:tcBorders>
      </w:tcPr>
    </w:tblStylePr>
    <w:tblStylePr w:type="lastRow">
      <w:rPr>
        <w:b/>
        <w:bCs/>
      </w:rPr>
      <w:tblPr/>
      <w:tcPr>
        <w:tcBorders>
          <w:top w:val="double" w:sz="2" w:space="0" w:color="27A9FF"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921D0"/>
    <w:rPr>
      <w:sz w:val="20"/>
    </w:rPr>
    <w:tblPr>
      <w:tblStyleRowBandSize w:val="1"/>
      <w:tblStyleColBandSize w:val="1"/>
      <w:tblBorders>
        <w:top w:val="single" w:sz="4" w:space="0" w:color="84FFBB" w:themeColor="accent5" w:themeTint="66"/>
        <w:left w:val="single" w:sz="4" w:space="0" w:color="84FFBB" w:themeColor="accent5" w:themeTint="66"/>
        <w:bottom w:val="single" w:sz="4" w:space="0" w:color="84FFBB" w:themeColor="accent5" w:themeTint="66"/>
        <w:right w:val="single" w:sz="4" w:space="0" w:color="84FFBB" w:themeColor="accent5" w:themeTint="66"/>
        <w:insideH w:val="single" w:sz="4" w:space="0" w:color="84FFBB" w:themeColor="accent5" w:themeTint="66"/>
        <w:insideV w:val="single" w:sz="4" w:space="0" w:color="84FFBB" w:themeColor="accent5" w:themeTint="66"/>
      </w:tblBorders>
      <w:tblCellMar>
        <w:top w:w="85" w:type="dxa"/>
        <w:left w:w="85" w:type="dxa"/>
        <w:bottom w:w="85" w:type="dxa"/>
        <w:right w:w="85" w:type="dxa"/>
      </w:tblCellMar>
    </w:tblPr>
    <w:tblStylePr w:type="firstRow">
      <w:rPr>
        <w:b/>
        <w:bCs/>
      </w:rPr>
      <w:tblPr/>
      <w:tcPr>
        <w:tcBorders>
          <w:bottom w:val="single" w:sz="12" w:space="0" w:color="46FF9A" w:themeColor="accent5" w:themeTint="99"/>
        </w:tcBorders>
      </w:tcPr>
    </w:tblStylePr>
    <w:tblStylePr w:type="lastRow">
      <w:rPr>
        <w:b/>
        <w:bCs/>
      </w:rPr>
      <w:tblPr/>
      <w:tcPr>
        <w:tcBorders>
          <w:top w:val="double" w:sz="2" w:space="0" w:color="46FF9A"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921D0"/>
    <w:rPr>
      <w:sz w:val="20"/>
    </w:rPr>
    <w:tblPr>
      <w:tblStyleRowBandSize w:val="1"/>
      <w:tblStyleColBandSize w:val="1"/>
      <w:tblBorders>
        <w:top w:val="single" w:sz="4" w:space="0" w:color="A2DAFD" w:themeColor="accent4" w:themeTint="66"/>
        <w:left w:val="single" w:sz="4" w:space="0" w:color="A2DAFD" w:themeColor="accent4" w:themeTint="66"/>
        <w:bottom w:val="single" w:sz="4" w:space="0" w:color="A2DAFD" w:themeColor="accent4" w:themeTint="66"/>
        <w:right w:val="single" w:sz="4" w:space="0" w:color="A2DAFD" w:themeColor="accent4" w:themeTint="66"/>
        <w:insideH w:val="single" w:sz="4" w:space="0" w:color="A2DAFD" w:themeColor="accent4" w:themeTint="66"/>
        <w:insideV w:val="single" w:sz="4" w:space="0" w:color="A2DAFD" w:themeColor="accent4" w:themeTint="66"/>
      </w:tblBorders>
      <w:tblCellMar>
        <w:top w:w="85" w:type="dxa"/>
        <w:left w:w="85" w:type="dxa"/>
        <w:bottom w:w="85" w:type="dxa"/>
        <w:right w:w="85" w:type="dxa"/>
      </w:tblCellMar>
    </w:tblPr>
    <w:tblStylePr w:type="firstRow">
      <w:rPr>
        <w:b/>
        <w:bCs/>
      </w:rPr>
      <w:tblPr/>
      <w:tcPr>
        <w:tcBorders>
          <w:bottom w:val="single" w:sz="12" w:space="0" w:color="74C7FD" w:themeColor="accent4" w:themeTint="99"/>
        </w:tcBorders>
      </w:tcPr>
    </w:tblStylePr>
    <w:tblStylePr w:type="lastRow">
      <w:rPr>
        <w:b/>
        <w:bCs/>
      </w:rPr>
      <w:tblPr/>
      <w:tcPr>
        <w:tcBorders>
          <w:top w:val="double" w:sz="2" w:space="0" w:color="74C7FD"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921D0"/>
    <w:rPr>
      <w:sz w:val="20"/>
    </w:rPr>
    <w:tblPr>
      <w:tblStyleRowBandSize w:val="1"/>
      <w:tblStyleColBandSize w:val="1"/>
      <w:tblBorders>
        <w:top w:val="single" w:sz="4" w:space="0" w:color="D4D4D4" w:themeColor="accent6" w:themeTint="66"/>
        <w:left w:val="single" w:sz="4" w:space="0" w:color="D4D4D4" w:themeColor="accent6" w:themeTint="66"/>
        <w:bottom w:val="single" w:sz="4" w:space="0" w:color="D4D4D4" w:themeColor="accent6" w:themeTint="66"/>
        <w:right w:val="single" w:sz="4" w:space="0" w:color="D4D4D4" w:themeColor="accent6" w:themeTint="66"/>
        <w:insideH w:val="single" w:sz="4" w:space="0" w:color="D4D4D4" w:themeColor="accent6" w:themeTint="66"/>
        <w:insideV w:val="single" w:sz="4" w:space="0" w:color="D4D4D4" w:themeColor="accent6" w:themeTint="66"/>
      </w:tblBorders>
      <w:tblCellMar>
        <w:top w:w="85" w:type="dxa"/>
        <w:left w:w="85" w:type="dxa"/>
        <w:bottom w:w="85" w:type="dxa"/>
        <w:right w:w="85" w:type="dxa"/>
      </w:tblCellMar>
    </w:tblPr>
    <w:tblStylePr w:type="firstRow">
      <w:rPr>
        <w:b/>
        <w:bCs/>
      </w:rPr>
      <w:tblPr/>
      <w:tcPr>
        <w:tcBorders>
          <w:bottom w:val="single" w:sz="12" w:space="0" w:color="BEBEBE" w:themeColor="accent6" w:themeTint="99"/>
        </w:tcBorders>
      </w:tcPr>
    </w:tblStylePr>
    <w:tblStylePr w:type="lastRow">
      <w:rPr>
        <w:b/>
        <w:bCs/>
      </w:rPr>
      <w:tblPr/>
      <w:tcPr>
        <w:tcBorders>
          <w:top w:val="double" w:sz="2" w:space="0" w:color="BEBEB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921D0"/>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shd w:val="clear" w:color="auto" w:fill="0072BC" w:themeFill="accent2"/>
      </w:tcPr>
    </w:tblStylePr>
    <w:tblStylePr w:type="lastRow">
      <w:rPr>
        <w:b/>
        <w:bCs/>
      </w:rPr>
      <w:tblPr/>
      <w:tcPr>
        <w:tcBorders>
          <w:top w:val="nil"/>
          <w:bottom w:val="single" w:sz="4" w:space="0" w:color="949494" w:themeColor="accent6"/>
          <w:insideH w:val="nil"/>
          <w:insideV w:val="single" w:sz="4" w:space="0" w:color="949494" w:themeColor="accent6"/>
        </w:tcBorders>
        <w:shd w:val="clear" w:color="auto" w:fill="FFFFFF" w:themeFill="background1"/>
      </w:tcPr>
    </w:tblStylePr>
    <w:tblStylePr w:type="firstCol">
      <w:rPr>
        <w:b/>
        <w:bCs/>
      </w:rPr>
    </w:tblStylePr>
    <w:tblStylePr w:type="lastCol">
      <w:rPr>
        <w:b/>
        <w:bCs/>
      </w:rPr>
    </w:tblStylePr>
    <w:tblStylePr w:type="band1Vert">
      <w:rPr>
        <w:color w:val="2E404D" w:themeColor="text1"/>
      </w:rPr>
    </w:tblStylePr>
  </w:style>
  <w:style w:type="table" w:styleId="GridTable4">
    <w:name w:val="Grid Table 4"/>
    <w:basedOn w:val="TableNormal"/>
    <w:uiPriority w:val="49"/>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insideV w:val="nil"/>
        </w:tcBorders>
        <w:shd w:val="clear" w:color="auto" w:fill="2E404D" w:themeFill="text1"/>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eGrid1">
    <w:name w:val="Table Grid 1"/>
    <w:basedOn w:val="TableNormal"/>
    <w:uiPriority w:val="99"/>
    <w:semiHidden/>
    <w:unhideWhenUsed/>
    <w:rsid w:val="002921D0"/>
    <w:pPr>
      <w:spacing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dTable2-Accent1">
    <w:name w:val="Grid Table 2 Accent 1"/>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bottom w:val="single" w:sz="12" w:space="0" w:color="244CC3" w:themeColor="accent1" w:themeTint="99"/>
          <w:insideH w:val="nil"/>
          <w:insideV w:val="nil"/>
        </w:tcBorders>
        <w:shd w:val="clear" w:color="auto" w:fill="FFFFFF" w:themeFill="background1"/>
      </w:tcPr>
    </w:tblStylePr>
    <w:tblStylePr w:type="lastRow">
      <w:rPr>
        <w:b/>
        <w:bCs/>
      </w:rPr>
      <w:tblPr/>
      <w:tcPr>
        <w:tcBorders>
          <w:top w:val="double" w:sz="2" w:space="0" w:color="244C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C0F0" w:themeFill="accent1" w:themeFillTint="33"/>
      </w:tcPr>
    </w:tblStylePr>
    <w:tblStylePr w:type="band1Horz">
      <w:tblPr/>
      <w:tcPr>
        <w:shd w:val="clear" w:color="auto" w:fill="B0C0F0" w:themeFill="accent1" w:themeFillTint="33"/>
      </w:tcPr>
    </w:tblStylePr>
  </w:style>
  <w:style w:type="table" w:styleId="GridTable5Dark">
    <w:name w:val="Grid Table 5 Dark"/>
    <w:basedOn w:val="TableNormal"/>
    <w:uiPriority w:val="50"/>
    <w:rsid w:val="003A6929"/>
    <w:rPr>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5" w:type="dxa"/>
        <w:left w:w="85" w:type="dxa"/>
        <w:bottom w:w="85" w:type="dxa"/>
        <w:right w:w="85" w:type="dxa"/>
      </w:tblCellMar>
    </w:tblPr>
    <w:tcPr>
      <w:shd w:val="clear" w:color="auto" w:fill="CED9E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E404D"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E404D"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E404D"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E404D" w:themeFill="text1"/>
      </w:tcPr>
    </w:tblStylePr>
    <w:tblStylePr w:type="band1Vert">
      <w:tblPr/>
      <w:tcPr>
        <w:shd w:val="clear" w:color="auto" w:fill="9DB4C5" w:themeFill="text1" w:themeFillTint="66"/>
      </w:tcPr>
    </w:tblStylePr>
    <w:tblStylePr w:type="band1Horz">
      <w:tblPr/>
      <w:tcPr>
        <w:shd w:val="clear" w:color="auto" w:fill="9DB4C5" w:themeFill="text1" w:themeFillTint="66"/>
      </w:tcPr>
    </w:tblStylePr>
  </w:style>
  <w:style w:type="table" w:styleId="GridTable6Colorful">
    <w:name w:val="Grid Table 6 Colorful"/>
    <w:basedOn w:val="TableNormal"/>
    <w:uiPriority w:val="51"/>
    <w:rsid w:val="003A6929"/>
    <w:rPr>
      <w:color w:val="2E404D" w:themeColor="text1"/>
      <w:sz w:val="20"/>
    </w:rPr>
    <w:tblPr>
      <w:tblStyleRowBandSize w:val="1"/>
      <w:tblStyleColBandSize w:val="1"/>
      <w:tblBorders>
        <w:top w:val="single" w:sz="4" w:space="0" w:color="6D8FA8" w:themeColor="text1" w:themeTint="99"/>
        <w:left w:val="single" w:sz="4" w:space="0" w:color="6D8FA8" w:themeColor="text1" w:themeTint="99"/>
        <w:bottom w:val="single" w:sz="4" w:space="0" w:color="6D8FA8" w:themeColor="text1" w:themeTint="99"/>
        <w:right w:val="single" w:sz="4" w:space="0" w:color="6D8FA8" w:themeColor="text1" w:themeTint="99"/>
        <w:insideH w:val="single" w:sz="4" w:space="0" w:color="6D8FA8" w:themeColor="text1" w:themeTint="99"/>
        <w:insideV w:val="single" w:sz="4" w:space="0" w:color="6D8FA8" w:themeColor="text1" w:themeTint="99"/>
      </w:tblBorders>
      <w:tblCellMar>
        <w:top w:w="85" w:type="dxa"/>
        <w:left w:w="85" w:type="dxa"/>
        <w:bottom w:w="85" w:type="dxa"/>
        <w:right w:w="85" w:type="dxa"/>
      </w:tblCellMar>
    </w:tblPr>
    <w:tblStylePr w:type="firstRow">
      <w:rPr>
        <w:b/>
        <w:bCs/>
      </w:rPr>
      <w:tblPr/>
      <w:tcPr>
        <w:tcBorders>
          <w:bottom w:val="single" w:sz="12" w:space="0" w:color="6D8FA8" w:themeColor="text1" w:themeTint="99"/>
        </w:tcBorders>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GridTable7Colorful">
    <w:name w:val="Grid Table 7 Colorful"/>
    <w:basedOn w:val="TableNormal"/>
    <w:uiPriority w:val="52"/>
    <w:rsid w:val="003A6929"/>
    <w:rPr>
      <w:color w:val="2E404D" w:themeColor="text1"/>
      <w:sz w:val="20"/>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bottom w:val="single" w:sz="4" w:space="0" w:color="6D8FA8" w:themeColor="text1" w:themeTint="99"/>
        </w:tcBorders>
      </w:tcPr>
    </w:tblStylePr>
    <w:tblStylePr w:type="nwCell">
      <w:tblPr/>
      <w:tcPr>
        <w:tcBorders>
          <w:bottom w:val="single" w:sz="4" w:space="0" w:color="6D8FA8" w:themeColor="text1" w:themeTint="99"/>
        </w:tcBorders>
      </w:tcPr>
    </w:tblStylePr>
    <w:tblStylePr w:type="seCell">
      <w:tblPr/>
      <w:tcPr>
        <w:tcBorders>
          <w:top w:val="single" w:sz="4" w:space="0" w:color="6D8FA8" w:themeColor="text1" w:themeTint="99"/>
        </w:tcBorders>
      </w:tcPr>
    </w:tblStylePr>
    <w:tblStylePr w:type="swCell">
      <w:tblPr/>
      <w:tcPr>
        <w:tcBorders>
          <w:top w:val="single" w:sz="4" w:space="0" w:color="6D8FA8" w:themeColor="text1" w:themeTint="99"/>
        </w:tcBorders>
      </w:tcPr>
    </w:tblStylePr>
  </w:style>
  <w:style w:type="table" w:styleId="ListTable1Light">
    <w:name w:val="List Table 1 Light"/>
    <w:basedOn w:val="TableNormal"/>
    <w:uiPriority w:val="46"/>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6D8FA8" w:themeColor="text1" w:themeTint="99"/>
        </w:tcBorders>
      </w:tcPr>
    </w:tblStylePr>
    <w:tblStylePr w:type="lastRow">
      <w:rPr>
        <w:b/>
        <w:bCs/>
      </w:rPr>
      <w:tblPr/>
      <w:tcPr>
        <w:tcBorders>
          <w:top w:val="sing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2">
    <w:name w:val="List Table 2"/>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3">
    <w:name w:val="List Table 3"/>
    <w:basedOn w:val="TableNormal"/>
    <w:uiPriority w:val="48"/>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shd w:val="clear" w:color="auto" w:fill="2E404D" w:themeFill="text1"/>
      </w:tcPr>
    </w:tblStylePr>
    <w:tblStylePr w:type="lastRow">
      <w:rPr>
        <w:b/>
        <w:bCs/>
      </w:rPr>
      <w:tblPr/>
      <w:tcPr>
        <w:tcBorders>
          <w:top w:val="double" w:sz="4" w:space="0" w:color="2E404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404D" w:themeColor="text1"/>
          <w:right w:val="single" w:sz="4" w:space="0" w:color="2E404D" w:themeColor="text1"/>
        </w:tcBorders>
      </w:tcPr>
    </w:tblStylePr>
    <w:tblStylePr w:type="band1Horz">
      <w:tblPr/>
      <w:tcPr>
        <w:tcBorders>
          <w:top w:val="single" w:sz="4" w:space="0" w:color="2E404D" w:themeColor="text1"/>
          <w:bottom w:val="single" w:sz="4" w:space="0" w:color="2E404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404D" w:themeColor="text1"/>
          <w:left w:val="nil"/>
        </w:tcBorders>
      </w:tcPr>
    </w:tblStylePr>
    <w:tblStylePr w:type="swCell">
      <w:tblPr/>
      <w:tcPr>
        <w:tcBorders>
          <w:top w:val="double" w:sz="4" w:space="0" w:color="2E404D" w:themeColor="text1"/>
          <w:right w:val="nil"/>
        </w:tcBorders>
      </w:tcPr>
    </w:tblStylePr>
  </w:style>
  <w:style w:type="table" w:styleId="ListTable4">
    <w:name w:val="List Table 4"/>
    <w:basedOn w:val="TableNormal"/>
    <w:uiPriority w:val="49"/>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tcBorders>
        <w:shd w:val="clear" w:color="auto" w:fill="2E404D" w:themeFill="text1"/>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5Dark">
    <w:name w:val="List Table 5 Dark"/>
    <w:basedOn w:val="TableNormal"/>
    <w:uiPriority w:val="50"/>
    <w:rsid w:val="003A6929"/>
    <w:rPr>
      <w:color w:val="FFFFFF" w:themeColor="background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2E404D"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2E404D" w:themeColor="text1"/>
        </w:tcBorders>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7Colorful">
    <w:name w:val="List Table 7 Colorful"/>
    <w:basedOn w:val="TableNormal"/>
    <w:uiPriority w:val="52"/>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2E404D"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E404D"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E404D"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E404D" w:themeColor="text1"/>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85A1B6" w:themeColor="text1" w:themeTint="80"/>
        </w:tcBorders>
      </w:tcPr>
    </w:tblStylePr>
    <w:tblStylePr w:type="lastRow">
      <w:rPr>
        <w:b/>
        <w:bCs/>
      </w:rPr>
      <w:tblPr/>
      <w:tcPr>
        <w:tcBorders>
          <w:top w:val="single" w:sz="4" w:space="0" w:color="85A1B6" w:themeColor="text1" w:themeTint="80"/>
        </w:tcBorders>
      </w:tcPr>
    </w:tblStylePr>
    <w:tblStylePr w:type="firstCol">
      <w:rPr>
        <w:b/>
        <w:bCs/>
      </w:rPr>
    </w:tblStylePr>
    <w:tblStylePr w:type="lastCol">
      <w:rPr>
        <w:b/>
        <w:bCs/>
      </w:rPr>
    </w:tblStylePr>
    <w:tblStylePr w:type="band1Vert">
      <w:tblPr/>
      <w:tcPr>
        <w:tcBorders>
          <w:left w:val="single" w:sz="4" w:space="0" w:color="85A1B6" w:themeColor="text1" w:themeTint="80"/>
          <w:right w:val="single" w:sz="4" w:space="0" w:color="85A1B6" w:themeColor="text1" w:themeTint="80"/>
        </w:tcBorders>
      </w:tcPr>
    </w:tblStylePr>
    <w:tblStylePr w:type="band2Vert">
      <w:tblPr/>
      <w:tcPr>
        <w:tcBorders>
          <w:left w:val="single" w:sz="4" w:space="0" w:color="85A1B6" w:themeColor="text1" w:themeTint="80"/>
          <w:right w:val="single" w:sz="4" w:space="0" w:color="85A1B6" w:themeColor="text1" w:themeTint="80"/>
        </w:tcBorders>
      </w:tcPr>
    </w:tblStylePr>
    <w:tblStylePr w:type="band1Horz">
      <w:tblPr/>
      <w:tcPr>
        <w:tcBorders>
          <w:top w:val="single" w:sz="4" w:space="0" w:color="85A1B6" w:themeColor="text1" w:themeTint="80"/>
          <w:bottom w:val="single" w:sz="4" w:space="0" w:color="85A1B6" w:themeColor="text1" w:themeTint="80"/>
        </w:tcBorders>
      </w:tcPr>
    </w:tblStylePr>
  </w:style>
  <w:style w:type="table" w:styleId="PlainTable3">
    <w:name w:val="Plain Table 3"/>
    <w:basedOn w:val="TableNormal"/>
    <w:uiPriority w:val="43"/>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aps/>
      </w:rPr>
      <w:tblPr/>
      <w:tcPr>
        <w:tcBorders>
          <w:bottom w:val="single" w:sz="4" w:space="0" w:color="85A1B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5A1B6"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85A1B6"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A1B6"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A1B6"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A1B6"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A6929"/>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style>
  <w:style w:type="paragraph" w:customStyle="1" w:styleId="NTTLegalIndent">
    <w:name w:val="NTT Legal Indent"/>
    <w:basedOn w:val="NTTLegalBody"/>
    <w:qFormat/>
    <w:rsid w:val="00DD5864"/>
    <w:pPr>
      <w:ind w:left="851"/>
    </w:pPr>
  </w:style>
  <w:style w:type="paragraph" w:styleId="CommentSubject">
    <w:name w:val="annotation subject"/>
    <w:basedOn w:val="CommentText"/>
    <w:next w:val="CommentText"/>
    <w:link w:val="CommentSubjectChar"/>
    <w:uiPriority w:val="99"/>
    <w:semiHidden/>
    <w:unhideWhenUsed/>
    <w:rsid w:val="001E6B53"/>
    <w:rPr>
      <w:b/>
      <w:bCs/>
    </w:rPr>
  </w:style>
  <w:style w:type="character" w:customStyle="1" w:styleId="CommentSubjectChar">
    <w:name w:val="Comment Subject Char"/>
    <w:basedOn w:val="CommentTextChar"/>
    <w:link w:val="CommentSubject"/>
    <w:uiPriority w:val="99"/>
    <w:semiHidden/>
    <w:rsid w:val="001E6B53"/>
    <w:rPr>
      <w:rFonts w:ascii="Arial" w:hAnsi="Arial"/>
      <w:b/>
      <w:bCs/>
      <w:sz w:val="20"/>
      <w:szCs w:val="20"/>
      <w:lang w:val="en-US"/>
    </w:rPr>
  </w:style>
  <w:style w:type="character" w:styleId="FollowedHyperlink">
    <w:name w:val="FollowedHyperlink"/>
    <w:basedOn w:val="DefaultParagraphFont"/>
    <w:uiPriority w:val="99"/>
    <w:semiHidden/>
    <w:unhideWhenUsed/>
    <w:rsid w:val="000B25ED"/>
    <w:rPr>
      <w:color w:val="0072B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909771">
      <w:bodyDiv w:val="1"/>
      <w:marLeft w:val="0"/>
      <w:marRight w:val="0"/>
      <w:marTop w:val="0"/>
      <w:marBottom w:val="0"/>
      <w:divBdr>
        <w:top w:val="none" w:sz="0" w:space="0" w:color="auto"/>
        <w:left w:val="none" w:sz="0" w:space="0" w:color="auto"/>
        <w:bottom w:val="none" w:sz="0" w:space="0" w:color="auto"/>
        <w:right w:val="none" w:sz="0" w:space="0" w:color="auto"/>
      </w:divBdr>
      <w:divsChild>
        <w:div w:id="1351183749">
          <w:marLeft w:val="0"/>
          <w:marRight w:val="0"/>
          <w:marTop w:val="0"/>
          <w:marBottom w:val="0"/>
          <w:divBdr>
            <w:top w:val="none" w:sz="0" w:space="0" w:color="auto"/>
            <w:left w:val="none" w:sz="0" w:space="0" w:color="auto"/>
            <w:bottom w:val="none" w:sz="0" w:space="0" w:color="auto"/>
            <w:right w:val="none" w:sz="0" w:space="0" w:color="auto"/>
          </w:divBdr>
          <w:divsChild>
            <w:div w:id="99956442">
              <w:marLeft w:val="0"/>
              <w:marRight w:val="0"/>
              <w:marTop w:val="0"/>
              <w:marBottom w:val="0"/>
              <w:divBdr>
                <w:top w:val="none" w:sz="0" w:space="0" w:color="auto"/>
                <w:left w:val="none" w:sz="0" w:space="0" w:color="auto"/>
                <w:bottom w:val="none" w:sz="0" w:space="0" w:color="auto"/>
                <w:right w:val="none" w:sz="0" w:space="0" w:color="auto"/>
              </w:divBdr>
              <w:divsChild>
                <w:div w:id="1969428899">
                  <w:marLeft w:val="0"/>
                  <w:marRight w:val="0"/>
                  <w:marTop w:val="0"/>
                  <w:marBottom w:val="0"/>
                  <w:divBdr>
                    <w:top w:val="none" w:sz="0" w:space="0" w:color="auto"/>
                    <w:left w:val="none" w:sz="0" w:space="0" w:color="auto"/>
                    <w:bottom w:val="none" w:sz="0" w:space="0" w:color="auto"/>
                    <w:right w:val="none" w:sz="0" w:space="0" w:color="auto"/>
                  </w:divBdr>
                  <w:divsChild>
                    <w:div w:id="18742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kaggle.com/datasets/polartech/uk-mortgage-product-dataset?utm_source=chatgpt.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fca.org.uk/firms/regulatory-reporting/product-sales-data-reporting"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yperlink" Target="https://www.fca.org.uk/publication/consumer-credit-information/credit-agreement-psd-data-elements.xls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994FB-CE9A-4296-A86B-8438FEAF527F}"/>
      </w:docPartPr>
      <w:docPartBody>
        <w:p w:rsidR="005A6B75" w:rsidRDefault="000620EA">
          <w:r w:rsidRPr="00790150">
            <w:rPr>
              <w:rStyle w:val="PlaceholderText"/>
            </w:rPr>
            <w:t>Click or tap here to enter text.</w:t>
          </w:r>
        </w:p>
      </w:docPartBody>
    </w:docPart>
    <w:docPart>
      <w:docPartPr>
        <w:name w:val="DB458E9C4BAE473FAAF5D63304686574"/>
        <w:category>
          <w:name w:val="General"/>
          <w:gallery w:val="placeholder"/>
        </w:category>
        <w:types>
          <w:type w:val="bbPlcHdr"/>
        </w:types>
        <w:behaviors>
          <w:behavior w:val="content"/>
        </w:behaviors>
        <w:guid w:val="{5DF899F3-CF39-4951-8FAD-54F8FAE7014C}"/>
      </w:docPartPr>
      <w:docPartBody>
        <w:p w:rsidR="005A6B75" w:rsidRDefault="000620EA" w:rsidP="000620EA">
          <w:pPr>
            <w:pStyle w:val="DB458E9C4BAE473FAAF5D63304686574"/>
          </w:pPr>
          <w:r w:rsidRPr="00790150">
            <w:rPr>
              <w:rStyle w:val="PlaceholderText"/>
            </w:rPr>
            <w:t>Click or tap here to enter text.</w:t>
          </w:r>
        </w:p>
      </w:docPartBody>
    </w:docPart>
    <w:docPart>
      <w:docPartPr>
        <w:name w:val="95B71A9760304E7D856A924CBB85946C"/>
        <w:category>
          <w:name w:val="General"/>
          <w:gallery w:val="placeholder"/>
        </w:category>
        <w:types>
          <w:type w:val="bbPlcHdr"/>
        </w:types>
        <w:behaviors>
          <w:behavior w:val="content"/>
        </w:behaviors>
        <w:guid w:val="{F195DF81-70D9-431B-AC8F-633F2350487C}"/>
      </w:docPartPr>
      <w:docPartBody>
        <w:p w:rsidR="00B206CE" w:rsidRDefault="00622C7E" w:rsidP="00622C7E">
          <w:pPr>
            <w:pStyle w:val="95B71A9760304E7D856A924CBB85946C"/>
          </w:pPr>
          <w:r w:rsidRPr="00790150">
            <w:rPr>
              <w:rStyle w:val="PlaceholderText"/>
            </w:rPr>
            <w:t>Click or tap here to enter text.</w:t>
          </w:r>
        </w:p>
      </w:docPartBody>
    </w:docPart>
    <w:docPart>
      <w:docPartPr>
        <w:name w:val="7CEF6F5123C545DEAF3672169BE6A63D"/>
        <w:category>
          <w:name w:val="General"/>
          <w:gallery w:val="placeholder"/>
        </w:category>
        <w:types>
          <w:type w:val="bbPlcHdr"/>
        </w:types>
        <w:behaviors>
          <w:behavior w:val="content"/>
        </w:behaviors>
        <w:guid w:val="{8F033BF1-E6BB-4A96-8AE2-11F1F5A536CD}"/>
      </w:docPartPr>
      <w:docPartBody>
        <w:p w:rsidR="00E563C7" w:rsidRDefault="00AE0F69" w:rsidP="00AE0F69">
          <w:pPr>
            <w:pStyle w:val="7CEF6F5123C545DEAF3672169BE6A63D"/>
          </w:pPr>
          <w:r w:rsidRPr="00790150">
            <w:rPr>
              <w:rStyle w:val="PlaceholderText"/>
            </w:rPr>
            <w:t>Click or tap here to enter text.</w:t>
          </w:r>
        </w:p>
      </w:docPartBody>
    </w:docPart>
    <w:docPart>
      <w:docPartPr>
        <w:name w:val="07F13BF82FC6447CAC9D511CF9723222"/>
        <w:category>
          <w:name w:val="General"/>
          <w:gallery w:val="placeholder"/>
        </w:category>
        <w:types>
          <w:type w:val="bbPlcHdr"/>
        </w:types>
        <w:behaviors>
          <w:behavior w:val="content"/>
        </w:behaviors>
        <w:guid w:val="{438CD938-07FA-4E6E-92E9-7452029ABA9C}"/>
      </w:docPartPr>
      <w:docPartBody>
        <w:p w:rsidR="008809DA" w:rsidRDefault="008809DA" w:rsidP="008809DA">
          <w:pPr>
            <w:pStyle w:val="07F13BF82FC6447CAC9D511CF9723222"/>
          </w:pPr>
          <w:r w:rsidRPr="00C14A14">
            <w:rPr>
              <w:bCs/>
              <w:lang w:val="en-GB"/>
            </w:rPr>
            <w:t>[Legal Entity Information]</w:t>
          </w:r>
        </w:p>
      </w:docPartBody>
    </w:docPart>
    <w:docPart>
      <w:docPartPr>
        <w:name w:val="F9B3FD16871F4C54ACF12EFE83A2BD4C"/>
        <w:category>
          <w:name w:val="General"/>
          <w:gallery w:val="placeholder"/>
        </w:category>
        <w:types>
          <w:type w:val="bbPlcHdr"/>
        </w:types>
        <w:behaviors>
          <w:behavior w:val="content"/>
        </w:behaviors>
        <w:guid w:val="{4B24693D-798D-445E-B310-428280FDF684}"/>
      </w:docPartPr>
      <w:docPartBody>
        <w:p w:rsidR="008809DA" w:rsidRDefault="008809DA" w:rsidP="008809DA">
          <w:pPr>
            <w:pStyle w:val="F9B3FD16871F4C54ACF12EFE83A2BD4C"/>
          </w:pPr>
          <w:r w:rsidRPr="00C14A14">
            <w:rPr>
              <w:bCs/>
              <w:lang w:val="en-GB"/>
            </w:rPr>
            <w:t>[Legal Entity Information]</w:t>
          </w:r>
        </w:p>
      </w:docPartBody>
    </w:docPart>
    <w:docPart>
      <w:docPartPr>
        <w:name w:val="7E69470399464888BD163DC6228BD769"/>
        <w:category>
          <w:name w:val="General"/>
          <w:gallery w:val="placeholder"/>
        </w:category>
        <w:types>
          <w:type w:val="bbPlcHdr"/>
        </w:types>
        <w:behaviors>
          <w:behavior w:val="content"/>
        </w:behaviors>
        <w:guid w:val="{A6E574F4-9DCB-4E88-9DF2-794FFCF9AB82}"/>
      </w:docPartPr>
      <w:docPartBody>
        <w:p w:rsidR="00BA4DB5" w:rsidRDefault="008A30B5" w:rsidP="008A30B5">
          <w:pPr>
            <w:pStyle w:val="7E69470399464888BD163DC6228BD769"/>
          </w:pPr>
          <w:r w:rsidRPr="00C14A14">
            <w:rPr>
              <w:bCs/>
              <w:lang w:val="en-GB"/>
            </w:rPr>
            <w:t>[Legal Entity Information]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A"/>
    <w:rsid w:val="000532B6"/>
    <w:rsid w:val="000620EA"/>
    <w:rsid w:val="00084AD9"/>
    <w:rsid w:val="00155B5A"/>
    <w:rsid w:val="00210CA2"/>
    <w:rsid w:val="00266407"/>
    <w:rsid w:val="004125B6"/>
    <w:rsid w:val="00414E8F"/>
    <w:rsid w:val="00470BDF"/>
    <w:rsid w:val="00471DE8"/>
    <w:rsid w:val="005A6B75"/>
    <w:rsid w:val="00622C7E"/>
    <w:rsid w:val="006E06FA"/>
    <w:rsid w:val="006F66E8"/>
    <w:rsid w:val="007E030B"/>
    <w:rsid w:val="008809DA"/>
    <w:rsid w:val="008A30B5"/>
    <w:rsid w:val="008E120C"/>
    <w:rsid w:val="00A410C9"/>
    <w:rsid w:val="00AE0F69"/>
    <w:rsid w:val="00B206CE"/>
    <w:rsid w:val="00BA4DB5"/>
    <w:rsid w:val="00CB581E"/>
    <w:rsid w:val="00CF1F60"/>
    <w:rsid w:val="00E563C7"/>
    <w:rsid w:val="00ED79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0F69"/>
    <w:rPr>
      <w:color w:val="808080"/>
    </w:rPr>
  </w:style>
  <w:style w:type="paragraph" w:customStyle="1" w:styleId="DB458E9C4BAE473FAAF5D63304686574">
    <w:name w:val="DB458E9C4BAE473FAAF5D63304686574"/>
    <w:rsid w:val="000620EA"/>
  </w:style>
  <w:style w:type="paragraph" w:customStyle="1" w:styleId="95B71A9760304E7D856A924CBB85946C">
    <w:name w:val="95B71A9760304E7D856A924CBB85946C"/>
    <w:rsid w:val="00622C7E"/>
  </w:style>
  <w:style w:type="paragraph" w:customStyle="1" w:styleId="7CEF6F5123C545DEAF3672169BE6A63D">
    <w:name w:val="7CEF6F5123C545DEAF3672169BE6A63D"/>
    <w:rsid w:val="00AE0F69"/>
  </w:style>
  <w:style w:type="paragraph" w:customStyle="1" w:styleId="07F13BF82FC6447CAC9D511CF9723222">
    <w:name w:val="07F13BF82FC6447CAC9D511CF9723222"/>
    <w:rsid w:val="008809DA"/>
    <w:pPr>
      <w:tabs>
        <w:tab w:val="center" w:pos="4513"/>
        <w:tab w:val="right" w:pos="9026"/>
      </w:tabs>
      <w:spacing w:before="240" w:after="0" w:line="264" w:lineRule="auto"/>
    </w:pPr>
    <w:rPr>
      <w:rFonts w:ascii="Arial" w:eastAsiaTheme="minorHAnsi" w:hAnsi="Arial"/>
      <w:sz w:val="16"/>
      <w:szCs w:val="24"/>
    </w:rPr>
  </w:style>
  <w:style w:type="paragraph" w:customStyle="1" w:styleId="F9B3FD16871F4C54ACF12EFE83A2BD4C">
    <w:name w:val="F9B3FD16871F4C54ACF12EFE83A2BD4C"/>
    <w:rsid w:val="008809DA"/>
  </w:style>
  <w:style w:type="paragraph" w:customStyle="1" w:styleId="7E69470399464888BD163DC6228BD769">
    <w:name w:val="7E69470399464888BD163DC6228BD769"/>
    <w:rsid w:val="008A30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TT DATA">
      <a:dk1>
        <a:srgbClr val="2E404D"/>
      </a:dk1>
      <a:lt1>
        <a:srgbClr val="FFFFFF"/>
      </a:lt1>
      <a:dk2>
        <a:srgbClr val="2E404D"/>
      </a:dk2>
      <a:lt2>
        <a:srgbClr val="19A3FC"/>
      </a:lt2>
      <a:accent1>
        <a:srgbClr val="070F26"/>
      </a:accent1>
      <a:accent2>
        <a:srgbClr val="0072BC"/>
      </a:accent2>
      <a:accent3>
        <a:srgbClr val="005B96"/>
      </a:accent3>
      <a:accent4>
        <a:srgbClr val="19A3FC"/>
      </a:accent4>
      <a:accent5>
        <a:srgbClr val="00CB5D"/>
      </a:accent5>
      <a:accent6>
        <a:srgbClr val="949494"/>
      </a:accent6>
      <a:hlink>
        <a:srgbClr val="005B96"/>
      </a:hlink>
      <a:folHlink>
        <a:srgbClr val="0072B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a4165b4-fc7f-4d7a-8007-17f42f4afb25" xsi:nil="true"/>
    <lcf76f155ced4ddcb4097134ff3c332f xmlns="2caa3919-3f46-49eb-990e-1104efe356a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A255B86466DD41B2C4751DCAECCF04" ma:contentTypeVersion="11" ma:contentTypeDescription="Create a new document." ma:contentTypeScope="" ma:versionID="4c87891aa7322ec1e0870051eb1afbc3">
  <xsd:schema xmlns:xsd="http://www.w3.org/2001/XMLSchema" xmlns:xs="http://www.w3.org/2001/XMLSchema" xmlns:p="http://schemas.microsoft.com/office/2006/metadata/properties" xmlns:ns2="2caa3919-3f46-49eb-990e-1104efe356a8" xmlns:ns3="1a4165b4-fc7f-4d7a-8007-17f42f4afb25" xmlns:ns4="802a95dd-29c4-44ec-b2fd-c21e72e69761" xmlns:ns5="c332f347-e7a5-4532-9a35-6cf4a7069e74" targetNamespace="http://schemas.microsoft.com/office/2006/metadata/properties" ma:root="true" ma:fieldsID="fd790d1110c2e3bb3af2e810536d78d0" ns2:_="" ns3:_="" ns4:_="" ns5:_="">
    <xsd:import namespace="2caa3919-3f46-49eb-990e-1104efe356a8"/>
    <xsd:import namespace="1a4165b4-fc7f-4d7a-8007-17f42f4afb25"/>
    <xsd:import namespace="802a95dd-29c4-44ec-b2fd-c21e72e69761"/>
    <xsd:import namespace="c332f347-e7a5-4532-9a35-6cf4a7069e74"/>
    <xsd:element name="properties">
      <xsd:complexType>
        <xsd:sequence>
          <xsd:element name="documentManagement">
            <xsd:complexType>
              <xsd:all>
                <xsd:element ref="ns2:lcf76f155ced4ddcb4097134ff3c332f" minOccurs="0"/>
                <xsd:element ref="ns3:TaxCatchAll" minOccurs="0"/>
                <xsd:element ref="ns4:MediaServiceMetadata" minOccurs="0"/>
                <xsd:element ref="ns4:MediaServiceFastMetadata" minOccurs="0"/>
                <xsd:element ref="ns4:MediaServiceOCR" minOccurs="0"/>
                <xsd:element ref="ns4:MediaServiceGenerationTime" minOccurs="0"/>
                <xsd:element ref="ns4:MediaServiceEventHashCode" minOccurs="0"/>
                <xsd:element ref="ns5:SharedWithUsers" minOccurs="0"/>
                <xsd:element ref="ns5:SharedWithDetails" minOccurs="0"/>
                <xsd:element ref="ns2:MediaServiceObjectDetectorVersions" minOccurs="0"/>
                <xsd:element ref="ns2:MediaServiceDateTake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a3919-3f46-49eb-990e-1104efe356a8" elementFormDefault="qualified">
    <xsd:import namespace="http://schemas.microsoft.com/office/2006/documentManagement/types"/>
    <xsd:import namespace="http://schemas.microsoft.com/office/infopath/2007/PartnerControls"/>
    <xsd:element name="lcf76f155ced4ddcb4097134ff3c332f" ma:index="8" nillable="true" ma:taxonomy="true" ma:internalName="lcf76f155ced4ddcb4097134ff3c332f" ma:taxonomyFieldName="MediaServiceImageTags" ma:displayName="Image Tags" ma:readOnly="false" ma:fieldId="{5cf76f15-5ced-4ddc-b409-7134ff3c332f}" ma:taxonomyMulti="true" ma:sspId="5855accf-cd10-4d20-8551-6939a56d4c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4165b4-fc7f-4d7a-8007-17f42f4afb25"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f3d2bbf-fe5e-4bdb-9d90-81f845ce9d96}" ma:internalName="TaxCatchAll" ma:showField="CatchAllData" ma:web="1a4165b4-fc7f-4d7a-8007-17f42f4afb2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2a95dd-29c4-44ec-b2fd-c21e72e697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32f347-e7a5-4532-9a35-6cf4a7069e7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ADF4F3-5389-4261-BA50-D9C1C4EE966F}">
  <ds:schemaRefs>
    <ds:schemaRef ds:uri="http://schemas.microsoft.com/office/2006/metadata/properties"/>
    <ds:schemaRef ds:uri="http://schemas.microsoft.com/office/infopath/2007/PartnerControls"/>
    <ds:schemaRef ds:uri="1a4165b4-fc7f-4d7a-8007-17f42f4afb25"/>
    <ds:schemaRef ds:uri="2caa3919-3f46-49eb-990e-1104efe356a8"/>
  </ds:schemaRefs>
</ds:datastoreItem>
</file>

<file path=customXml/itemProps2.xml><?xml version="1.0" encoding="utf-8"?>
<ds:datastoreItem xmlns:ds="http://schemas.openxmlformats.org/officeDocument/2006/customXml" ds:itemID="{98BD03B9-BFAB-42BE-8091-69031DD3A8CE}">
  <ds:schemaRefs>
    <ds:schemaRef ds:uri="http://schemas.openxmlformats.org/officeDocument/2006/bibliography"/>
  </ds:schemaRefs>
</ds:datastoreItem>
</file>

<file path=customXml/itemProps3.xml><?xml version="1.0" encoding="utf-8"?>
<ds:datastoreItem xmlns:ds="http://schemas.openxmlformats.org/officeDocument/2006/customXml" ds:itemID="{A486488D-E077-42AE-9FC2-47A30B49C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a3919-3f46-49eb-990e-1104efe356a8"/>
    <ds:schemaRef ds:uri="1a4165b4-fc7f-4d7a-8007-17f42f4afb25"/>
    <ds:schemaRef ds:uri="802a95dd-29c4-44ec-b2fd-c21e72e69761"/>
    <ds:schemaRef ds:uri="c332f347-e7a5-4532-9a35-6cf4a7069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033E51-A133-484E-A999-B47BB42AC722}">
  <ds:schemaRefs>
    <ds:schemaRef ds:uri="http://schemas.microsoft.com/sharepoint/v3/contenttype/forms"/>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Normal.dotm</Template>
  <TotalTime>132</TotalTime>
  <Pages>77</Pages>
  <Words>18827</Words>
  <Characters>97524</Characters>
  <Application>Microsoft Office Word</Application>
  <DocSecurity>0</DocSecurity>
  <Lines>4432</Lines>
  <Paragraphs>2154</Paragraphs>
  <ScaleCrop>false</ScaleCrop>
  <HeadingPairs>
    <vt:vector size="2" baseType="variant">
      <vt:variant>
        <vt:lpstr>Title</vt:lpstr>
      </vt:variant>
      <vt:variant>
        <vt:i4>1</vt:i4>
      </vt:variant>
    </vt:vector>
  </HeadingPairs>
  <TitlesOfParts>
    <vt:vector size="1" baseType="lpstr">
      <vt:lpstr/>
    </vt:vector>
  </TitlesOfParts>
  <Manager/>
  <Company>NTT DATA, Inc.</Company>
  <LinksUpToDate>false</LinksUpToDate>
  <CharactersWithSpaces>114197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Kelly</dc:creator>
  <cp:keywords/>
  <dc:description/>
  <cp:lastModifiedBy>Stuart Dee</cp:lastModifiedBy>
  <cp:revision>182</cp:revision>
  <dcterms:created xsi:type="dcterms:W3CDTF">2026-01-23T13:55:00Z</dcterms:created>
  <dcterms:modified xsi:type="dcterms:W3CDTF">2026-01-27T12:30:00Z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2023-07-27T09:24:30Z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08988646-045d-4317-80d0-b25e5da4eed3</vt:lpwstr>
  </property>
  <property fmtid="{D5CDD505-2E9C-101B-9397-08002B2CF9AE}" pid="8" name="MSIP_Label_4637e5cc-ed1f-4ad6-a881-35c0f1c6f3d8_ContentBits">
    <vt:lpwstr>0</vt:lpwstr>
  </property>
  <property fmtid="{D5CDD505-2E9C-101B-9397-08002B2CF9AE}" pid="9" name="Client">
    <vt:lpwstr/>
  </property>
  <property fmtid="{D5CDD505-2E9C-101B-9397-08002B2CF9AE}" pid="10" name="Security">
    <vt:lpwstr>General</vt:lpwstr>
  </property>
  <property fmtid="{D5CDD505-2E9C-101B-9397-08002B2CF9AE}" pid="11" name="ContentTypeId">
    <vt:lpwstr>0x010100C8A255B86466DD41B2C4751DCAECCF04</vt:lpwstr>
  </property>
  <property fmtid="{D5CDD505-2E9C-101B-9397-08002B2CF9AE}" pid="12" name="_dlc_DocIdItemGuid">
    <vt:lpwstr>f40f45ac-4477-4c90-a82f-ef0710930987</vt:lpwstr>
  </property>
  <property fmtid="{D5CDD505-2E9C-101B-9397-08002B2CF9AE}" pid="13" name="T2KCategory">
    <vt:lpwstr>3;#Brand|832b67cf-1f4d-4e03-97fa-b9a01cdb780b</vt:lpwstr>
  </property>
  <property fmtid="{D5CDD505-2E9C-101B-9397-08002B2CF9AE}" pid="14" name="TogoLocations">
    <vt:lpwstr/>
  </property>
  <property fmtid="{D5CDD505-2E9C-101B-9397-08002B2CF9AE}" pid="15" name="MediaServiceImageTags">
    <vt:lpwstr/>
  </property>
  <property fmtid="{D5CDD505-2E9C-101B-9397-08002B2CF9AE}" pid="16" name="a01feae194714aa882aedc460c3c0dc2">
    <vt:lpwstr/>
  </property>
  <property fmtid="{D5CDD505-2E9C-101B-9397-08002B2CF9AE}" pid="17" name="TogoDepartments">
    <vt:lpwstr/>
  </property>
  <property fmtid="{D5CDD505-2E9C-101B-9397-08002B2CF9AE}" pid="18" name="TogoDocumentsCategory">
    <vt:lpwstr/>
  </property>
  <property fmtid="{D5CDD505-2E9C-101B-9397-08002B2CF9AE}" pid="19" name="TogoTags">
    <vt:lpwstr/>
  </property>
  <property fmtid="{D5CDD505-2E9C-101B-9397-08002B2CF9AE}" pid="20" name="GrammarlyDocumentId">
    <vt:lpwstr>23415086-9efe-40a9-a24f-80a0c789f9bb</vt:lpwstr>
  </property>
  <property fmtid="{D5CDD505-2E9C-101B-9397-08002B2CF9AE}" pid="22" name="docLang">
    <vt:lpwstr>en</vt:lpwstr>
  </property>
</Properties>
</file>