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bottom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638"/>
      </w:tblGrid>
      <w:tr w:rsidR="00DE60DE" w14:paraId="55B49153" w14:textId="77777777" w:rsidTr="00E728B1">
        <w:trPr>
          <w:trHeight w:val="2835"/>
        </w:trPr>
        <w:tc>
          <w:tcPr>
            <w:tcW w:w="9638" w:type="dxa"/>
          </w:tcPr>
          <w:p w14:paraId="3F0248ED" w14:textId="77777777" w:rsidR="00DE60DE" w:rsidRDefault="00DE60DE" w:rsidP="00702A7E"/>
        </w:tc>
      </w:tr>
      <w:tr w:rsidR="00DE60DE" w14:paraId="7F52C5B0" w14:textId="77777777" w:rsidTr="003E0A16">
        <w:trPr>
          <w:trHeight w:val="6066"/>
        </w:trPr>
        <w:tc>
          <w:tcPr>
            <w:tcW w:w="9638" w:type="dxa"/>
          </w:tcPr>
          <w:p w14:paraId="041D4E3B" w14:textId="77777777" w:rsidR="00DE60DE" w:rsidRPr="00944D57" w:rsidRDefault="00DE60DE" w:rsidP="00DE60DE">
            <w:pPr>
              <w:pStyle w:val="Subtitle"/>
            </w:pPr>
            <w:r>
              <w:fldChar w:fldCharType="begin"/>
            </w:r>
            <w:r>
              <w:instrText xml:space="preserve"> MACROBUTTON  AcceptAllChangesInDoc Document type </w:instrText>
            </w:r>
            <w:r>
              <w:fldChar w:fldCharType="end"/>
            </w:r>
          </w:p>
          <w:sdt>
            <w:sdtPr>
              <w:alias w:val="Title"/>
              <w:tag w:val="Title"/>
              <w:id w:val="1653328826"/>
              <w:placeholder>
                <w:docPart w:val="DB458E9C4BAE473FAAF5D63304686574"/>
              </w:placeholder>
            </w:sdtPr>
            <w:sdtContent>
              <w:p w14:paraId="734EDE0F" w14:textId="54C45954" w:rsidR="00DE60DE" w:rsidRPr="00CC6757" w:rsidRDefault="00F313C4" w:rsidP="00B86F31">
                <w:pPr>
                  <w:pStyle w:val="Title"/>
                </w:pPr>
                <w:r>
                  <w:t xml:space="preserve">FCA </w:t>
                </w:r>
                <w:r w:rsidR="004253DD">
                  <w:t xml:space="preserve">PSD </w:t>
                </w:r>
                <w:r>
                  <w:t>Reporting</w:t>
                </w:r>
              </w:p>
            </w:sdtContent>
          </w:sdt>
          <w:p w14:paraId="173270F9" w14:textId="39284E77" w:rsidR="00DE60DE" w:rsidRPr="004053F9" w:rsidRDefault="00CA3E79" w:rsidP="00DE60DE">
            <w:pPr>
              <w:pStyle w:val="Subtitle"/>
            </w:pPr>
            <w:r>
              <w:t>Barclays</w:t>
            </w:r>
          </w:p>
          <w:p w14:paraId="0B380635" w14:textId="37872BE5" w:rsidR="00DE60DE" w:rsidRDefault="00B25277" w:rsidP="00702A7E">
            <w:r>
              <w:t>INTERNAL ONLY</w:t>
            </w:r>
          </w:p>
        </w:tc>
      </w:tr>
      <w:tr w:rsidR="00DE60DE" w14:paraId="601917B9" w14:textId="77777777" w:rsidTr="003E0A16">
        <w:trPr>
          <w:trHeight w:val="1361"/>
        </w:trPr>
        <w:tc>
          <w:tcPr>
            <w:tcW w:w="9638" w:type="dxa"/>
          </w:tcPr>
          <w:p w14:paraId="2576F81C" w14:textId="77777777" w:rsidR="00DE60DE" w:rsidRDefault="00DE60DE" w:rsidP="00702A7E"/>
        </w:tc>
      </w:tr>
      <w:tr w:rsidR="00DE60DE" w14:paraId="2149342A" w14:textId="77777777" w:rsidTr="00AC2178">
        <w:tc>
          <w:tcPr>
            <w:tcW w:w="9638" w:type="dxa"/>
          </w:tcPr>
          <w:p w14:paraId="3DAFEDF9" w14:textId="3399011E" w:rsidR="00DE60DE" w:rsidRDefault="00DE60DE" w:rsidP="00DE60DE">
            <w:pPr>
              <w:pStyle w:val="Subtitle"/>
            </w:pPr>
            <w:r>
              <w:fldChar w:fldCharType="begin"/>
            </w:r>
            <w:r>
              <w:instrText xml:space="preserve"> DATE  \@ "d MMMM yyyy"  \* MERGEFORMAT </w:instrText>
            </w:r>
            <w:r>
              <w:fldChar w:fldCharType="separate"/>
            </w:r>
            <w:r w:rsidR="00652117">
              <w:rPr>
                <w:noProof/>
              </w:rPr>
              <w:t>30 January 2026</w:t>
            </w:r>
            <w:r>
              <w:fldChar w:fldCharType="end"/>
            </w:r>
            <w:r>
              <w:t xml:space="preserve"> | Document Version </w:t>
            </w:r>
            <w:r w:rsidR="00FA6DFC">
              <w:t>0.</w:t>
            </w:r>
            <w:r w:rsidR="001C3847">
              <w:t>2</w:t>
            </w:r>
          </w:p>
        </w:tc>
      </w:tr>
      <w:tr w:rsidR="00DE60DE" w14:paraId="3D2DF1A2" w14:textId="77777777" w:rsidTr="00AC2178">
        <w:tc>
          <w:tcPr>
            <w:tcW w:w="9638" w:type="dxa"/>
          </w:tcPr>
          <w:p w14:paraId="1062E669" w14:textId="236F6128" w:rsidR="00DE60DE" w:rsidRDefault="007D511D" w:rsidP="007D511D">
            <w:pPr>
              <w:pStyle w:val="Subtitle"/>
            </w:pPr>
            <w:r>
              <w:t>Vijay Rangari</w:t>
            </w:r>
          </w:p>
        </w:tc>
      </w:tr>
      <w:tr w:rsidR="00DE60DE" w14:paraId="3BCDE335" w14:textId="77777777" w:rsidTr="00AC2178">
        <w:tc>
          <w:tcPr>
            <w:tcW w:w="9638" w:type="dxa"/>
          </w:tcPr>
          <w:p w14:paraId="269BA321" w14:textId="77777777" w:rsidR="00DE60DE" w:rsidRDefault="00DE60DE" w:rsidP="00702A7E"/>
        </w:tc>
      </w:tr>
    </w:tbl>
    <w:p w14:paraId="1439F608" w14:textId="4A974D39" w:rsidR="00824EC5" w:rsidRDefault="00824EC5" w:rsidP="00E55EA1">
      <w:pPr>
        <w:sectPr w:rsidR="00824EC5" w:rsidSect="00E728B1">
          <w:headerReference w:type="even" r:id="rId11"/>
          <w:headerReference w:type="default" r:id="rId12"/>
          <w:footerReference w:type="even" r:id="rId13"/>
          <w:footerReference w:type="default" r:id="rId14"/>
          <w:headerReference w:type="first" r:id="rId15"/>
          <w:footerReference w:type="first" r:id="rId16"/>
          <w:pgSz w:w="11906" w:h="16838"/>
          <w:pgMar w:top="1702" w:right="1134" w:bottom="1134" w:left="1134" w:header="709" w:footer="709" w:gutter="0"/>
          <w:cols w:space="708"/>
          <w:titlePg/>
          <w:docGrid w:linePitch="360"/>
        </w:sectPr>
      </w:pPr>
    </w:p>
    <w:p w14:paraId="1F41A787" w14:textId="6C98688A" w:rsidR="00D03EB2" w:rsidRPr="00B602A4" w:rsidRDefault="00E63379" w:rsidP="00B602A4">
      <w:pPr>
        <w:pStyle w:val="TOCHeading"/>
      </w:pPr>
      <w:r>
        <w:lastRenderedPageBreak/>
        <w:t>C</w:t>
      </w:r>
      <w:r w:rsidR="00D03EB2" w:rsidRPr="00B602A4">
        <w:t>ontents</w:t>
      </w:r>
    </w:p>
    <w:bookmarkStart w:id="0" w:name="UAFtemp"/>
    <w:bookmarkEnd w:id="0"/>
    <w:p w14:paraId="510A13C8" w14:textId="6473DBB5" w:rsidR="00236C49" w:rsidRDefault="004125F9">
      <w:pPr>
        <w:pStyle w:val="TOC1"/>
        <w:rPr>
          <w:b w:val="0"/>
          <w:color w:val="auto"/>
          <w:sz w:val="24"/>
          <w:szCs w:val="24"/>
          <w:lang w:val="en-GB" w:eastAsia="en-GB"/>
        </w:rPr>
      </w:pPr>
      <w:r>
        <w:rPr>
          <w:color w:val="0072BC" w:themeColor="accent2"/>
        </w:rPr>
        <w:fldChar w:fldCharType="begin"/>
      </w:r>
      <w:r>
        <w:rPr>
          <w:color w:val="0072BC" w:themeColor="accent2"/>
        </w:rPr>
        <w:instrText xml:space="preserve"> TOC \o "2-3" \h \z \t "Heading 1,1,Appendix Heading 1,1,NTT Attachment,1,NTT Flush Heading,1" </w:instrText>
      </w:r>
      <w:r>
        <w:rPr>
          <w:color w:val="0072BC" w:themeColor="accent2"/>
        </w:rPr>
        <w:fldChar w:fldCharType="separate"/>
      </w:r>
      <w:hyperlink w:anchor="_Toc220676484" w:history="1">
        <w:r w:rsidR="00236C49" w:rsidRPr="00D704C9">
          <w:rPr>
            <w:rStyle w:val="Hyperlink"/>
          </w:rPr>
          <w:t>1.</w:t>
        </w:r>
        <w:r w:rsidR="00236C49">
          <w:rPr>
            <w:b w:val="0"/>
            <w:color w:val="auto"/>
            <w:sz w:val="24"/>
            <w:szCs w:val="24"/>
            <w:lang w:val="en-GB" w:eastAsia="en-GB"/>
          </w:rPr>
          <w:tab/>
        </w:r>
        <w:r w:rsidR="00236C49" w:rsidRPr="00D704C9">
          <w:rPr>
            <w:rStyle w:val="Hyperlink"/>
          </w:rPr>
          <w:t>Overview</w:t>
        </w:r>
        <w:r w:rsidR="00236C49">
          <w:rPr>
            <w:webHidden/>
          </w:rPr>
          <w:tab/>
        </w:r>
        <w:r w:rsidR="00236C49">
          <w:rPr>
            <w:webHidden/>
          </w:rPr>
          <w:fldChar w:fldCharType="begin"/>
        </w:r>
        <w:r w:rsidR="00236C49">
          <w:rPr>
            <w:webHidden/>
          </w:rPr>
          <w:instrText xml:space="preserve"> PAGEREF _Toc220676484 \h </w:instrText>
        </w:r>
        <w:r w:rsidR="00236C49">
          <w:rPr>
            <w:webHidden/>
          </w:rPr>
        </w:r>
        <w:r w:rsidR="00236C49">
          <w:rPr>
            <w:webHidden/>
          </w:rPr>
          <w:fldChar w:fldCharType="separate"/>
        </w:r>
        <w:r w:rsidR="00236C49">
          <w:rPr>
            <w:webHidden/>
          </w:rPr>
          <w:t>4</w:t>
        </w:r>
        <w:r w:rsidR="00236C49">
          <w:rPr>
            <w:webHidden/>
          </w:rPr>
          <w:fldChar w:fldCharType="end"/>
        </w:r>
      </w:hyperlink>
    </w:p>
    <w:p w14:paraId="0AA5BF58" w14:textId="355BD459" w:rsidR="00236C49" w:rsidRDefault="00236C49">
      <w:pPr>
        <w:pStyle w:val="TOC2"/>
        <w:rPr>
          <w:sz w:val="24"/>
          <w:szCs w:val="24"/>
          <w:lang w:val="en-GB" w:eastAsia="en-GB"/>
        </w:rPr>
      </w:pPr>
      <w:hyperlink w:anchor="_Toc220676485" w:history="1">
        <w:r w:rsidRPr="00D704C9">
          <w:rPr>
            <w:rStyle w:val="Hyperlink"/>
          </w:rPr>
          <w:t>1.1.</w:t>
        </w:r>
        <w:r>
          <w:rPr>
            <w:sz w:val="24"/>
            <w:szCs w:val="24"/>
            <w:lang w:val="en-GB" w:eastAsia="en-GB"/>
          </w:rPr>
          <w:tab/>
        </w:r>
        <w:r w:rsidRPr="00D704C9">
          <w:rPr>
            <w:rStyle w:val="Hyperlink"/>
          </w:rPr>
          <w:t>Credit agreement PSD data elements v1.2</w:t>
        </w:r>
        <w:r>
          <w:rPr>
            <w:webHidden/>
          </w:rPr>
          <w:tab/>
        </w:r>
        <w:r>
          <w:rPr>
            <w:webHidden/>
          </w:rPr>
          <w:fldChar w:fldCharType="begin"/>
        </w:r>
        <w:r>
          <w:rPr>
            <w:webHidden/>
          </w:rPr>
          <w:instrText xml:space="preserve"> PAGEREF _Toc220676485 \h </w:instrText>
        </w:r>
        <w:r>
          <w:rPr>
            <w:webHidden/>
          </w:rPr>
        </w:r>
        <w:r>
          <w:rPr>
            <w:webHidden/>
          </w:rPr>
          <w:fldChar w:fldCharType="separate"/>
        </w:r>
        <w:r>
          <w:rPr>
            <w:webHidden/>
          </w:rPr>
          <w:t>4</w:t>
        </w:r>
        <w:r>
          <w:rPr>
            <w:webHidden/>
          </w:rPr>
          <w:fldChar w:fldCharType="end"/>
        </w:r>
      </w:hyperlink>
    </w:p>
    <w:p w14:paraId="13AA44B9" w14:textId="30D90A3D" w:rsidR="00236C49" w:rsidRDefault="00236C49">
      <w:pPr>
        <w:pStyle w:val="TOC1"/>
        <w:rPr>
          <w:b w:val="0"/>
          <w:color w:val="auto"/>
          <w:sz w:val="24"/>
          <w:szCs w:val="24"/>
          <w:lang w:val="en-GB" w:eastAsia="en-GB"/>
        </w:rPr>
      </w:pPr>
      <w:hyperlink w:anchor="_Toc220676486" w:history="1">
        <w:r w:rsidRPr="00D704C9">
          <w:rPr>
            <w:rStyle w:val="Hyperlink"/>
          </w:rPr>
          <w:t>2.</w:t>
        </w:r>
        <w:r>
          <w:rPr>
            <w:b w:val="0"/>
            <w:color w:val="auto"/>
            <w:sz w:val="24"/>
            <w:szCs w:val="24"/>
            <w:lang w:val="en-GB" w:eastAsia="en-GB"/>
          </w:rPr>
          <w:tab/>
        </w:r>
        <w:r w:rsidRPr="00D704C9">
          <w:rPr>
            <w:rStyle w:val="Hyperlink"/>
          </w:rPr>
          <w:t>PSD008 – Credit Agreement Sales</w:t>
        </w:r>
        <w:r>
          <w:rPr>
            <w:webHidden/>
          </w:rPr>
          <w:tab/>
        </w:r>
        <w:r>
          <w:rPr>
            <w:webHidden/>
          </w:rPr>
          <w:fldChar w:fldCharType="begin"/>
        </w:r>
        <w:r>
          <w:rPr>
            <w:webHidden/>
          </w:rPr>
          <w:instrText xml:space="preserve"> PAGEREF _Toc220676486 \h </w:instrText>
        </w:r>
        <w:r>
          <w:rPr>
            <w:webHidden/>
          </w:rPr>
        </w:r>
        <w:r>
          <w:rPr>
            <w:webHidden/>
          </w:rPr>
          <w:fldChar w:fldCharType="separate"/>
        </w:r>
        <w:r>
          <w:rPr>
            <w:webHidden/>
          </w:rPr>
          <w:t>5</w:t>
        </w:r>
        <w:r>
          <w:rPr>
            <w:webHidden/>
          </w:rPr>
          <w:fldChar w:fldCharType="end"/>
        </w:r>
      </w:hyperlink>
    </w:p>
    <w:p w14:paraId="061B3810" w14:textId="40F963A6" w:rsidR="00236C49" w:rsidRDefault="00236C49">
      <w:pPr>
        <w:pStyle w:val="TOC1"/>
        <w:rPr>
          <w:b w:val="0"/>
          <w:color w:val="auto"/>
          <w:sz w:val="24"/>
          <w:szCs w:val="24"/>
          <w:lang w:val="en-GB" w:eastAsia="en-GB"/>
        </w:rPr>
      </w:pPr>
      <w:hyperlink w:anchor="_Toc220676487" w:history="1">
        <w:r w:rsidRPr="00D704C9">
          <w:rPr>
            <w:rStyle w:val="Hyperlink"/>
          </w:rPr>
          <w:t>3.</w:t>
        </w:r>
        <w:r>
          <w:rPr>
            <w:b w:val="0"/>
            <w:color w:val="auto"/>
            <w:sz w:val="24"/>
            <w:szCs w:val="24"/>
            <w:lang w:val="en-GB" w:eastAsia="en-GB"/>
          </w:rPr>
          <w:tab/>
        </w:r>
        <w:r w:rsidRPr="00D704C9">
          <w:rPr>
            <w:rStyle w:val="Hyperlink"/>
          </w:rPr>
          <w:t>User Stories</w:t>
        </w:r>
        <w:r>
          <w:rPr>
            <w:webHidden/>
          </w:rPr>
          <w:tab/>
        </w:r>
        <w:r>
          <w:rPr>
            <w:webHidden/>
          </w:rPr>
          <w:fldChar w:fldCharType="begin"/>
        </w:r>
        <w:r>
          <w:rPr>
            <w:webHidden/>
          </w:rPr>
          <w:instrText xml:space="preserve"> PAGEREF _Toc220676487 \h </w:instrText>
        </w:r>
        <w:r>
          <w:rPr>
            <w:webHidden/>
          </w:rPr>
        </w:r>
        <w:r>
          <w:rPr>
            <w:webHidden/>
          </w:rPr>
          <w:fldChar w:fldCharType="separate"/>
        </w:r>
        <w:r>
          <w:rPr>
            <w:webHidden/>
          </w:rPr>
          <w:t>73</w:t>
        </w:r>
        <w:r>
          <w:rPr>
            <w:webHidden/>
          </w:rPr>
          <w:fldChar w:fldCharType="end"/>
        </w:r>
      </w:hyperlink>
    </w:p>
    <w:p w14:paraId="5D4282E5" w14:textId="0FD2CF6B" w:rsidR="00236C49" w:rsidRDefault="00236C49">
      <w:pPr>
        <w:pStyle w:val="TOC2"/>
        <w:rPr>
          <w:sz w:val="24"/>
          <w:szCs w:val="24"/>
          <w:lang w:val="en-GB" w:eastAsia="en-GB"/>
        </w:rPr>
      </w:pPr>
      <w:hyperlink w:anchor="_Toc220676488" w:history="1">
        <w:r w:rsidRPr="00D704C9">
          <w:rPr>
            <w:rStyle w:val="Hyperlink"/>
          </w:rPr>
          <w:t>3.1.</w:t>
        </w:r>
        <w:r>
          <w:rPr>
            <w:sz w:val="24"/>
            <w:szCs w:val="24"/>
            <w:lang w:val="en-GB" w:eastAsia="en-GB"/>
          </w:rPr>
          <w:tab/>
        </w:r>
        <w:r w:rsidRPr="00D704C9">
          <w:rPr>
            <w:rStyle w:val="Hyperlink"/>
          </w:rPr>
          <w:t>Reg Reporting Analyst</w:t>
        </w:r>
        <w:r>
          <w:rPr>
            <w:webHidden/>
          </w:rPr>
          <w:tab/>
        </w:r>
        <w:r>
          <w:rPr>
            <w:webHidden/>
          </w:rPr>
          <w:fldChar w:fldCharType="begin"/>
        </w:r>
        <w:r>
          <w:rPr>
            <w:webHidden/>
          </w:rPr>
          <w:instrText xml:space="preserve"> PAGEREF _Toc220676488 \h </w:instrText>
        </w:r>
        <w:r>
          <w:rPr>
            <w:webHidden/>
          </w:rPr>
        </w:r>
        <w:r>
          <w:rPr>
            <w:webHidden/>
          </w:rPr>
          <w:fldChar w:fldCharType="separate"/>
        </w:r>
        <w:r>
          <w:rPr>
            <w:webHidden/>
          </w:rPr>
          <w:t>73</w:t>
        </w:r>
        <w:r>
          <w:rPr>
            <w:webHidden/>
          </w:rPr>
          <w:fldChar w:fldCharType="end"/>
        </w:r>
      </w:hyperlink>
    </w:p>
    <w:p w14:paraId="5BA47729" w14:textId="3B0BC103" w:rsidR="00236C49" w:rsidRDefault="00236C49">
      <w:pPr>
        <w:pStyle w:val="TOC2"/>
        <w:rPr>
          <w:sz w:val="24"/>
          <w:szCs w:val="24"/>
          <w:lang w:val="en-GB" w:eastAsia="en-GB"/>
        </w:rPr>
      </w:pPr>
      <w:hyperlink w:anchor="_Toc220676489" w:history="1">
        <w:r w:rsidRPr="00D704C9">
          <w:rPr>
            <w:rStyle w:val="Hyperlink"/>
          </w:rPr>
          <w:t>3.2.</w:t>
        </w:r>
        <w:r>
          <w:rPr>
            <w:sz w:val="24"/>
            <w:szCs w:val="24"/>
            <w:lang w:val="en-GB" w:eastAsia="en-GB"/>
          </w:rPr>
          <w:tab/>
        </w:r>
        <w:r w:rsidRPr="00D704C9">
          <w:rPr>
            <w:rStyle w:val="Hyperlink"/>
          </w:rPr>
          <w:t>Business Analyst</w:t>
        </w:r>
        <w:r>
          <w:rPr>
            <w:webHidden/>
          </w:rPr>
          <w:tab/>
        </w:r>
        <w:r>
          <w:rPr>
            <w:webHidden/>
          </w:rPr>
          <w:fldChar w:fldCharType="begin"/>
        </w:r>
        <w:r>
          <w:rPr>
            <w:webHidden/>
          </w:rPr>
          <w:instrText xml:space="preserve"> PAGEREF _Toc220676489 \h </w:instrText>
        </w:r>
        <w:r>
          <w:rPr>
            <w:webHidden/>
          </w:rPr>
        </w:r>
        <w:r>
          <w:rPr>
            <w:webHidden/>
          </w:rPr>
          <w:fldChar w:fldCharType="separate"/>
        </w:r>
        <w:r>
          <w:rPr>
            <w:webHidden/>
          </w:rPr>
          <w:t>73</w:t>
        </w:r>
        <w:r>
          <w:rPr>
            <w:webHidden/>
          </w:rPr>
          <w:fldChar w:fldCharType="end"/>
        </w:r>
      </w:hyperlink>
    </w:p>
    <w:p w14:paraId="4F7C5648" w14:textId="6D8C6918" w:rsidR="00236C49" w:rsidRDefault="00236C49">
      <w:pPr>
        <w:pStyle w:val="TOC2"/>
        <w:rPr>
          <w:sz w:val="24"/>
          <w:szCs w:val="24"/>
          <w:lang w:val="en-GB" w:eastAsia="en-GB"/>
        </w:rPr>
      </w:pPr>
      <w:hyperlink w:anchor="_Toc220676490" w:history="1">
        <w:r w:rsidRPr="00D704C9">
          <w:rPr>
            <w:rStyle w:val="Hyperlink"/>
          </w:rPr>
          <w:t>3.3.</w:t>
        </w:r>
        <w:r>
          <w:rPr>
            <w:sz w:val="24"/>
            <w:szCs w:val="24"/>
            <w:lang w:val="en-GB" w:eastAsia="en-GB"/>
          </w:rPr>
          <w:tab/>
        </w:r>
        <w:r w:rsidRPr="00D704C9">
          <w:rPr>
            <w:rStyle w:val="Hyperlink"/>
          </w:rPr>
          <w:t>Developer</w:t>
        </w:r>
        <w:r>
          <w:rPr>
            <w:webHidden/>
          </w:rPr>
          <w:tab/>
        </w:r>
        <w:r>
          <w:rPr>
            <w:webHidden/>
          </w:rPr>
          <w:fldChar w:fldCharType="begin"/>
        </w:r>
        <w:r>
          <w:rPr>
            <w:webHidden/>
          </w:rPr>
          <w:instrText xml:space="preserve"> PAGEREF _Toc220676490 \h </w:instrText>
        </w:r>
        <w:r>
          <w:rPr>
            <w:webHidden/>
          </w:rPr>
        </w:r>
        <w:r>
          <w:rPr>
            <w:webHidden/>
          </w:rPr>
          <w:fldChar w:fldCharType="separate"/>
        </w:r>
        <w:r>
          <w:rPr>
            <w:webHidden/>
          </w:rPr>
          <w:t>73</w:t>
        </w:r>
        <w:r>
          <w:rPr>
            <w:webHidden/>
          </w:rPr>
          <w:fldChar w:fldCharType="end"/>
        </w:r>
      </w:hyperlink>
    </w:p>
    <w:p w14:paraId="7006E1B1" w14:textId="65D66E97" w:rsidR="00236C49" w:rsidRDefault="00236C49">
      <w:pPr>
        <w:pStyle w:val="TOC1"/>
        <w:rPr>
          <w:b w:val="0"/>
          <w:color w:val="auto"/>
          <w:sz w:val="24"/>
          <w:szCs w:val="24"/>
          <w:lang w:val="en-GB" w:eastAsia="en-GB"/>
        </w:rPr>
      </w:pPr>
      <w:hyperlink w:anchor="_Toc220676491" w:history="1">
        <w:r w:rsidRPr="00D704C9">
          <w:rPr>
            <w:rStyle w:val="Hyperlink"/>
            <w:kern w:val="20"/>
          </w:rPr>
          <w:t>Appendix A</w:t>
        </w:r>
        <w:r>
          <w:rPr>
            <w:b w:val="0"/>
            <w:color w:val="auto"/>
            <w:sz w:val="24"/>
            <w:szCs w:val="24"/>
            <w:lang w:val="en-GB" w:eastAsia="en-GB"/>
          </w:rPr>
          <w:tab/>
        </w:r>
        <w:r w:rsidRPr="00D704C9">
          <w:rPr>
            <w:rStyle w:val="Hyperlink"/>
          </w:rPr>
          <w:t>Supporting Documents</w:t>
        </w:r>
        <w:r>
          <w:rPr>
            <w:webHidden/>
          </w:rPr>
          <w:tab/>
        </w:r>
        <w:r>
          <w:rPr>
            <w:webHidden/>
          </w:rPr>
          <w:fldChar w:fldCharType="begin"/>
        </w:r>
        <w:r>
          <w:rPr>
            <w:webHidden/>
          </w:rPr>
          <w:instrText xml:space="preserve"> PAGEREF _Toc220676491 \h </w:instrText>
        </w:r>
        <w:r>
          <w:rPr>
            <w:webHidden/>
          </w:rPr>
        </w:r>
        <w:r>
          <w:rPr>
            <w:webHidden/>
          </w:rPr>
          <w:fldChar w:fldCharType="separate"/>
        </w:r>
        <w:r>
          <w:rPr>
            <w:webHidden/>
          </w:rPr>
          <w:t>75</w:t>
        </w:r>
        <w:r>
          <w:rPr>
            <w:webHidden/>
          </w:rPr>
          <w:fldChar w:fldCharType="end"/>
        </w:r>
      </w:hyperlink>
    </w:p>
    <w:p w14:paraId="4E2D1678" w14:textId="530D45D3" w:rsidR="005B4891" w:rsidRPr="00077BDC" w:rsidRDefault="004125F9" w:rsidP="00D419B9">
      <w:pPr>
        <w:pStyle w:val="TOC1"/>
        <w:rPr>
          <w:b w:val="0"/>
          <w:color w:val="0072BC" w:themeColor="accent2"/>
        </w:rPr>
      </w:pPr>
      <w:r>
        <w:rPr>
          <w:color w:val="0072BC" w:themeColor="accent2"/>
        </w:rPr>
        <w:fldChar w:fldCharType="end"/>
      </w:r>
    </w:p>
    <w:p w14:paraId="1B2409E4" w14:textId="77777777" w:rsidR="005B4891" w:rsidRPr="003A4083" w:rsidRDefault="005B4891" w:rsidP="003A4083">
      <w:pPr>
        <w:pStyle w:val="BodyText"/>
      </w:pPr>
      <w:r>
        <w:br w:type="page"/>
      </w:r>
    </w:p>
    <w:p w14:paraId="42B5DA45" w14:textId="3BED2838" w:rsidR="00742376" w:rsidRDefault="00742376" w:rsidP="00C12906">
      <w:pPr>
        <w:pStyle w:val="Heading4"/>
      </w:pPr>
      <w:r>
        <w:lastRenderedPageBreak/>
        <w:t>List of abbreviations</w:t>
      </w:r>
    </w:p>
    <w:tbl>
      <w:tblPr>
        <w:tblStyle w:val="NTTFutureBluetable"/>
        <w:tblW w:w="0" w:type="auto"/>
        <w:tblLook w:val="0620" w:firstRow="1" w:lastRow="0" w:firstColumn="0" w:lastColumn="0" w:noHBand="1" w:noVBand="1"/>
      </w:tblPr>
      <w:tblGrid>
        <w:gridCol w:w="1838"/>
        <w:gridCol w:w="7790"/>
      </w:tblGrid>
      <w:tr w:rsidR="00742376" w14:paraId="70F286CD" w14:textId="77777777" w:rsidTr="003528AD">
        <w:trPr>
          <w:cnfStyle w:val="100000000000" w:firstRow="1" w:lastRow="0" w:firstColumn="0" w:lastColumn="0" w:oddVBand="0" w:evenVBand="0" w:oddHBand="0" w:evenHBand="0" w:firstRowFirstColumn="0" w:firstRowLastColumn="0" w:lastRowFirstColumn="0" w:lastRowLastColumn="0"/>
        </w:trPr>
        <w:tc>
          <w:tcPr>
            <w:tcW w:w="1838" w:type="dxa"/>
          </w:tcPr>
          <w:p w14:paraId="59932F2E" w14:textId="5F1A0A81" w:rsidR="00742376" w:rsidRDefault="00742376" w:rsidP="008F4C7B">
            <w:pPr>
              <w:pStyle w:val="NTTTableWhiteHeader"/>
            </w:pPr>
            <w:r w:rsidRPr="00742376">
              <w:t>Abbreviation</w:t>
            </w:r>
          </w:p>
        </w:tc>
        <w:tc>
          <w:tcPr>
            <w:tcW w:w="7790" w:type="dxa"/>
          </w:tcPr>
          <w:p w14:paraId="7E85E015" w14:textId="5536992C" w:rsidR="00742376" w:rsidRDefault="00742376" w:rsidP="008F4C7B">
            <w:pPr>
              <w:pStyle w:val="NTTTableWhiteHeader"/>
            </w:pPr>
            <w:r w:rsidRPr="00742376">
              <w:t>Meaning</w:t>
            </w:r>
          </w:p>
        </w:tc>
      </w:tr>
      <w:tr w:rsidR="001C3847" w14:paraId="78EA3344" w14:textId="77777777" w:rsidTr="003528AD">
        <w:tc>
          <w:tcPr>
            <w:tcW w:w="1838" w:type="dxa"/>
          </w:tcPr>
          <w:p w14:paraId="232A6C5F" w14:textId="00D16014" w:rsidR="001C3847" w:rsidRDefault="001C3847" w:rsidP="001C3847">
            <w:pPr>
              <w:pStyle w:val="NTTTableBodyText"/>
            </w:pPr>
            <w:r>
              <w:t>FCA</w:t>
            </w:r>
          </w:p>
        </w:tc>
        <w:tc>
          <w:tcPr>
            <w:tcW w:w="7790" w:type="dxa"/>
          </w:tcPr>
          <w:p w14:paraId="2D8C42C4" w14:textId="7B5F92AA" w:rsidR="001C3847" w:rsidRDefault="001C3847" w:rsidP="001C3847">
            <w:pPr>
              <w:pStyle w:val="NTTTableBodyText"/>
            </w:pPr>
            <w:r>
              <w:t>Financial Conduct Authority</w:t>
            </w:r>
          </w:p>
        </w:tc>
      </w:tr>
      <w:tr w:rsidR="001C3847" w14:paraId="4A99A34B" w14:textId="77777777" w:rsidTr="003528AD">
        <w:tc>
          <w:tcPr>
            <w:tcW w:w="1838" w:type="dxa"/>
          </w:tcPr>
          <w:p w14:paraId="4BBD9E48" w14:textId="1C8A74D4" w:rsidR="001C3847" w:rsidRDefault="001C3847" w:rsidP="001C3847">
            <w:pPr>
              <w:pStyle w:val="NTTTableBodyText"/>
            </w:pPr>
            <w:r>
              <w:t>PSD</w:t>
            </w:r>
          </w:p>
        </w:tc>
        <w:tc>
          <w:tcPr>
            <w:tcW w:w="7790" w:type="dxa"/>
          </w:tcPr>
          <w:p w14:paraId="446DFD42" w14:textId="06B0ABC8" w:rsidR="001C3847" w:rsidRDefault="001C3847" w:rsidP="001C3847">
            <w:pPr>
              <w:pStyle w:val="NTTTableBodyText"/>
            </w:pPr>
            <w:r>
              <w:t>Product Sales Data</w:t>
            </w:r>
          </w:p>
        </w:tc>
      </w:tr>
      <w:tr w:rsidR="001C3847" w14:paraId="04C10C29" w14:textId="77777777" w:rsidTr="003528AD">
        <w:tc>
          <w:tcPr>
            <w:tcW w:w="1838" w:type="dxa"/>
          </w:tcPr>
          <w:p w14:paraId="031A57AE" w14:textId="736FAC8F" w:rsidR="001C3847" w:rsidRDefault="001C3847" w:rsidP="001C3847">
            <w:pPr>
              <w:pStyle w:val="NTTTableBodyText"/>
            </w:pPr>
          </w:p>
        </w:tc>
        <w:tc>
          <w:tcPr>
            <w:tcW w:w="7790" w:type="dxa"/>
          </w:tcPr>
          <w:p w14:paraId="24A2631D" w14:textId="18B50439" w:rsidR="001C3847" w:rsidRDefault="001C3847" w:rsidP="001C3847">
            <w:pPr>
              <w:pStyle w:val="NTTTableBodyText"/>
            </w:pPr>
          </w:p>
        </w:tc>
      </w:tr>
      <w:tr w:rsidR="001C3847" w14:paraId="2894D7FB" w14:textId="77777777" w:rsidTr="003528AD">
        <w:tc>
          <w:tcPr>
            <w:tcW w:w="1838" w:type="dxa"/>
          </w:tcPr>
          <w:p w14:paraId="7CFC22FC" w14:textId="77777777" w:rsidR="001C3847" w:rsidRDefault="001C3847" w:rsidP="001C3847">
            <w:pPr>
              <w:pStyle w:val="NTTTableBodyText"/>
            </w:pPr>
          </w:p>
        </w:tc>
        <w:tc>
          <w:tcPr>
            <w:tcW w:w="7790" w:type="dxa"/>
          </w:tcPr>
          <w:p w14:paraId="6FD7102F" w14:textId="77777777" w:rsidR="001C3847" w:rsidRDefault="001C3847" w:rsidP="001C3847">
            <w:pPr>
              <w:pStyle w:val="NTTTableBodyText"/>
            </w:pPr>
          </w:p>
        </w:tc>
      </w:tr>
      <w:tr w:rsidR="001C3847" w14:paraId="59129D1B" w14:textId="77777777" w:rsidTr="003528AD">
        <w:tc>
          <w:tcPr>
            <w:tcW w:w="1838" w:type="dxa"/>
          </w:tcPr>
          <w:p w14:paraId="712E8A3A" w14:textId="77777777" w:rsidR="001C3847" w:rsidRDefault="001C3847" w:rsidP="001C3847">
            <w:pPr>
              <w:pStyle w:val="NTTTableBodyText"/>
            </w:pPr>
          </w:p>
        </w:tc>
        <w:tc>
          <w:tcPr>
            <w:tcW w:w="7790" w:type="dxa"/>
          </w:tcPr>
          <w:p w14:paraId="2179CF4E" w14:textId="77777777" w:rsidR="001C3847" w:rsidRDefault="001C3847" w:rsidP="001C3847">
            <w:pPr>
              <w:pStyle w:val="NTTTableBodyText"/>
            </w:pPr>
          </w:p>
        </w:tc>
      </w:tr>
      <w:tr w:rsidR="001C3847" w14:paraId="3BD6FEB2" w14:textId="77777777" w:rsidTr="003528AD">
        <w:tc>
          <w:tcPr>
            <w:tcW w:w="1838" w:type="dxa"/>
          </w:tcPr>
          <w:p w14:paraId="3A21F05F" w14:textId="77777777" w:rsidR="001C3847" w:rsidRDefault="001C3847" w:rsidP="001C3847">
            <w:pPr>
              <w:pStyle w:val="NTTTableBodyText"/>
            </w:pPr>
          </w:p>
        </w:tc>
        <w:tc>
          <w:tcPr>
            <w:tcW w:w="7790" w:type="dxa"/>
          </w:tcPr>
          <w:p w14:paraId="430F4501" w14:textId="77777777" w:rsidR="001C3847" w:rsidRDefault="001C3847" w:rsidP="001C3847">
            <w:pPr>
              <w:pStyle w:val="NTTTableBodyText"/>
            </w:pPr>
          </w:p>
        </w:tc>
      </w:tr>
      <w:tr w:rsidR="001C3847" w14:paraId="760BCF88" w14:textId="77777777" w:rsidTr="003528AD">
        <w:tc>
          <w:tcPr>
            <w:tcW w:w="1838" w:type="dxa"/>
          </w:tcPr>
          <w:p w14:paraId="41F5C982" w14:textId="77777777" w:rsidR="001C3847" w:rsidRDefault="001C3847" w:rsidP="001C3847">
            <w:pPr>
              <w:pStyle w:val="NTTTableBodyText"/>
            </w:pPr>
          </w:p>
        </w:tc>
        <w:tc>
          <w:tcPr>
            <w:tcW w:w="7790" w:type="dxa"/>
          </w:tcPr>
          <w:p w14:paraId="0D4047B6" w14:textId="77777777" w:rsidR="001C3847" w:rsidRDefault="001C3847" w:rsidP="001C3847">
            <w:pPr>
              <w:pStyle w:val="NTTTableBodyText"/>
            </w:pPr>
          </w:p>
        </w:tc>
      </w:tr>
    </w:tbl>
    <w:p w14:paraId="496CD783" w14:textId="71556A6D" w:rsidR="002E7929" w:rsidRDefault="002E7929" w:rsidP="001F3950">
      <w:pPr>
        <w:pStyle w:val="NTTHistoryHeading"/>
      </w:pPr>
      <w:r>
        <w:t>Document history</w:t>
      </w:r>
    </w:p>
    <w:tbl>
      <w:tblPr>
        <w:tblStyle w:val="NTTFutureBluetable"/>
        <w:tblW w:w="9631" w:type="dxa"/>
        <w:tblLayout w:type="fixed"/>
        <w:tblLook w:val="0620" w:firstRow="1" w:lastRow="0" w:firstColumn="0" w:lastColumn="0" w:noHBand="1" w:noVBand="1"/>
      </w:tblPr>
      <w:tblGrid>
        <w:gridCol w:w="798"/>
        <w:gridCol w:w="2168"/>
        <w:gridCol w:w="4564"/>
        <w:gridCol w:w="2101"/>
      </w:tblGrid>
      <w:tr w:rsidR="002E7929" w:rsidRPr="002E7929" w14:paraId="19B6487F" w14:textId="77777777" w:rsidTr="002E7929">
        <w:trPr>
          <w:cnfStyle w:val="100000000000" w:firstRow="1" w:lastRow="0" w:firstColumn="0" w:lastColumn="0" w:oddVBand="0" w:evenVBand="0" w:oddHBand="0" w:evenHBand="0" w:firstRowFirstColumn="0" w:firstRowLastColumn="0" w:lastRowFirstColumn="0" w:lastRowLastColumn="0"/>
        </w:trPr>
        <w:tc>
          <w:tcPr>
            <w:tcW w:w="798" w:type="dxa"/>
          </w:tcPr>
          <w:p w14:paraId="693FFE1E" w14:textId="77777777" w:rsidR="002E7929" w:rsidRPr="002E7929" w:rsidRDefault="002E7929" w:rsidP="002E7929">
            <w:pPr>
              <w:pStyle w:val="NTTTableWhiteHeader"/>
            </w:pPr>
            <w:r w:rsidRPr="002E7929">
              <w:t>Issue</w:t>
            </w:r>
          </w:p>
        </w:tc>
        <w:tc>
          <w:tcPr>
            <w:tcW w:w="2168" w:type="dxa"/>
          </w:tcPr>
          <w:p w14:paraId="5704C1BB" w14:textId="77777777" w:rsidR="002E7929" w:rsidRPr="002E7929" w:rsidRDefault="002E7929" w:rsidP="002E7929">
            <w:pPr>
              <w:pStyle w:val="NTTTableWhiteHeader"/>
            </w:pPr>
            <w:r w:rsidRPr="002E7929">
              <w:t>Date</w:t>
            </w:r>
          </w:p>
        </w:tc>
        <w:tc>
          <w:tcPr>
            <w:tcW w:w="4564" w:type="dxa"/>
          </w:tcPr>
          <w:p w14:paraId="6C8904F0" w14:textId="77777777" w:rsidR="002E7929" w:rsidRPr="002E7929" w:rsidRDefault="002E7929" w:rsidP="002E7929">
            <w:pPr>
              <w:pStyle w:val="NTTTableWhiteHeader"/>
            </w:pPr>
            <w:r w:rsidRPr="002E7929">
              <w:t>Comments</w:t>
            </w:r>
          </w:p>
        </w:tc>
        <w:tc>
          <w:tcPr>
            <w:tcW w:w="2101" w:type="dxa"/>
          </w:tcPr>
          <w:p w14:paraId="5F8F5B81" w14:textId="77777777" w:rsidR="002E7929" w:rsidRPr="002E7929" w:rsidRDefault="002E7929" w:rsidP="002E7929">
            <w:pPr>
              <w:pStyle w:val="NTTTableWhiteHeader"/>
            </w:pPr>
            <w:r w:rsidRPr="002E7929">
              <w:t>Pages Affected</w:t>
            </w:r>
          </w:p>
        </w:tc>
      </w:tr>
      <w:tr w:rsidR="002E7929" w:rsidRPr="002E7929" w14:paraId="5FFA235B" w14:textId="77777777" w:rsidTr="002E7929">
        <w:tc>
          <w:tcPr>
            <w:tcW w:w="798" w:type="dxa"/>
          </w:tcPr>
          <w:p w14:paraId="0107E172" w14:textId="7B49169A" w:rsidR="002E7929" w:rsidRPr="002E7929" w:rsidRDefault="00427C4B" w:rsidP="00FD6AC1">
            <w:pPr>
              <w:pStyle w:val="NTTTableBodyText"/>
            </w:pPr>
            <w:r>
              <w:t>0.1</w:t>
            </w:r>
          </w:p>
        </w:tc>
        <w:tc>
          <w:tcPr>
            <w:tcW w:w="2168" w:type="dxa"/>
          </w:tcPr>
          <w:p w14:paraId="26607376" w14:textId="77777777" w:rsidR="002E7929" w:rsidRPr="002E7929" w:rsidRDefault="002E7929" w:rsidP="00FD6AC1">
            <w:pPr>
              <w:pStyle w:val="NTTTableBodyText"/>
            </w:pPr>
          </w:p>
        </w:tc>
        <w:tc>
          <w:tcPr>
            <w:tcW w:w="4564" w:type="dxa"/>
          </w:tcPr>
          <w:p w14:paraId="5D3A2D50" w14:textId="192349AB" w:rsidR="002E7929" w:rsidRPr="002E7929" w:rsidRDefault="00427C4B" w:rsidP="00FD6AC1">
            <w:pPr>
              <w:pStyle w:val="NTTTableBodyText"/>
            </w:pPr>
            <w:r>
              <w:t>Draft</w:t>
            </w:r>
          </w:p>
        </w:tc>
        <w:tc>
          <w:tcPr>
            <w:tcW w:w="2101" w:type="dxa"/>
          </w:tcPr>
          <w:p w14:paraId="1BE94B4A" w14:textId="77777777" w:rsidR="002E7929" w:rsidRPr="002E7929" w:rsidRDefault="002E7929" w:rsidP="00FD6AC1">
            <w:pPr>
              <w:pStyle w:val="NTTTableBodyText"/>
            </w:pPr>
            <w:r w:rsidRPr="002E7929">
              <w:t>All</w:t>
            </w:r>
          </w:p>
        </w:tc>
      </w:tr>
      <w:tr w:rsidR="002E7929" w14:paraId="31DADFB6" w14:textId="77777777" w:rsidTr="002E7929">
        <w:tc>
          <w:tcPr>
            <w:tcW w:w="798" w:type="dxa"/>
          </w:tcPr>
          <w:p w14:paraId="1A2B5338" w14:textId="2498A3DD" w:rsidR="002E7929" w:rsidRDefault="001C3847" w:rsidP="00FD6AC1">
            <w:pPr>
              <w:pStyle w:val="NTTTableBodyText"/>
            </w:pPr>
            <w:r>
              <w:t>0.2</w:t>
            </w:r>
          </w:p>
        </w:tc>
        <w:tc>
          <w:tcPr>
            <w:tcW w:w="2168" w:type="dxa"/>
          </w:tcPr>
          <w:p w14:paraId="0B245A2C" w14:textId="2FDC846A" w:rsidR="002E7929" w:rsidRDefault="001C3847" w:rsidP="00FD6AC1">
            <w:pPr>
              <w:pStyle w:val="NTTTableBodyText"/>
            </w:pPr>
            <w:r>
              <w:t>30/01/2026</w:t>
            </w:r>
          </w:p>
        </w:tc>
        <w:tc>
          <w:tcPr>
            <w:tcW w:w="4564" w:type="dxa"/>
          </w:tcPr>
          <w:p w14:paraId="0CA400C3" w14:textId="4F993FFA" w:rsidR="002E7929" w:rsidRDefault="001C3847" w:rsidP="00FD6AC1">
            <w:pPr>
              <w:pStyle w:val="NTTTableBodyText"/>
            </w:pPr>
            <w:r>
              <w:t>Removed UC1 PSD002 and added details for info on Regs – as agreed on call at 2pm</w:t>
            </w:r>
          </w:p>
        </w:tc>
        <w:tc>
          <w:tcPr>
            <w:tcW w:w="2101" w:type="dxa"/>
          </w:tcPr>
          <w:p w14:paraId="0ABDE3DA" w14:textId="77777777" w:rsidR="002E7929" w:rsidRDefault="002E7929" w:rsidP="00FD6AC1">
            <w:pPr>
              <w:pStyle w:val="NTTTableBodyText"/>
            </w:pPr>
          </w:p>
        </w:tc>
      </w:tr>
    </w:tbl>
    <w:p w14:paraId="6F649E24" w14:textId="09F0D0A7" w:rsidR="00D03EB2" w:rsidRPr="00A651FB" w:rsidRDefault="00B25277" w:rsidP="00507AF6">
      <w:pPr>
        <w:pStyle w:val="Heading1"/>
        <w:numPr>
          <w:ilvl w:val="0"/>
          <w:numId w:val="24"/>
        </w:numPr>
      </w:pPr>
      <w:bookmarkStart w:id="1" w:name="_Toc145071779"/>
      <w:bookmarkStart w:id="2" w:name="_Ref145074135"/>
      <w:bookmarkStart w:id="3" w:name="_Toc145074488"/>
      <w:bookmarkStart w:id="4" w:name="_Toc145074493"/>
      <w:bookmarkStart w:id="5" w:name="_Ref145075954"/>
      <w:bookmarkStart w:id="6" w:name="_Toc220676484"/>
      <w:r>
        <w:lastRenderedPageBreak/>
        <w:t>Overview</w:t>
      </w:r>
      <w:bookmarkEnd w:id="1"/>
      <w:bookmarkEnd w:id="2"/>
      <w:bookmarkEnd w:id="3"/>
      <w:bookmarkEnd w:id="4"/>
      <w:bookmarkEnd w:id="5"/>
      <w:bookmarkEnd w:id="6"/>
      <w:r w:rsidR="00327041" w:rsidRPr="00A651FB">
        <w:t xml:space="preserve"> </w:t>
      </w:r>
    </w:p>
    <w:p w14:paraId="3EA3E7D7" w14:textId="71BEEEA7" w:rsidR="00041570" w:rsidRDefault="00431624" w:rsidP="00007E75">
      <w:pPr>
        <w:pStyle w:val="BodyText"/>
      </w:pPr>
      <w:r w:rsidRPr="001F3950">
        <w:rPr>
          <w:highlight w:val="green"/>
        </w:rPr>
        <w:fldChar w:fldCharType="begin"/>
      </w:r>
      <w:r w:rsidRPr="001F3950">
        <w:rPr>
          <w:highlight w:val="green"/>
        </w:rPr>
        <w:instrText xml:space="preserve"> DOCPROPERTY "Client"  \* MERGEFORMAT </w:instrText>
      </w:r>
      <w:r w:rsidRPr="001F3950">
        <w:rPr>
          <w:highlight w:val="green"/>
        </w:rPr>
        <w:fldChar w:fldCharType="end"/>
      </w:r>
      <w:r w:rsidR="00166225">
        <w:t xml:space="preserve">The aim of this document is to capture </w:t>
      </w:r>
      <w:r w:rsidR="005E1C68">
        <w:t>a</w:t>
      </w:r>
      <w:r w:rsidR="00EE40F2">
        <w:t>t least 1</w:t>
      </w:r>
      <w:r w:rsidR="00166225">
        <w:t xml:space="preserve"> Use Case for consideration to create a Demo of </w:t>
      </w:r>
      <w:r w:rsidR="00B25E2C">
        <w:t xml:space="preserve">an </w:t>
      </w:r>
      <w:r w:rsidR="00166225">
        <w:t>FCA</w:t>
      </w:r>
      <w:r w:rsidR="00B25E2C">
        <w:t xml:space="preserve"> </w:t>
      </w:r>
      <w:r w:rsidR="00FD599B">
        <w:t xml:space="preserve">Compliance </w:t>
      </w:r>
      <w:r w:rsidR="00B25E2C">
        <w:t xml:space="preserve">required </w:t>
      </w:r>
      <w:r w:rsidR="00FD599B">
        <w:t xml:space="preserve">Product Sales Data </w:t>
      </w:r>
      <w:r w:rsidR="00B25E2C">
        <w:t>Report</w:t>
      </w:r>
      <w:r w:rsidR="00166225">
        <w:t xml:space="preserve"> </w:t>
      </w:r>
      <w:r w:rsidR="005E1C68">
        <w:t>(</w:t>
      </w:r>
      <w:r w:rsidR="00166225">
        <w:t>PS</w:t>
      </w:r>
      <w:r w:rsidR="00F26C4F">
        <w:t>D</w:t>
      </w:r>
      <w:r w:rsidR="005E1C68">
        <w:t xml:space="preserve"> Report)</w:t>
      </w:r>
      <w:r w:rsidR="00041570" w:rsidRPr="001F3950">
        <w:t>.</w:t>
      </w:r>
    </w:p>
    <w:p w14:paraId="2879CAA7" w14:textId="3C40CBEE" w:rsidR="00B5720D" w:rsidRPr="001C3847" w:rsidRDefault="00E742A4" w:rsidP="001C3847">
      <w:pPr>
        <w:pStyle w:val="BodyText"/>
        <w:rPr>
          <w:b/>
          <w:bCs/>
        </w:rPr>
      </w:pPr>
      <w:r w:rsidRPr="00E26FD7">
        <w:rPr>
          <w:b/>
          <w:bCs/>
        </w:rPr>
        <w:t>For the purposes of this Demo, t</w:t>
      </w:r>
      <w:r w:rsidR="00FC6B3C" w:rsidRPr="00E26FD7">
        <w:rPr>
          <w:b/>
          <w:bCs/>
        </w:rPr>
        <w:t xml:space="preserve">he output format </w:t>
      </w:r>
      <w:r w:rsidRPr="00E26FD7">
        <w:rPr>
          <w:b/>
          <w:bCs/>
        </w:rPr>
        <w:t>will</w:t>
      </w:r>
      <w:r w:rsidR="00FC6B3C" w:rsidRPr="00E26FD7">
        <w:rPr>
          <w:b/>
          <w:bCs/>
        </w:rPr>
        <w:t xml:space="preserve"> be a .CSV file in compliance with the </w:t>
      </w:r>
      <w:r w:rsidRPr="00E26FD7">
        <w:rPr>
          <w:b/>
          <w:bCs/>
        </w:rPr>
        <w:t>Requirements captured in this document.</w:t>
      </w:r>
    </w:p>
    <w:p w14:paraId="0BE44B41" w14:textId="5E3C74A4" w:rsidR="00F63F02" w:rsidRDefault="006D4CB0" w:rsidP="00F63F02">
      <w:pPr>
        <w:pStyle w:val="Heading2"/>
        <w:tabs>
          <w:tab w:val="clear" w:pos="850"/>
        </w:tabs>
      </w:pPr>
      <w:bookmarkStart w:id="7" w:name="_Toc220676485"/>
      <w:r w:rsidRPr="006D4CB0">
        <w:t>Credit agreement PSD data elements v1.2</w:t>
      </w:r>
      <w:bookmarkEnd w:id="7"/>
      <w:r w:rsidR="00F63F02">
        <w:t xml:space="preserve"> </w:t>
      </w:r>
    </w:p>
    <w:p w14:paraId="740463D8" w14:textId="77777777" w:rsidR="00042F81" w:rsidRDefault="00042F81" w:rsidP="00042F81">
      <w:pPr>
        <w:pStyle w:val="NTTFlushBullet1"/>
        <w:numPr>
          <w:ilvl w:val="0"/>
          <w:numId w:val="0"/>
        </w:numPr>
        <w:ind w:left="397" w:hanging="397"/>
      </w:pPr>
      <w:r>
        <w:t>Product sales data – credit agreements</w:t>
      </w:r>
    </w:p>
    <w:p w14:paraId="67774E7A" w14:textId="77777777" w:rsidR="00042F81" w:rsidRDefault="00042F81" w:rsidP="00042F81">
      <w:pPr>
        <w:pStyle w:val="NTTFlushBullet1"/>
        <w:numPr>
          <w:ilvl w:val="0"/>
          <w:numId w:val="0"/>
        </w:numPr>
        <w:ind w:left="397" w:hanging="397"/>
      </w:pPr>
    </w:p>
    <w:p w14:paraId="19B5F74A" w14:textId="2BFFF48C" w:rsidR="00042F81" w:rsidRDefault="00042F81" w:rsidP="00024736">
      <w:pPr>
        <w:pStyle w:val="NTTFlushBullet1"/>
      </w:pPr>
      <w:r>
        <w:t>The tables also include our preferred approach for how to report data elements for which the firm does not currently hold the information, or the firm is currently unable to report the information. This is not Handbook Guidance and does not replace the requirements set out in the annex. It is not expected that the preferred approaches are reviewed in full. They are intended to be used when a firm is unable to report specific data elements.</w:t>
      </w:r>
    </w:p>
    <w:p w14:paraId="74DC9E62" w14:textId="77777777" w:rsidR="00042F81" w:rsidRDefault="00042F81" w:rsidP="00042F81">
      <w:pPr>
        <w:pStyle w:val="NTTFlushBullet1"/>
      </w:pPr>
      <w:r>
        <w:t>We understand that the complexities of the PSD reports mean that certain information may never be available for certain credit agreements, and that system changes to report certain data elements may not be ready for a firm’s first reporting period. These preferred approaches are to help firms submit the information that is available within the reporting deadlines. However, it should not be inferred that these preferred approaches can be used more generally. We will monitor the use of these preferred approaches and contact firms when we have concerns.</w:t>
      </w:r>
    </w:p>
    <w:p w14:paraId="10F05598" w14:textId="26967FFE" w:rsidR="00042F81" w:rsidRDefault="00042F81" w:rsidP="00024736">
      <w:pPr>
        <w:pStyle w:val="NTTFlushBullet1"/>
      </w:pPr>
      <w:r>
        <w:t>There are four 'preferred approach types' set out for the data elements:</w:t>
      </w:r>
    </w:p>
    <w:p w14:paraId="6F105A1E" w14:textId="77777777" w:rsidR="00042F81" w:rsidRDefault="00042F81" w:rsidP="00024736">
      <w:pPr>
        <w:pStyle w:val="NTTFlushBullet2"/>
        <w:ind w:left="567" w:hanging="283"/>
      </w:pPr>
      <w:r>
        <w:t>Reported value must be meaningful</w:t>
      </w:r>
    </w:p>
    <w:p w14:paraId="75664600" w14:textId="4CFC16DB" w:rsidR="00042F81" w:rsidRDefault="00042F81" w:rsidP="00024736">
      <w:pPr>
        <w:pStyle w:val="NTTFlushBullet2"/>
        <w:numPr>
          <w:ilvl w:val="0"/>
          <w:numId w:val="0"/>
        </w:numPr>
        <w:ind w:left="567"/>
      </w:pPr>
      <w:r>
        <w:t>These data elements must be reported with meaningful information, as set out in the Handbook.</w:t>
      </w:r>
    </w:p>
    <w:p w14:paraId="6F9861B0" w14:textId="77777777" w:rsidR="00042F81" w:rsidRDefault="00042F81" w:rsidP="00024736">
      <w:pPr>
        <w:pStyle w:val="NTTFlushBullet2"/>
        <w:ind w:left="567" w:hanging="283"/>
      </w:pPr>
      <w:r>
        <w:t>Fixed date; Fixed list option; Fixed number; Fixed string; Fixed yes/no</w:t>
      </w:r>
    </w:p>
    <w:p w14:paraId="4ABC6409" w14:textId="1F081DC0" w:rsidR="00042F81" w:rsidRDefault="00042F81" w:rsidP="00EB6BC5">
      <w:pPr>
        <w:pStyle w:val="NTTFlushBullet2"/>
        <w:numPr>
          <w:ilvl w:val="0"/>
          <w:numId w:val="0"/>
        </w:numPr>
        <w:ind w:left="567"/>
      </w:pPr>
      <w:r>
        <w:t>When the information for these data elements cannot be accurately reported the fixed value provided should be used.</w:t>
      </w:r>
    </w:p>
    <w:p w14:paraId="385690A0" w14:textId="77777777" w:rsidR="00042F81" w:rsidRDefault="00042F81" w:rsidP="00024736">
      <w:pPr>
        <w:pStyle w:val="NTTFlushBullet2"/>
        <w:ind w:left="567" w:hanging="283"/>
      </w:pPr>
      <w:r>
        <w:t>Related data element indicates information is not relevant or unavailable</w:t>
      </w:r>
    </w:p>
    <w:p w14:paraId="0256D5FA" w14:textId="5728C414" w:rsidR="00042F81" w:rsidRDefault="00042F81" w:rsidP="00EB6BC5">
      <w:pPr>
        <w:pStyle w:val="NTTFlushBullet2"/>
        <w:numPr>
          <w:ilvl w:val="0"/>
          <w:numId w:val="0"/>
        </w:numPr>
        <w:ind w:left="567"/>
      </w:pPr>
      <w:r>
        <w:t>For these target data elements there is a separate related data element which includes an option that indicates that the information is not relevant or available for the target data element. Selecting this option will have the effect that the target data element must not be reported.</w:t>
      </w:r>
    </w:p>
    <w:p w14:paraId="585B88E6" w14:textId="77777777" w:rsidR="00042F81" w:rsidRDefault="00042F81" w:rsidP="00024736">
      <w:pPr>
        <w:pStyle w:val="NTTFlushBullet2"/>
        <w:ind w:left="567" w:hanging="283"/>
      </w:pPr>
      <w:r>
        <w:t>Case dependent</w:t>
      </w:r>
    </w:p>
    <w:p w14:paraId="4A9FB86C" w14:textId="77777777" w:rsidR="00042F81" w:rsidRDefault="00042F81" w:rsidP="00EB6BC5">
      <w:pPr>
        <w:pStyle w:val="NTTFlushBullet2"/>
        <w:numPr>
          <w:ilvl w:val="0"/>
          <w:numId w:val="0"/>
        </w:numPr>
        <w:ind w:left="567"/>
      </w:pPr>
      <w:r>
        <w:t>There are at least two cases for what value should be reported for these data elements when the information cannot be accurately reported. These cases and the related values are provided.</w:t>
      </w:r>
    </w:p>
    <w:p w14:paraId="6C72E20C" w14:textId="77777777" w:rsidR="00042F81" w:rsidRDefault="00042F81" w:rsidP="00EB6BC5">
      <w:pPr>
        <w:pStyle w:val="NTTFlushBullet1"/>
        <w:numPr>
          <w:ilvl w:val="0"/>
          <w:numId w:val="0"/>
        </w:numPr>
        <w:ind w:left="397" w:hanging="397"/>
      </w:pPr>
    </w:p>
    <w:p w14:paraId="5027A9CB" w14:textId="44008112" w:rsidR="00F63F02" w:rsidRDefault="00042F81" w:rsidP="00EB6BC5">
      <w:pPr>
        <w:pStyle w:val="NTTFlushBullet1"/>
        <w:numPr>
          <w:ilvl w:val="0"/>
          <w:numId w:val="0"/>
        </w:numPr>
        <w:ind w:firstLine="29"/>
      </w:pPr>
      <w:r>
        <w:t>In each case the preferred approach assumes that the data element must be reported based on the</w:t>
      </w:r>
      <w:r w:rsidR="00EB6BC5">
        <w:t xml:space="preserve"> </w:t>
      </w:r>
      <w:r>
        <w:t>validations set out in the data definition.</w:t>
      </w:r>
    </w:p>
    <w:p w14:paraId="60539641" w14:textId="77777777" w:rsidR="00B5720D" w:rsidRDefault="00B5720D" w:rsidP="00B5720D">
      <w:pPr>
        <w:pStyle w:val="NTTFlushBullet1"/>
        <w:numPr>
          <w:ilvl w:val="0"/>
          <w:numId w:val="0"/>
        </w:numPr>
        <w:ind w:left="397" w:hanging="397"/>
      </w:pPr>
    </w:p>
    <w:p w14:paraId="4531D0F3" w14:textId="77777777" w:rsidR="00095E11" w:rsidRDefault="00095E11" w:rsidP="00095E11">
      <w:pPr>
        <w:pStyle w:val="Heading1"/>
        <w:numPr>
          <w:ilvl w:val="0"/>
          <w:numId w:val="24"/>
        </w:numPr>
      </w:pPr>
      <w:bookmarkStart w:id="8" w:name="_Toc220676486"/>
      <w:r>
        <w:lastRenderedPageBreak/>
        <w:t>PSD008 – Credit Agreement Sales</w:t>
      </w:r>
      <w:bookmarkEnd w:id="8"/>
      <w:r w:rsidRPr="00A651FB">
        <w:t xml:space="preserve"> </w:t>
      </w:r>
    </w:p>
    <w:p w14:paraId="025D6A8A" w14:textId="77777777" w:rsidR="00095E11" w:rsidRDefault="00095E11" w:rsidP="00095E11">
      <w:pPr>
        <w:pStyle w:val="BodyText"/>
      </w:pPr>
      <w:r w:rsidRPr="001F3950">
        <w:rPr>
          <w:highlight w:val="green"/>
        </w:rPr>
        <w:fldChar w:fldCharType="begin"/>
      </w:r>
      <w:r w:rsidRPr="001F3950">
        <w:rPr>
          <w:highlight w:val="green"/>
        </w:rPr>
        <w:instrText xml:space="preserve"> DOCPROPERTY "Client"  \* MERGEFORMAT </w:instrText>
      </w:r>
      <w:r w:rsidRPr="001F3950">
        <w:rPr>
          <w:highlight w:val="green"/>
        </w:rPr>
        <w:fldChar w:fldCharType="end"/>
      </w:r>
      <w:r>
        <w:t>The following Fields must be submitted in the format prescribed below:</w:t>
      </w:r>
      <w:r>
        <w:br/>
        <w:t>Note!</w:t>
      </w:r>
      <w:r>
        <w:br/>
        <w:t>This Example includes several fields which require aggregation of numeric values across Borrowers.</w:t>
      </w:r>
    </w:p>
    <w:p w14:paraId="668C3235" w14:textId="50F76F6E" w:rsidR="001C3847" w:rsidRDefault="001C3847" w:rsidP="00095E11">
      <w:pPr>
        <w:pStyle w:val="BodyText"/>
      </w:pPr>
      <w:r>
        <w:t xml:space="preserve">See Appendix A for links to additional documents relating to Reg requirements mentioned in the original excel  </w:t>
      </w:r>
      <w:r w:rsidRPr="001C3847">
        <w:t>Credit agreement PSD data elements v1.2</w:t>
      </w:r>
      <w:r>
        <w:t>.</w:t>
      </w:r>
    </w:p>
    <w:p w14:paraId="54CCED0C" w14:textId="77777777" w:rsidR="00095E11" w:rsidRDefault="00095E11" w:rsidP="00095E11">
      <w:pPr>
        <w:pStyle w:val="BodyText"/>
      </w:pPr>
    </w:p>
    <w:tbl>
      <w:tblPr>
        <w:tblStyle w:val="GridTable1Light-Accent2"/>
        <w:tblW w:w="0" w:type="auto"/>
        <w:tblLook w:val="04A0" w:firstRow="1" w:lastRow="0" w:firstColumn="1" w:lastColumn="0" w:noHBand="0" w:noVBand="1"/>
      </w:tblPr>
      <w:tblGrid>
        <w:gridCol w:w="1129"/>
        <w:gridCol w:w="2410"/>
        <w:gridCol w:w="2126"/>
        <w:gridCol w:w="3963"/>
      </w:tblGrid>
      <w:tr w:rsidR="00095E11" w14:paraId="3D1258E3" w14:textId="77777777" w:rsidTr="008D6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4AED90D" w14:textId="77777777" w:rsidR="00095E11" w:rsidRDefault="00095E11" w:rsidP="008D651F">
            <w:pPr>
              <w:pStyle w:val="BodyText"/>
            </w:pPr>
            <w:r>
              <w:t>Ref</w:t>
            </w:r>
          </w:p>
        </w:tc>
        <w:tc>
          <w:tcPr>
            <w:tcW w:w="2410" w:type="dxa"/>
          </w:tcPr>
          <w:p w14:paraId="52C9A395"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Field</w:t>
            </w:r>
          </w:p>
        </w:tc>
        <w:tc>
          <w:tcPr>
            <w:tcW w:w="2126" w:type="dxa"/>
          </w:tcPr>
          <w:p w14:paraId="1C957F7F"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Code</w:t>
            </w:r>
          </w:p>
        </w:tc>
        <w:tc>
          <w:tcPr>
            <w:tcW w:w="3963" w:type="dxa"/>
          </w:tcPr>
          <w:p w14:paraId="2E48E1FC" w14:textId="77777777" w:rsidR="00095E11" w:rsidRDefault="00095E11" w:rsidP="008D651F">
            <w:pPr>
              <w:pStyle w:val="BodyText"/>
              <w:cnfStyle w:val="100000000000" w:firstRow="1" w:lastRow="0" w:firstColumn="0" w:lastColumn="0" w:oddVBand="0" w:evenVBand="0" w:oddHBand="0" w:evenHBand="0" w:firstRowFirstColumn="0" w:firstRowLastColumn="0" w:lastRowFirstColumn="0" w:lastRowLastColumn="0"/>
            </w:pPr>
            <w:r>
              <w:t>Notes</w:t>
            </w:r>
          </w:p>
        </w:tc>
      </w:tr>
      <w:tr w:rsidR="00095E11" w14:paraId="359CA21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E8DC3A" w14:textId="77777777" w:rsidR="00095E11" w:rsidRDefault="00095E11" w:rsidP="008D651F">
            <w:pPr>
              <w:pStyle w:val="BodyText"/>
            </w:pPr>
            <w:r w:rsidRPr="00252D30">
              <w:t>n/a</w:t>
            </w:r>
          </w:p>
        </w:tc>
        <w:tc>
          <w:tcPr>
            <w:tcW w:w="2410" w:type="dxa"/>
          </w:tcPr>
          <w:p w14:paraId="175555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52D30">
              <w:t>Reference number of product provider</w:t>
            </w:r>
          </w:p>
        </w:tc>
        <w:tc>
          <w:tcPr>
            <w:tcW w:w="2126" w:type="dxa"/>
          </w:tcPr>
          <w:p w14:paraId="3FC913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52D30">
              <w:t>6 or 7 digit number</w:t>
            </w:r>
          </w:p>
        </w:tc>
        <w:tc>
          <w:tcPr>
            <w:tcW w:w="3963" w:type="dxa"/>
          </w:tcPr>
          <w:p w14:paraId="1FFD1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field must contain the firm reference number of the firm providing the data report.</w:t>
            </w:r>
          </w:p>
          <w:p w14:paraId="4C071C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7DE48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Where a firm which is a P2P platform operator submits a report in relation to a home finance product in line with SUP 16.11.8-AR, the reference number of the product provider is the reference number of the P2P platform operator."</w:t>
            </w:r>
          </w:p>
        </w:tc>
      </w:tr>
      <w:tr w:rsidR="00095E11" w14:paraId="2A99692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50230BA" w14:textId="77777777" w:rsidR="00095E11" w:rsidRPr="008B214E" w:rsidRDefault="00095E11" w:rsidP="008D651F">
            <w:pPr>
              <w:pStyle w:val="BodyText"/>
            </w:pPr>
            <w:r w:rsidRPr="00F21C76">
              <w:t>1A</w:t>
            </w:r>
          </w:p>
        </w:tc>
        <w:tc>
          <w:tcPr>
            <w:tcW w:w="2410" w:type="dxa"/>
          </w:tcPr>
          <w:p w14:paraId="50144582" w14:textId="77777777" w:rsidR="00095E11" w:rsidRPr="009218B7"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21C76">
              <w:t>Transaction reference (regulated mortgage contracts and relevant regulated credit agreements only)</w:t>
            </w:r>
          </w:p>
        </w:tc>
        <w:tc>
          <w:tcPr>
            <w:tcW w:w="2126" w:type="dxa"/>
          </w:tcPr>
          <w:p w14:paraId="34BB6252" w14:textId="77777777" w:rsidR="00095E11" w:rsidRPr="009218B7"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21C76">
              <w:t>Numeric / Alphanumeric</w:t>
            </w:r>
          </w:p>
        </w:tc>
        <w:tc>
          <w:tcPr>
            <w:tcW w:w="3963" w:type="dxa"/>
          </w:tcPr>
          <w:p w14:paraId="13B7B2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unique reference for the transaction, internal to the reporting firm, that will enable the firm to provide the FCA with more information concerning the transaction if required, e.g. the account number, application number etc.</w:t>
            </w:r>
          </w:p>
          <w:p w14:paraId="09408E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ED7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In respect of relevant regulated credit agreements only, this should not include a natural person’s name or a derivation of their name."</w:t>
            </w:r>
          </w:p>
        </w:tc>
      </w:tr>
      <w:tr w:rsidR="00095E11" w14:paraId="1A4B6D6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62DD6B" w14:textId="77777777" w:rsidR="00095E11" w:rsidRPr="00F21C76" w:rsidRDefault="00095E11" w:rsidP="008D651F">
            <w:pPr>
              <w:pStyle w:val="BodyText"/>
            </w:pPr>
            <w:r w:rsidRPr="00DE4D75">
              <w:t>2A</w:t>
            </w:r>
          </w:p>
        </w:tc>
        <w:tc>
          <w:tcPr>
            <w:tcW w:w="2410" w:type="dxa"/>
          </w:tcPr>
          <w:p w14:paraId="1DD5482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Origination agreement type</w:t>
            </w:r>
          </w:p>
        </w:tc>
        <w:tc>
          <w:tcPr>
            <w:tcW w:w="2126" w:type="dxa"/>
          </w:tcPr>
          <w:p w14:paraId="1A3F05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Modified agreement</w:t>
            </w:r>
          </w:p>
          <w:p w14:paraId="7EC86B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Novated agreement</w:t>
            </w:r>
          </w:p>
          <w:p w14:paraId="69C653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Legal ownership assigned</w:t>
            </w:r>
          </w:p>
          <w:p w14:paraId="7872E88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w:t>
            </w:r>
          </w:p>
        </w:tc>
        <w:tc>
          <w:tcPr>
            <w:tcW w:w="3963" w:type="dxa"/>
          </w:tcPr>
          <w:p w14:paraId="6B4E64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98367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Modified agreement</w:t>
            </w:r>
          </w:p>
          <w:p w14:paraId="01345B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an earlier agreement as varied or supplemented by a modifying agreement, which is treated as:</w:t>
            </w:r>
          </w:p>
          <w:p w14:paraId="50B7A0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revoking the earlier agreement; and</w:t>
            </w:r>
          </w:p>
          <w:p w14:paraId="2F9D4B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containing provisions reproducing the combined effect of the 2 agreements.</w:t>
            </w:r>
          </w:p>
          <w:p w14:paraId="406623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96224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variation of a regulated credit agreement which does not require the use of a modifying agreement must not be reported in the sales data report. Such a regulated credit agreement should continue to be reported in the performance data report.</w:t>
            </w:r>
          </w:p>
          <w:p w14:paraId="35236B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AEE96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regulated credit agreement has replaced an earlier agreement but a modifying agreement was not used, this must not be recorded as ‘A: Modified agreement’.</w:t>
            </w:r>
          </w:p>
          <w:p w14:paraId="1E130D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Novated agreement</w:t>
            </w:r>
          </w:p>
          <w:p w14:paraId="5C07EB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replaces an earlier agreement by novation of the earlier agreement to change the lender.</w:t>
            </w:r>
          </w:p>
          <w:p w14:paraId="36E7E5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Legal ownership assigned</w:t>
            </w:r>
          </w:p>
          <w:p w14:paraId="79544B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legal ownership of the regulated credit agreement has been assigned to the reporting firm.</w:t>
            </w:r>
          </w:p>
          <w:p w14:paraId="31E55F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w:t>
            </w:r>
          </w:p>
          <w:p w14:paraId="4790D51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origination of the regulated credit agreement is not one of the specific options above."</w:t>
            </w:r>
          </w:p>
        </w:tc>
      </w:tr>
      <w:tr w:rsidR="00095E11" w14:paraId="3A2A8A2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B1F6E4" w14:textId="77777777" w:rsidR="00095E11" w:rsidRPr="00F21C76" w:rsidRDefault="00095E11" w:rsidP="008D651F">
            <w:pPr>
              <w:pStyle w:val="BodyText"/>
            </w:pPr>
            <w:r w:rsidRPr="00DE4D75">
              <w:lastRenderedPageBreak/>
              <w:t>3A</w:t>
            </w:r>
          </w:p>
        </w:tc>
        <w:tc>
          <w:tcPr>
            <w:tcW w:w="2410" w:type="dxa"/>
          </w:tcPr>
          <w:p w14:paraId="7859722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Earlier agreement – transaction reference status</w:t>
            </w:r>
          </w:p>
        </w:tc>
        <w:tc>
          <w:tcPr>
            <w:tcW w:w="2126" w:type="dxa"/>
          </w:tcPr>
          <w:p w14:paraId="1A7E11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Earlier agreement – transaction reference known</w:t>
            </w:r>
          </w:p>
          <w:p w14:paraId="715FE3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No earlier agreement transaction reference</w:t>
            </w:r>
          </w:p>
          <w:p w14:paraId="06AA7AC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53538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‘Earlier agreement – transaction reference’ is:</w:t>
            </w:r>
          </w:p>
          <w:p w14:paraId="75C84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for a modified agreement, the transaction reference which had been reported in previous back-book, sales or performance data reports by the reporting firm in relation to the earlier agreement which the regulated credit agreement has replaced;</w:t>
            </w:r>
          </w:p>
          <w:p w14:paraId="1FF7D2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for a novated agreement, the ‘transaction reference’ which had been reported in previous back-book, sales or performance data reports by the previous lender in relation to the earlier agreement which the regulated credit agreement has replaced; or</w:t>
            </w:r>
          </w:p>
          <w:p w14:paraId="014B20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(c) for a regulated credit agreement for which the legal ownership has been assigned to the reporting firm, the </w:t>
            </w:r>
            <w:r>
              <w:lastRenderedPageBreak/>
              <w:t>‘transaction reference’ which had been reported in previous back-book, sales or performance data reports by the assignor in relation to the regulated credit agreement."</w:t>
            </w:r>
          </w:p>
        </w:tc>
      </w:tr>
      <w:tr w:rsidR="00095E11" w14:paraId="0C3C4D5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027766" w14:textId="77777777" w:rsidR="00095E11" w:rsidRPr="00F21C76" w:rsidRDefault="00095E11" w:rsidP="008D651F">
            <w:pPr>
              <w:pStyle w:val="BodyText"/>
            </w:pPr>
            <w:r w:rsidRPr="00DE4D75">
              <w:lastRenderedPageBreak/>
              <w:t>4A</w:t>
            </w:r>
          </w:p>
        </w:tc>
        <w:tc>
          <w:tcPr>
            <w:tcW w:w="2410" w:type="dxa"/>
          </w:tcPr>
          <w:p w14:paraId="32AB4DB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Earlier agreement – transaction reference</w:t>
            </w:r>
          </w:p>
        </w:tc>
        <w:tc>
          <w:tcPr>
            <w:tcW w:w="2126" w:type="dxa"/>
          </w:tcPr>
          <w:p w14:paraId="70D107C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70B0">
              <w:t>Alphanumeric</w:t>
            </w:r>
          </w:p>
        </w:tc>
        <w:tc>
          <w:tcPr>
            <w:tcW w:w="3963" w:type="dxa"/>
          </w:tcPr>
          <w:p w14:paraId="1E24FE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427BE">
              <w:t>The ‘Earlier agreement – transaction reference’ as defined in data element 3A ‘Earlier agreement – transaction reference status’.</w:t>
            </w:r>
          </w:p>
        </w:tc>
      </w:tr>
      <w:tr w:rsidR="00095E11" w14:paraId="786FBA1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07041D4" w14:textId="77777777" w:rsidR="00095E11" w:rsidRPr="00F21C76" w:rsidRDefault="00095E11" w:rsidP="008D651F">
            <w:pPr>
              <w:pStyle w:val="BodyText"/>
            </w:pPr>
            <w:r w:rsidRPr="00DE4D75">
              <w:t>5A</w:t>
            </w:r>
          </w:p>
        </w:tc>
        <w:tc>
          <w:tcPr>
            <w:tcW w:w="2410" w:type="dxa"/>
          </w:tcPr>
          <w:p w14:paraId="6D9A041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regulatory status</w:t>
            </w:r>
          </w:p>
        </w:tc>
        <w:tc>
          <w:tcPr>
            <w:tcW w:w="2126" w:type="dxa"/>
          </w:tcPr>
          <w:p w14:paraId="489C72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34DF87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7E6614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2D1E12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Previous lender regulatory status unknown</w:t>
            </w:r>
          </w:p>
          <w:p w14:paraId="75A9FFA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 Previous lender unknown"</w:t>
            </w:r>
          </w:p>
        </w:tc>
        <w:tc>
          <w:tcPr>
            <w:tcW w:w="3963" w:type="dxa"/>
          </w:tcPr>
          <w:p w14:paraId="15C1CC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this should reflect the regulatory status of the lender under the earlier agreement as on the date of the novation.</w:t>
            </w:r>
          </w:p>
          <w:p w14:paraId="46CBC6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27A3F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this should reflect the regulatory status of the lender who acted as assignor as on the date of the assignment.</w:t>
            </w:r>
          </w:p>
          <w:p w14:paraId="76E532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1CC8B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F1E78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3EFAD6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an authorised person and/or acting as an appointed representative. The FRN of the previous lender is known by the reporting firm.</w:t>
            </w:r>
          </w:p>
          <w:p w14:paraId="37F953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72FB92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an authorised person and/or acting as an appointed representative. The FRN of the previous lender is not known by the reporting firm.</w:t>
            </w:r>
          </w:p>
          <w:p w14:paraId="382EE5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7A2FEC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previous lender was not an authorised person and was not acting as an appointed representative.</w:t>
            </w:r>
          </w:p>
          <w:p w14:paraId="1B858CB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Previous lender regulatory status unknown</w:t>
            </w:r>
          </w:p>
          <w:p w14:paraId="6D740B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previous lender.</w:t>
            </w:r>
          </w:p>
          <w:p w14:paraId="17F71C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Z2: Previous lender unknown</w:t>
            </w:r>
          </w:p>
          <w:p w14:paraId="7E03F2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who the previous lender was."</w:t>
            </w:r>
          </w:p>
        </w:tc>
      </w:tr>
      <w:tr w:rsidR="00095E11" w14:paraId="387F2F5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143C2DF" w14:textId="77777777" w:rsidR="00095E11" w:rsidRPr="00F21C76" w:rsidRDefault="00095E11" w:rsidP="008D651F">
            <w:pPr>
              <w:pStyle w:val="BodyText"/>
            </w:pPr>
            <w:r w:rsidRPr="00DE4D75">
              <w:lastRenderedPageBreak/>
              <w:t>6A</w:t>
            </w:r>
          </w:p>
        </w:tc>
        <w:tc>
          <w:tcPr>
            <w:tcW w:w="2410" w:type="dxa"/>
          </w:tcPr>
          <w:p w14:paraId="4F97EB3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FRN</w:t>
            </w:r>
          </w:p>
        </w:tc>
        <w:tc>
          <w:tcPr>
            <w:tcW w:w="2126" w:type="dxa"/>
          </w:tcPr>
          <w:p w14:paraId="1227366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9307A">
              <w:t>6 or 7 digit number</w:t>
            </w:r>
          </w:p>
        </w:tc>
        <w:tc>
          <w:tcPr>
            <w:tcW w:w="3963" w:type="dxa"/>
          </w:tcPr>
          <w:p w14:paraId="055E17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the FRN of the lender under the earlier agreement, as on the date of the novation.</w:t>
            </w:r>
          </w:p>
          <w:p w14:paraId="05AC27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the FRN of the lender who acted as assignor, as on the date of the assignment."</w:t>
            </w:r>
          </w:p>
        </w:tc>
      </w:tr>
      <w:tr w:rsidR="00095E11" w14:paraId="2EBBAB9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474CD0" w14:textId="77777777" w:rsidR="00095E11" w:rsidRPr="00F21C76" w:rsidRDefault="00095E11" w:rsidP="008D651F">
            <w:pPr>
              <w:pStyle w:val="BodyText"/>
            </w:pPr>
            <w:r w:rsidRPr="00DE4D75">
              <w:t>7A</w:t>
            </w:r>
          </w:p>
        </w:tc>
        <w:tc>
          <w:tcPr>
            <w:tcW w:w="2410" w:type="dxa"/>
          </w:tcPr>
          <w:p w14:paraId="045A69E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Previous lender name</w:t>
            </w:r>
          </w:p>
        </w:tc>
        <w:tc>
          <w:tcPr>
            <w:tcW w:w="2126" w:type="dxa"/>
          </w:tcPr>
          <w:p w14:paraId="1B9CBDE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9307A">
              <w:t>Alphanumeric</w:t>
            </w:r>
          </w:p>
        </w:tc>
        <w:tc>
          <w:tcPr>
            <w:tcW w:w="3963" w:type="dxa"/>
          </w:tcPr>
          <w:p w14:paraId="672EE7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the name of the lender under the earlier agreement, as on the date of the novation.</w:t>
            </w:r>
          </w:p>
          <w:p w14:paraId="0D7DD0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the name of the lender who acted as assignor, as on the date of the assignment."</w:t>
            </w:r>
          </w:p>
        </w:tc>
      </w:tr>
      <w:tr w:rsidR="00095E11" w14:paraId="1937723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B23D15" w14:textId="77777777" w:rsidR="00095E11" w:rsidRPr="00F21C76" w:rsidRDefault="00095E11" w:rsidP="008D651F">
            <w:pPr>
              <w:pStyle w:val="BodyText"/>
            </w:pPr>
            <w:r w:rsidRPr="00DE4D75">
              <w:t>8A</w:t>
            </w:r>
          </w:p>
        </w:tc>
        <w:tc>
          <w:tcPr>
            <w:tcW w:w="2410" w:type="dxa"/>
          </w:tcPr>
          <w:p w14:paraId="00DE333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Date of assignment of legal ownership</w:t>
            </w:r>
          </w:p>
        </w:tc>
        <w:tc>
          <w:tcPr>
            <w:tcW w:w="2126" w:type="dxa"/>
          </w:tcPr>
          <w:p w14:paraId="675E62E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9307A">
              <w:t>DD/MM/YYYY</w:t>
            </w:r>
          </w:p>
        </w:tc>
        <w:tc>
          <w:tcPr>
            <w:tcW w:w="3963" w:type="dxa"/>
          </w:tcPr>
          <w:p w14:paraId="2B05D1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F5026">
              <w:t>The date on which the legal ownership of the regulated credit agreement was assigned to the reporting firm.</w:t>
            </w:r>
          </w:p>
        </w:tc>
      </w:tr>
      <w:tr w:rsidR="00095E11" w14:paraId="58B4B43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245B0C" w14:textId="77777777" w:rsidR="00095E11" w:rsidRPr="00F21C76" w:rsidRDefault="00095E11" w:rsidP="008D651F">
            <w:pPr>
              <w:pStyle w:val="BodyText"/>
            </w:pPr>
            <w:r w:rsidRPr="00DE4D75">
              <w:t>9A</w:t>
            </w:r>
          </w:p>
        </w:tc>
        <w:tc>
          <w:tcPr>
            <w:tcW w:w="2410" w:type="dxa"/>
          </w:tcPr>
          <w:p w14:paraId="30C5E3B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E4D75">
              <w:t>Credit for business or personal use</w:t>
            </w:r>
          </w:p>
        </w:tc>
        <w:tc>
          <w:tcPr>
            <w:tcW w:w="2126" w:type="dxa"/>
          </w:tcPr>
          <w:p w14:paraId="32BE46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Business</w:t>
            </w:r>
          </w:p>
          <w:p w14:paraId="48B257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 Personal</w:t>
            </w:r>
          </w:p>
          <w:p w14:paraId="7CC12B8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19AF32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13076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Business</w:t>
            </w:r>
          </w:p>
          <w:p w14:paraId="6B304A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where the borrower entered into the regulated credit agreement wholly or predominantly for the purpose of business carried on, or intended to be carried on, by the borrower.</w:t>
            </w:r>
          </w:p>
          <w:p w14:paraId="369940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05EF1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any regulated credit agreement under which the borrower is not a natural person.</w:t>
            </w:r>
          </w:p>
          <w:p w14:paraId="456DCD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Personal</w:t>
            </w:r>
          </w:p>
          <w:p w14:paraId="206FF8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other regulated credit agreements.</w:t>
            </w:r>
          </w:p>
          <w:p w14:paraId="02AB1D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99EB5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cannot determine whether or not the borrower entered into the regulated credit agreement wholly or predominantly for the purpose of business </w:t>
            </w:r>
            <w:r>
              <w:lastRenderedPageBreak/>
              <w:t>carried on, or intended to be carried on, by the borrower."</w:t>
            </w:r>
          </w:p>
        </w:tc>
      </w:tr>
      <w:tr w:rsidR="00095E11" w14:paraId="67A7AE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7725801" w14:textId="77777777" w:rsidR="00095E11" w:rsidRPr="00F21C76" w:rsidRDefault="00095E11" w:rsidP="008D651F">
            <w:pPr>
              <w:pStyle w:val="BodyText"/>
            </w:pPr>
            <w:r w:rsidRPr="0044342A">
              <w:lastRenderedPageBreak/>
              <w:t>10A</w:t>
            </w:r>
          </w:p>
        </w:tc>
        <w:tc>
          <w:tcPr>
            <w:tcW w:w="2410" w:type="dxa"/>
          </w:tcPr>
          <w:p w14:paraId="68A6F6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4342A">
              <w:t>Has a default notice taken effect in relation to this agreement?</w:t>
            </w:r>
          </w:p>
        </w:tc>
        <w:tc>
          <w:tcPr>
            <w:tcW w:w="2126" w:type="dxa"/>
          </w:tcPr>
          <w:p w14:paraId="685617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9BDF5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178AC0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the borrower(s) had been issued with a default notice in relation to the regulated credit agreement and:</w:t>
            </w:r>
          </w:p>
          <w:p w14:paraId="4111E1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if the breach was capable of remedy, the borrower(s) had not taken the action required to remedy the breaches by the date specified in the default notice (or, if no such action was required, at least 14 days had elapsed since the date of service of the notice) (see section 88(1)(b) and (2) of the CCA); or</w:t>
            </w:r>
          </w:p>
          <w:p w14:paraId="65F6F5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if the breach was not capable of remedy, the borrower(s) had not paid the sum (if any) required as compensation for the breach by the date specified in the default notice (or, if no such compensation was required, at least 14 days had elapsed since the date of service of the notice) (see section 88(1)(c) and (2) of the CCA).</w:t>
            </w:r>
          </w:p>
          <w:p w14:paraId="4E4542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novated agreement, this should reflect the position under the earlier agreement as on the date of the novation.</w:t>
            </w:r>
          </w:p>
          <w:p w14:paraId="5210C0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regulated credit agreement for which the legal ownership has been assigned to the reporting firm, this should reflect the position under the regulated credit agreement as on the date of the assignment."</w:t>
            </w:r>
          </w:p>
        </w:tc>
      </w:tr>
      <w:tr w:rsidR="00095E11" w14:paraId="23F2DE7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6F03909" w14:textId="77777777" w:rsidR="00095E11" w:rsidRPr="00F21C76" w:rsidRDefault="00095E11" w:rsidP="008D651F">
            <w:pPr>
              <w:pStyle w:val="BodyText"/>
            </w:pPr>
            <w:r w:rsidRPr="00297F74">
              <w:t>11A</w:t>
            </w:r>
          </w:p>
        </w:tc>
        <w:tc>
          <w:tcPr>
            <w:tcW w:w="2410" w:type="dxa"/>
          </w:tcPr>
          <w:p w14:paraId="68C8D90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Was a brand name used other than the reporting firm’s name?</w:t>
            </w:r>
          </w:p>
        </w:tc>
        <w:tc>
          <w:tcPr>
            <w:tcW w:w="2126" w:type="dxa"/>
          </w:tcPr>
          <w:p w14:paraId="7C3B85D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128A52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5F98AB6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EF3F8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brand name that was used in relation to the regulated credit agreement when the regulated credit agreement was executed.</w:t>
            </w:r>
          </w:p>
          <w:p w14:paraId="708CDE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74994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reporting firm is not the original lender under the regulated credit agreement, this should reflect as relevant the brand name used by the reporting firm in relation to the regulated credit agreement on the date of the novation or the brand name used by the reporting firm in relation to the regulated credit agreement when the legal ownership of the regulated credit </w:t>
            </w:r>
            <w:r>
              <w:lastRenderedPageBreak/>
              <w:t>agreement was assigned to the reporting firm.</w:t>
            </w:r>
          </w:p>
          <w:p w14:paraId="0CBFF6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B513A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63B78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229957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brand name other than the name of the reporting firm was used in relation to the regulated credit agreement.</w:t>
            </w:r>
          </w:p>
          <w:p w14:paraId="6FC4B4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685CD8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Only the name of the reporting firm was used in relation to the regulated credit agreement.</w:t>
            </w:r>
          </w:p>
          <w:p w14:paraId="4CF758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7FF30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 brand name other than the name of the reporting firm was used in relation to the regulated credit agreement."</w:t>
            </w:r>
          </w:p>
        </w:tc>
      </w:tr>
      <w:tr w:rsidR="00095E11" w14:paraId="33A64BC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74DF6B1" w14:textId="77777777" w:rsidR="00095E11" w:rsidRPr="00F21C76" w:rsidRDefault="00095E11" w:rsidP="008D651F">
            <w:pPr>
              <w:pStyle w:val="BodyText"/>
            </w:pPr>
            <w:r w:rsidRPr="00297F74">
              <w:lastRenderedPageBreak/>
              <w:t>12A</w:t>
            </w:r>
          </w:p>
        </w:tc>
        <w:tc>
          <w:tcPr>
            <w:tcW w:w="2410" w:type="dxa"/>
          </w:tcPr>
          <w:p w14:paraId="44FDAE4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Does the agreement use a brand that represents the reporting firm’s group or a third party?</w:t>
            </w:r>
          </w:p>
        </w:tc>
        <w:tc>
          <w:tcPr>
            <w:tcW w:w="2126" w:type="dxa"/>
          </w:tcPr>
          <w:p w14:paraId="5312D8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Reporting firm’s group (internal/own brand)</w:t>
            </w:r>
          </w:p>
          <w:p w14:paraId="14FBBA5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Third party (external/co-brand)"</w:t>
            </w:r>
          </w:p>
        </w:tc>
        <w:tc>
          <w:tcPr>
            <w:tcW w:w="3963" w:type="dxa"/>
          </w:tcPr>
          <w:p w14:paraId="1827A7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44AAB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Reporting firm’s group (internal/own brand)</w:t>
            </w:r>
          </w:p>
          <w:p w14:paraId="7FB004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brand name used in relation to the regulated credit agreement represents the reporting firm or another person within the reporting firm’s group.</w:t>
            </w:r>
          </w:p>
          <w:p w14:paraId="1E9CB9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Third party (external/co-brand)</w:t>
            </w:r>
          </w:p>
          <w:p w14:paraId="7D72AE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brand name used in relation to the regulated credit agreement represents a third-party person outside of the reporting firm’s group, such as through an affinity/partnership scheme or white label product."</w:t>
            </w:r>
          </w:p>
        </w:tc>
      </w:tr>
      <w:tr w:rsidR="00095E11" w14:paraId="20B1F4D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B6A15C" w14:textId="77777777" w:rsidR="00095E11" w:rsidRPr="00F21C76" w:rsidRDefault="00095E11" w:rsidP="008D651F">
            <w:pPr>
              <w:pStyle w:val="BodyText"/>
            </w:pPr>
            <w:r w:rsidRPr="00297F74">
              <w:t>13A</w:t>
            </w:r>
          </w:p>
        </w:tc>
        <w:tc>
          <w:tcPr>
            <w:tcW w:w="2410" w:type="dxa"/>
          </w:tcPr>
          <w:p w14:paraId="32590E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Brand name used for the agreement</w:t>
            </w:r>
          </w:p>
        </w:tc>
        <w:tc>
          <w:tcPr>
            <w:tcW w:w="2126" w:type="dxa"/>
          </w:tcPr>
          <w:p w14:paraId="1D8E3AA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08">
              <w:t>Alphanumeric</w:t>
            </w:r>
          </w:p>
        </w:tc>
        <w:tc>
          <w:tcPr>
            <w:tcW w:w="3963" w:type="dxa"/>
          </w:tcPr>
          <w:p w14:paraId="746D50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0C5C">
              <w:t xml:space="preserve">This should be the brand name that was used in relation to the regulated credit agreement when the regulated credit agreement was executed. If the reporting firm is not the original lender for the regulated credit agreement, this should be the brand name that was used in relation to the regulated credit agreement by the reporting firm on the date of the novation or the brand name used in relation to the regulated credit agreement by the reporting firm when the </w:t>
            </w:r>
            <w:r w:rsidRPr="00BC0C5C">
              <w:lastRenderedPageBreak/>
              <w:t>legal ownership of the regulated credit agreement was assigned to the reporting firm.</w:t>
            </w:r>
          </w:p>
        </w:tc>
      </w:tr>
      <w:tr w:rsidR="00095E11" w14:paraId="5D5BA5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0B3805" w14:textId="77777777" w:rsidR="00095E11" w:rsidRPr="00F21C76" w:rsidRDefault="00095E11" w:rsidP="008D651F">
            <w:pPr>
              <w:pStyle w:val="BodyText"/>
            </w:pPr>
            <w:r w:rsidRPr="00297F74">
              <w:lastRenderedPageBreak/>
              <w:t>14A</w:t>
            </w:r>
          </w:p>
        </w:tc>
        <w:tc>
          <w:tcPr>
            <w:tcW w:w="2410" w:type="dxa"/>
          </w:tcPr>
          <w:p w14:paraId="5770F61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Is the product only available to a particular class of individual?</w:t>
            </w:r>
          </w:p>
        </w:tc>
        <w:tc>
          <w:tcPr>
            <w:tcW w:w="2126" w:type="dxa"/>
          </w:tcPr>
          <w:p w14:paraId="239D24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Customers who hold a current account with the reporting firm’s group</w:t>
            </w:r>
          </w:p>
          <w:p w14:paraId="5E7DB9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Customers who had previously borrowed from the reporting firm’s group</w:t>
            </w:r>
          </w:p>
          <w:p w14:paraId="183BAF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Employees of the reporting firm’s group</w:t>
            </w:r>
          </w:p>
          <w:p w14:paraId="44D5D3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restricted to the particular classes of individual specified above</w:t>
            </w:r>
          </w:p>
          <w:p w14:paraId="5A24790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4436A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963B2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Customers who hold a current account with the reporting firm’s group</w:t>
            </w:r>
          </w:p>
          <w:p w14:paraId="30C97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customers who hold a current account with the reporting firm’s group.</w:t>
            </w:r>
          </w:p>
          <w:p w14:paraId="3BA033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BEE64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reporting firm which is an FCA registered mutual society, if the product to which the regulated credit agreement relates is only available to a customer that is a member of the mutual society, the reporting firm should select this option.</w:t>
            </w:r>
          </w:p>
          <w:p w14:paraId="538336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[Note: Further information about mutual societies can be found at www.fca.org.uk/firms/mutual-societies]</w:t>
            </w:r>
          </w:p>
          <w:p w14:paraId="6BC8EC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Customers who had previously borrowed from the reporting firm’s group</w:t>
            </w:r>
          </w:p>
          <w:p w14:paraId="162C2B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customers who had previously entered into a credit agreement with the reporting firm’s group.</w:t>
            </w:r>
          </w:p>
          <w:p w14:paraId="377B42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Employees of the reporting firm’s group</w:t>
            </w:r>
          </w:p>
          <w:p w14:paraId="0EC604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only available to employees of the reporting firm’s group.</w:t>
            </w:r>
          </w:p>
          <w:p w14:paraId="5DB525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restricted to the particular classes of individual specified</w:t>
            </w:r>
          </w:p>
          <w:p w14:paraId="0973D2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product to which the regulated credit agreement relates is not restricted to one of the particular classes of individual specified above.</w:t>
            </w:r>
          </w:p>
          <w:p w14:paraId="3B6D40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95AD9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product to which the regulated credit agreement relates is restricted to one of the particular classes of individual specified above."</w:t>
            </w:r>
          </w:p>
        </w:tc>
      </w:tr>
      <w:tr w:rsidR="00095E11" w14:paraId="7F72ED2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FFAE294" w14:textId="77777777" w:rsidR="00095E11" w:rsidRPr="00F21C76" w:rsidRDefault="00095E11" w:rsidP="008D651F">
            <w:pPr>
              <w:pStyle w:val="BodyText"/>
            </w:pPr>
            <w:r w:rsidRPr="00297F74">
              <w:lastRenderedPageBreak/>
              <w:t>15A</w:t>
            </w:r>
          </w:p>
        </w:tc>
        <w:tc>
          <w:tcPr>
            <w:tcW w:w="2410" w:type="dxa"/>
          </w:tcPr>
          <w:p w14:paraId="76D306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Were there any financial promotions for the related product?</w:t>
            </w:r>
          </w:p>
        </w:tc>
        <w:tc>
          <w:tcPr>
            <w:tcW w:w="2126" w:type="dxa"/>
          </w:tcPr>
          <w:p w14:paraId="18A0F8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"Y1 = Yes – representative APR can be reported</w:t>
            </w:r>
          </w:p>
          <w:p w14:paraId="7262FA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Y2 = Yes – representative APR cannot be reported</w:t>
            </w:r>
          </w:p>
          <w:p w14:paraId="5A3451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Y3 = Yes – representative APR not required</w:t>
            </w:r>
          </w:p>
          <w:p w14:paraId="242432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1BABFD7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0285B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the reporting firm communicated, or approved the content of, a financial promotion for the particular product to which the regulated credit agreement relates.</w:t>
            </w:r>
          </w:p>
          <w:p w14:paraId="17502A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981D3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4A0F5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Y1: Yes – representative APR can be reported</w:t>
            </w:r>
          </w:p>
          <w:p w14:paraId="2DEA74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had communicated, or approved the content of, a financial promotion for the particular product to which the regulated credit agreement relates.</w:t>
            </w:r>
          </w:p>
          <w:p w14:paraId="1688D7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AB568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representative APR used in the financial promotions can be reported by the reporting firm.</w:t>
            </w:r>
          </w:p>
          <w:p w14:paraId="3C86D6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Y2: Yes – representative APR cannot be reported</w:t>
            </w:r>
          </w:p>
          <w:p w14:paraId="1BE322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had communicated, or approved the content of, a financial promotion for the particular product to which the regulated credit agreement relates.</w:t>
            </w:r>
          </w:p>
          <w:p w14:paraId="73BB7C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A94B2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representative APR used in the financial promotions cannot be reported by the reporting firm."</w:t>
            </w:r>
          </w:p>
          <w:p w14:paraId="3592EB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"Y3: Yes – representative APR not required</w:t>
            </w:r>
          </w:p>
          <w:p w14:paraId="60726E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had communicated, or approved the content of, a financial promotion for the particular product to which the regulated credit agreement relates.</w:t>
            </w:r>
          </w:p>
          <w:p w14:paraId="20FB22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D75BE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representative APR was not required for the financial promotions.</w:t>
            </w:r>
          </w:p>
          <w:p w14:paraId="091EAC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78BA99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had not communicated, or approved the content of, a financial promotion for the particular product to </w:t>
            </w:r>
            <w:r>
              <w:lastRenderedPageBreak/>
              <w:t>which the regulated credit agreement relates.</w:t>
            </w:r>
          </w:p>
          <w:p w14:paraId="29A67B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2E969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it had communicated, or approved the content of, a financial promotion for the particular product to which the regulated credit agreement relates."</w:t>
            </w:r>
          </w:p>
        </w:tc>
      </w:tr>
      <w:tr w:rsidR="00095E11" w14:paraId="09E41CA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700ED2C" w14:textId="77777777" w:rsidR="00095E11" w:rsidRPr="00F21C76" w:rsidRDefault="00095E11" w:rsidP="008D651F">
            <w:pPr>
              <w:pStyle w:val="BodyText"/>
            </w:pPr>
            <w:r w:rsidRPr="00297F74">
              <w:lastRenderedPageBreak/>
              <w:t>16A</w:t>
            </w:r>
          </w:p>
        </w:tc>
        <w:tc>
          <w:tcPr>
            <w:tcW w:w="2410" w:type="dxa"/>
          </w:tcPr>
          <w:p w14:paraId="7997A27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Representative APR used in financial promotions for the related product</w:t>
            </w:r>
          </w:p>
        </w:tc>
        <w:tc>
          <w:tcPr>
            <w:tcW w:w="2126" w:type="dxa"/>
          </w:tcPr>
          <w:p w14:paraId="4941E98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Numeric %</w:t>
            </w:r>
          </w:p>
        </w:tc>
        <w:tc>
          <w:tcPr>
            <w:tcW w:w="3963" w:type="dxa"/>
          </w:tcPr>
          <w:p w14:paraId="00A8E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lowest representative APR used in financial promotions for the particular product to which the regulated credit agreement relates.</w:t>
            </w:r>
          </w:p>
          <w:p w14:paraId="6AFD138E" w14:textId="77777777" w:rsidR="00095E11" w:rsidRPr="0006540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065402">
              <w:rPr>
                <w:b/>
                <w:bCs/>
              </w:rPr>
              <w:t>This number should be reported as a percentage to 2 decimal places (eg, 3.49 represents 3.49%, not 349%)."</w:t>
            </w:r>
          </w:p>
        </w:tc>
      </w:tr>
      <w:tr w:rsidR="00095E11" w14:paraId="4C5E972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2C37F8" w14:textId="77777777" w:rsidR="00095E11" w:rsidRPr="00F21C76" w:rsidRDefault="00095E11" w:rsidP="008D651F">
            <w:pPr>
              <w:pStyle w:val="BodyText"/>
            </w:pPr>
            <w:r w:rsidRPr="00297F74">
              <w:t>17A</w:t>
            </w:r>
          </w:p>
        </w:tc>
        <w:tc>
          <w:tcPr>
            <w:tcW w:w="2410" w:type="dxa"/>
          </w:tcPr>
          <w:p w14:paraId="2E6BDD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Internal reference for related product</w:t>
            </w:r>
          </w:p>
        </w:tc>
        <w:tc>
          <w:tcPr>
            <w:tcW w:w="2126" w:type="dxa"/>
          </w:tcPr>
          <w:p w14:paraId="7B2C418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Alphanumeric</w:t>
            </w:r>
          </w:p>
        </w:tc>
        <w:tc>
          <w:tcPr>
            <w:tcW w:w="3963" w:type="dxa"/>
          </w:tcPr>
          <w:p w14:paraId="6BDABF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"In relation to the financial promotion(s), the reporting firm’s identifier/reference code for the particular product to which the regulated credit agreement relates.</w:t>
            </w:r>
          </w:p>
          <w:p w14:paraId="41FAC4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‘Internal reference for related product’ for all regulated credit agreements which relate to the same particular product and are included in the reporting firm’s sales data reports."</w:t>
            </w:r>
          </w:p>
        </w:tc>
      </w:tr>
      <w:tr w:rsidR="00095E11" w14:paraId="597FBCB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3DA1A65" w14:textId="77777777" w:rsidR="00095E11" w:rsidRPr="00F21C76" w:rsidRDefault="00095E11" w:rsidP="008D651F">
            <w:pPr>
              <w:pStyle w:val="BodyText"/>
            </w:pPr>
            <w:r w:rsidRPr="00297F74">
              <w:t>18A</w:t>
            </w:r>
          </w:p>
        </w:tc>
        <w:tc>
          <w:tcPr>
            <w:tcW w:w="2410" w:type="dxa"/>
          </w:tcPr>
          <w:p w14:paraId="4133835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Related product name</w:t>
            </w:r>
          </w:p>
        </w:tc>
        <w:tc>
          <w:tcPr>
            <w:tcW w:w="2126" w:type="dxa"/>
          </w:tcPr>
          <w:p w14:paraId="7043451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4A33">
              <w:t>Alphanumeric</w:t>
            </w:r>
          </w:p>
        </w:tc>
        <w:tc>
          <w:tcPr>
            <w:tcW w:w="3963" w:type="dxa"/>
          </w:tcPr>
          <w:p w14:paraId="5FBFBB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16405">
              <w:t>The name used to represent the ‘Internal reference for related product’ to which the regulated credit agreement relates.</w:t>
            </w:r>
          </w:p>
        </w:tc>
      </w:tr>
      <w:tr w:rsidR="00095E11" w14:paraId="418735F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477042F" w14:textId="77777777" w:rsidR="00095E11" w:rsidRPr="00F21C76" w:rsidRDefault="00095E11" w:rsidP="008D651F">
            <w:pPr>
              <w:pStyle w:val="BodyText"/>
            </w:pPr>
            <w:r w:rsidRPr="00297F74">
              <w:t>19A</w:t>
            </w:r>
          </w:p>
        </w:tc>
        <w:tc>
          <w:tcPr>
            <w:tcW w:w="2410" w:type="dxa"/>
          </w:tcPr>
          <w:p w14:paraId="34E83AC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Do any financial promotions for the related product make reference to it being available to an individual with restricted access to credit?</w:t>
            </w:r>
          </w:p>
        </w:tc>
        <w:tc>
          <w:tcPr>
            <w:tcW w:w="2126" w:type="dxa"/>
          </w:tcPr>
          <w:p w14:paraId="4C244E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27EAD6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7735D6A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778D9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financial promotions for the particular product to which the regulated credit agreement relates.</w:t>
            </w:r>
          </w:p>
          <w:p w14:paraId="22390D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1C0F8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is not intended to record the status of the borrower(s) under the regulated credit agreement.</w:t>
            </w:r>
          </w:p>
          <w:p w14:paraId="63188D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FF595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6486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6A7CD7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At least one of the financial promotions states or implies that credit is available to individuals who might otherwise consider their access to credit restricted.</w:t>
            </w:r>
          </w:p>
          <w:p w14:paraId="5265F6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2CA38C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None of the financial promotions state or imply that credit is available to individuals who might otherwise consider their access to credit restricted.</w:t>
            </w:r>
          </w:p>
          <w:p w14:paraId="194FE3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28E703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any of the financial promotions state or imply that credit is available to individuals who might otherwise consider their access to credit restricted."</w:t>
            </w:r>
          </w:p>
        </w:tc>
      </w:tr>
      <w:tr w:rsidR="00095E11" w14:paraId="6613D8A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B2D0E94" w14:textId="77777777" w:rsidR="00095E11" w:rsidRPr="00F21C76" w:rsidRDefault="00095E11" w:rsidP="008D651F">
            <w:pPr>
              <w:pStyle w:val="BodyText"/>
            </w:pPr>
            <w:r w:rsidRPr="00297F74">
              <w:lastRenderedPageBreak/>
              <w:t>20A</w:t>
            </w:r>
          </w:p>
        </w:tc>
        <w:tc>
          <w:tcPr>
            <w:tcW w:w="2410" w:type="dxa"/>
          </w:tcPr>
          <w:p w14:paraId="0A952E2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92811">
              <w:t>Do any financial promotions for the related product make reference to improvements to an individual’s credit score?</w:t>
            </w:r>
          </w:p>
        </w:tc>
        <w:tc>
          <w:tcPr>
            <w:tcW w:w="2126" w:type="dxa"/>
          </w:tcPr>
          <w:p w14:paraId="1818D8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Product described as contributing to improving credit scores</w:t>
            </w:r>
          </w:p>
          <w:p w14:paraId="0C32A4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 reference to credit score</w:t>
            </w:r>
          </w:p>
          <w:p w14:paraId="0DDA247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4B4C3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financial promotions for the particular product to which the regulated credit agreement relates.</w:t>
            </w:r>
          </w:p>
          <w:p w14:paraId="25C7F3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2E1BE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References to improvements to an individual’s credit score include references to any equivalent or related terms, such as credit building.</w:t>
            </w:r>
          </w:p>
          <w:p w14:paraId="2956B8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EE28C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42A6D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Product described as contributing to improving credit scores</w:t>
            </w:r>
          </w:p>
          <w:p w14:paraId="7AB4DF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At least one of the financial promotion(s) states that the product could potentially improve an individual’s credit score.</w:t>
            </w:r>
          </w:p>
          <w:p w14:paraId="07E41B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reference to credit score</w:t>
            </w:r>
          </w:p>
          <w:p w14:paraId="54EE5BB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None of the financial promotion(s) state or imply that the product could potentially improve an individual’s credit score.</w:t>
            </w:r>
          </w:p>
          <w:p w14:paraId="5741A3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C1D96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any of the financial promotion(s) state or imply that the product could potentially improve an individual’s credit score."</w:t>
            </w:r>
          </w:p>
        </w:tc>
      </w:tr>
      <w:tr w:rsidR="00095E11" w14:paraId="3F8768C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26B78E1" w14:textId="77777777" w:rsidR="00095E11" w:rsidRPr="00F21C76" w:rsidRDefault="00095E11" w:rsidP="008D651F">
            <w:pPr>
              <w:pStyle w:val="BodyText"/>
            </w:pPr>
            <w:r w:rsidRPr="00297F74">
              <w:lastRenderedPageBreak/>
              <w:t>21A</w:t>
            </w:r>
          </w:p>
        </w:tc>
        <w:tc>
          <w:tcPr>
            <w:tcW w:w="2410" w:type="dxa"/>
          </w:tcPr>
          <w:p w14:paraId="10090D0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80372">
              <w:t>How the sale was made</w:t>
            </w:r>
          </w:p>
        </w:tc>
        <w:tc>
          <w:tcPr>
            <w:tcW w:w="2126" w:type="dxa"/>
          </w:tcPr>
          <w:p w14:paraId="4645B5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Direct face-to-face – on trade premises – postcode known</w:t>
            </w:r>
          </w:p>
          <w:p w14:paraId="7B58DD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Direct face-to-face – on trade premises – postcode unknown</w:t>
            </w:r>
          </w:p>
          <w:p w14:paraId="1B3F4E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Direct face-to-face – off trade premises</w:t>
            </w:r>
          </w:p>
          <w:p w14:paraId="66A945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Direct telephone</w:t>
            </w:r>
          </w:p>
          <w:p w14:paraId="06C96F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Direct app</w:t>
            </w:r>
          </w:p>
          <w:p w14:paraId="78C8C6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Direct internet</w:t>
            </w:r>
          </w:p>
          <w:p w14:paraId="497D37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Direct post</w:t>
            </w:r>
          </w:p>
          <w:p w14:paraId="63B5A0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Direct other</w:t>
            </w:r>
          </w:p>
          <w:p w14:paraId="49EA73B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direct</w:t>
            </w:r>
          </w:p>
          <w:p w14:paraId="42661D5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280F8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"Report how the sale of the regulated credit agreement was made.</w:t>
            </w:r>
          </w:p>
          <w:p w14:paraId="08D510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F499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‘Direct’ refers to sales made by the reporting firm or a person within the reporting firm’s group.</w:t>
            </w:r>
          </w:p>
          <w:p w14:paraId="72B535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CD66F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Where a sale has been made through more than one method – eg, telephone and then post – report the channel where the product choice was made.</w:t>
            </w:r>
          </w:p>
          <w:p w14:paraId="399276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2CF6A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A332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Direct face-to-face – on trade premises – postcode known</w:t>
            </w:r>
          </w:p>
          <w:p w14:paraId="078B9B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in person on the trade premises of the reporting firm or a person within the reporting firm’s group, such as a branch of a bank or pawnbroker. The postcode of this trade premises is known.</w:t>
            </w:r>
          </w:p>
          <w:p w14:paraId="11C719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Direct face-to-face – on trade premises – postcode unknown</w:t>
            </w:r>
          </w:p>
          <w:p w14:paraId="1E1933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in person on the trade premises of the reporting firm or a person within the reporting firm’s group, such as a branch of a bank or pawnbroker. The postcode of this trade premises is unknown.</w:t>
            </w:r>
          </w:p>
          <w:p w14:paraId="47CC76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Direct face-to-face – off trade premises</w:t>
            </w:r>
          </w:p>
          <w:p w14:paraId="09DD69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in person off the trade premises of the reporting firm or a person within the reporting firm’s group.</w:t>
            </w:r>
          </w:p>
          <w:p w14:paraId="0E3350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Direct telephone</w:t>
            </w:r>
          </w:p>
          <w:p w14:paraId="61998E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during a telephone call. This includes voice calls over the internet."</w:t>
            </w:r>
          </w:p>
          <w:p w14:paraId="5AED24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Direct app</w:t>
            </w:r>
          </w:p>
          <w:p w14:paraId="569B77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via a dedicated app of the reporting firm or a person within the reporting firm’s group. This includes apps for mobiles phones, tablets or similar devices.</w:t>
            </w:r>
          </w:p>
          <w:p w14:paraId="2544B7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 Direct internet</w:t>
            </w:r>
          </w:p>
          <w:p w14:paraId="583FA9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via a website, email or other electronic means of communication other than voice calls or dedicated apps.</w:t>
            </w:r>
          </w:p>
          <w:p w14:paraId="1D62C9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Direct post</w:t>
            </w:r>
          </w:p>
          <w:p w14:paraId="71E11E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via post.</w:t>
            </w:r>
          </w:p>
          <w:p w14:paraId="645F47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Direct other</w:t>
            </w:r>
          </w:p>
          <w:p w14:paraId="364D49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made by the reporting firm or a person within the reporting firm’s group by any other channel.</w:t>
            </w:r>
          </w:p>
          <w:p w14:paraId="4E0D9B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direct</w:t>
            </w:r>
          </w:p>
          <w:p w14:paraId="7B00F5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sale was not made by the reporting firm or a person within the reporting firm’s group.</w:t>
            </w:r>
          </w:p>
          <w:p w14:paraId="6ECD30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50DCBE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how the sale of the regulated credit agreement was made."</w:t>
            </w:r>
          </w:p>
        </w:tc>
      </w:tr>
      <w:tr w:rsidR="00095E11" w14:paraId="465E040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8CAE17F" w14:textId="77777777" w:rsidR="00095E11" w:rsidRPr="00F21C76" w:rsidRDefault="00095E11" w:rsidP="008D651F">
            <w:pPr>
              <w:pStyle w:val="BodyText"/>
            </w:pPr>
            <w:r w:rsidRPr="009B596B">
              <w:lastRenderedPageBreak/>
              <w:t>22A</w:t>
            </w:r>
          </w:p>
        </w:tc>
        <w:tc>
          <w:tcPr>
            <w:tcW w:w="2410" w:type="dxa"/>
          </w:tcPr>
          <w:p w14:paraId="2A39AB1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E52AF">
              <w:t>Postcode of trade premises where sale was made</w:t>
            </w:r>
          </w:p>
        </w:tc>
        <w:tc>
          <w:tcPr>
            <w:tcW w:w="2126" w:type="dxa"/>
          </w:tcPr>
          <w:p w14:paraId="0166598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E52AF">
              <w:t>eg, XY45 6XX</w:t>
            </w:r>
          </w:p>
        </w:tc>
        <w:tc>
          <w:tcPr>
            <w:tcW w:w="3963" w:type="dxa"/>
          </w:tcPr>
          <w:p w14:paraId="4E85F3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of the trade premises where the sale of the regulated credit agreement was made.</w:t>
            </w:r>
          </w:p>
          <w:p w14:paraId="03D967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take the form of, eg, XY45 6XX."</w:t>
            </w:r>
          </w:p>
        </w:tc>
      </w:tr>
      <w:tr w:rsidR="00095E11" w14:paraId="73C2AF7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FCDDD82" w14:textId="77777777" w:rsidR="00095E11" w:rsidRPr="00F21C76" w:rsidRDefault="00095E11" w:rsidP="008D651F">
            <w:pPr>
              <w:pStyle w:val="BodyText"/>
            </w:pPr>
            <w:r w:rsidRPr="00056E9D">
              <w:t>23A</w:t>
            </w:r>
          </w:p>
        </w:tc>
        <w:tc>
          <w:tcPr>
            <w:tcW w:w="2410" w:type="dxa"/>
          </w:tcPr>
          <w:p w14:paraId="37B790F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56E9D">
              <w:t>Did another person effect an introduction of the borrower(s) to the reporting firm?</w:t>
            </w:r>
          </w:p>
        </w:tc>
        <w:tc>
          <w:tcPr>
            <w:tcW w:w="2126" w:type="dxa"/>
          </w:tcPr>
          <w:p w14:paraId="1840BA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Yes – credit broker regulated – FRN known</w:t>
            </w:r>
          </w:p>
          <w:p w14:paraId="063ED2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Yes – credit broker regulated – FRN unknown</w:t>
            </w:r>
          </w:p>
          <w:p w14:paraId="3318C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credit broker not regulated</w:t>
            </w:r>
          </w:p>
          <w:p w14:paraId="5881F8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Yes – credit broker regulatory status unknown</w:t>
            </w:r>
          </w:p>
          <w:p w14:paraId="0D140A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 credit broker</w:t>
            </w:r>
          </w:p>
          <w:p w14:paraId="54D4ECE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7902E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"Whether another person (the credit broker) effected an introduction of the borrower(s) to the reporting firm with a view to the borrower(s) entering into the regulated credit agreement.</w:t>
            </w:r>
          </w:p>
          <w:p w14:paraId="414B6E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DAD3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options chosen should reflect the credit broker’s regulatory status at the point the introduction was effected.</w:t>
            </w:r>
          </w:p>
          <w:p w14:paraId="36FB6A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63A88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E8B38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Yes – credit broker regulated – FRN known</w:t>
            </w:r>
          </w:p>
          <w:p w14:paraId="6DF51B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Another person (the credit broker) effected an introduction of the borrower(s) to the reporting firm with a view to </w:t>
            </w:r>
            <w:r>
              <w:lastRenderedPageBreak/>
              <w:t>the borrower(s) entering into the regulated credit agreement. The credit broker was an authorised person or acting as an appointed representative. The FRN of the credit broker is known by the reporting firm.</w:t>
            </w:r>
          </w:p>
          <w:p w14:paraId="6F1EDC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Yes – credit broker regulated – FRN unknown</w:t>
            </w:r>
          </w:p>
          <w:p w14:paraId="0E0816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credit broker was an authorised person or acting as an appointed representative. The FRN of the credit broker is not known by the reporting firm.</w:t>
            </w:r>
          </w:p>
          <w:p w14:paraId="676581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credit broker not regulated</w:t>
            </w:r>
          </w:p>
          <w:p w14:paraId="3C14DD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credit broker was not an authorised person and was not acting as an appointed representative."</w:t>
            </w:r>
          </w:p>
          <w:p w14:paraId="079310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credit broker regulatory status unknown</w:t>
            </w:r>
          </w:p>
          <w:p w14:paraId="2FF020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(the credit broker) effected an introduction of the borrower(s) to the reporting firm with a view to the borrower(s) entering into the regulated credit agreement. The reporting firm cannot determine the regulatory status of the credit broker.</w:t>
            </w:r>
          </w:p>
          <w:p w14:paraId="2A1C09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credit broker</w:t>
            </w:r>
          </w:p>
          <w:p w14:paraId="1097BC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Another person did not effect an introduction of the borrower(s) to the reporting firm with a view to the borrower(s) entering into the regulated credit agreement.</w:t>
            </w:r>
          </w:p>
          <w:p w14:paraId="281B5E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D1543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another person effected an introduction of the borrower(s) to the reporting firm with a view to the borrower(s) entering into the regulated credit agreement."</w:t>
            </w:r>
          </w:p>
        </w:tc>
      </w:tr>
      <w:tr w:rsidR="00095E11" w14:paraId="5DF718A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ED25CAC" w14:textId="77777777" w:rsidR="00095E11" w:rsidRPr="00F21C76" w:rsidRDefault="00095E11" w:rsidP="008D651F">
            <w:pPr>
              <w:pStyle w:val="BodyText"/>
            </w:pPr>
            <w:r w:rsidRPr="00A45ECF">
              <w:lastRenderedPageBreak/>
              <w:t>24A</w:t>
            </w:r>
          </w:p>
        </w:tc>
        <w:tc>
          <w:tcPr>
            <w:tcW w:w="2410" w:type="dxa"/>
          </w:tcPr>
          <w:p w14:paraId="3739F07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45ECF">
              <w:t>Credit broker FRN</w:t>
            </w:r>
          </w:p>
        </w:tc>
        <w:tc>
          <w:tcPr>
            <w:tcW w:w="2126" w:type="dxa"/>
          </w:tcPr>
          <w:p w14:paraId="44CA4DE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45ECF">
              <w:t>6 or 7 digit number</w:t>
            </w:r>
          </w:p>
        </w:tc>
        <w:tc>
          <w:tcPr>
            <w:tcW w:w="3963" w:type="dxa"/>
          </w:tcPr>
          <w:p w14:paraId="201CA1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FRN of the credit broker who effected an introduction of the borrower(s) to the reporting firm with a view to the borrower(s) entering into the regulated credit agreement.</w:t>
            </w:r>
          </w:p>
          <w:p w14:paraId="0574C5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BD4CE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credit broker’s FRN at the point the introduction was effected."</w:t>
            </w:r>
          </w:p>
        </w:tc>
      </w:tr>
      <w:tr w:rsidR="00095E11" w14:paraId="369E4E4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B79730A" w14:textId="77777777" w:rsidR="00095E11" w:rsidRPr="00F21C76" w:rsidRDefault="00095E11" w:rsidP="008D651F">
            <w:pPr>
              <w:pStyle w:val="BodyText"/>
            </w:pPr>
            <w:r w:rsidRPr="00C34DAC">
              <w:t>25A</w:t>
            </w:r>
          </w:p>
        </w:tc>
        <w:tc>
          <w:tcPr>
            <w:tcW w:w="2410" w:type="dxa"/>
          </w:tcPr>
          <w:p w14:paraId="2D3F459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Credit broker name</w:t>
            </w:r>
          </w:p>
        </w:tc>
        <w:tc>
          <w:tcPr>
            <w:tcW w:w="2126" w:type="dxa"/>
          </w:tcPr>
          <w:p w14:paraId="6F5C73C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Alphanumeric</w:t>
            </w:r>
          </w:p>
        </w:tc>
        <w:tc>
          <w:tcPr>
            <w:tcW w:w="3963" w:type="dxa"/>
          </w:tcPr>
          <w:p w14:paraId="48D1E0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D0146">
              <w:t>The name of the credit broker who effected the introduction of the borrower(s) to the reporting firm with a view to the borrower(s) entering into the regulated credit agreement.</w:t>
            </w:r>
          </w:p>
        </w:tc>
      </w:tr>
      <w:tr w:rsidR="00095E11" w14:paraId="725C033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22D5048" w14:textId="77777777" w:rsidR="00095E11" w:rsidRPr="00F21C76" w:rsidRDefault="00095E11" w:rsidP="008D651F">
            <w:pPr>
              <w:pStyle w:val="BodyText"/>
            </w:pPr>
            <w:r w:rsidRPr="00C34DAC">
              <w:t>26A</w:t>
            </w:r>
          </w:p>
        </w:tc>
        <w:tc>
          <w:tcPr>
            <w:tcW w:w="2410" w:type="dxa"/>
          </w:tcPr>
          <w:p w14:paraId="4F6DC23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Commission paid by reporting firm to credit broker</w:t>
            </w:r>
          </w:p>
        </w:tc>
        <w:tc>
          <w:tcPr>
            <w:tcW w:w="2126" w:type="dxa"/>
          </w:tcPr>
          <w:p w14:paraId="40C136D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Numeric £</w:t>
            </w:r>
          </w:p>
        </w:tc>
        <w:tc>
          <w:tcPr>
            <w:tcW w:w="3963" w:type="dxa"/>
          </w:tcPr>
          <w:p w14:paraId="4F609A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"Amount of commission paid to the credit broker by the reporting firm directly in relation to the regulated credit agreement.</w:t>
            </w:r>
          </w:p>
          <w:p w14:paraId="4807E7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Do not include a pro-rata estimate of the commission from any amounts paid to the credit broker which are not directly in relation to the regulated credit agreement."</w:t>
            </w:r>
          </w:p>
        </w:tc>
      </w:tr>
      <w:tr w:rsidR="00095E11" w14:paraId="7D7DDE6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F35BAC" w14:textId="77777777" w:rsidR="00095E11" w:rsidRPr="00F21C76" w:rsidRDefault="00095E11" w:rsidP="008D651F">
            <w:pPr>
              <w:pStyle w:val="BodyText"/>
            </w:pPr>
            <w:r w:rsidRPr="00C34DAC">
              <w:t>27A</w:t>
            </w:r>
          </w:p>
        </w:tc>
        <w:tc>
          <w:tcPr>
            <w:tcW w:w="2410" w:type="dxa"/>
          </w:tcPr>
          <w:p w14:paraId="6910AC7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Commission received by reporting firm from credit broker</w:t>
            </w:r>
          </w:p>
        </w:tc>
        <w:tc>
          <w:tcPr>
            <w:tcW w:w="2126" w:type="dxa"/>
          </w:tcPr>
          <w:p w14:paraId="3FB599B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34DAC">
              <w:t>Numeric £</w:t>
            </w:r>
          </w:p>
        </w:tc>
        <w:tc>
          <w:tcPr>
            <w:tcW w:w="3963" w:type="dxa"/>
          </w:tcPr>
          <w:p w14:paraId="34D7C4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"Amount of commission paid to the reporting firm by the credit broker directly in relation to the regulated credit agreement.</w:t>
            </w:r>
          </w:p>
          <w:p w14:paraId="548E98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Do not include a pro-rata estimate of the commission from any amounts received from the credit broker which are not directly in relation to the regulated credit agreement."</w:t>
            </w:r>
          </w:p>
        </w:tc>
      </w:tr>
      <w:tr w:rsidR="00095E11" w14:paraId="227A54F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0CB4A66" w14:textId="77777777" w:rsidR="00095E11" w:rsidRPr="00F21C76" w:rsidRDefault="00095E11" w:rsidP="008D651F">
            <w:pPr>
              <w:pStyle w:val="BodyText"/>
            </w:pPr>
            <w:r w:rsidRPr="00BB4639">
              <w:t>28A</w:t>
            </w:r>
          </w:p>
        </w:tc>
        <w:tc>
          <w:tcPr>
            <w:tcW w:w="2410" w:type="dxa"/>
          </w:tcPr>
          <w:p w14:paraId="71F2117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Is the credit agreement also a P2P agreement?</w:t>
            </w:r>
          </w:p>
        </w:tc>
        <w:tc>
          <w:tcPr>
            <w:tcW w:w="2126" w:type="dxa"/>
          </w:tcPr>
          <w:p w14:paraId="6E9581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Yes – platform regulated – FRN known</w:t>
            </w:r>
          </w:p>
          <w:p w14:paraId="7887F3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Yes – platform regulated – FRN unknown</w:t>
            </w:r>
          </w:p>
          <w:p w14:paraId="12939D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platform not regulated</w:t>
            </w:r>
          </w:p>
          <w:p w14:paraId="441F7A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Yes – platform regulatory status unknown</w:t>
            </w:r>
          </w:p>
          <w:p w14:paraId="06A67B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N = No – not a P2P agreement</w:t>
            </w:r>
          </w:p>
          <w:p w14:paraId="3BDB156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ED06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"Whether the regulated credit agreement meets the criteria of a P2P agreement.</w:t>
            </w:r>
          </w:p>
          <w:p w14:paraId="7C2579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4A23D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F154D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Yes – platform regulated – FRN known</w:t>
            </w:r>
          </w:p>
          <w:p w14:paraId="0F4F80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meets the criteria of a P2P agreement. The operator of the electronic system in relation to lending who facilitated the P2P agreement was an authorised person or </w:t>
            </w:r>
            <w:r>
              <w:lastRenderedPageBreak/>
              <w:t>acting as an appointed representative. The FRN of the operator of the electronic system in relation to lending is known by the reporting firm.</w:t>
            </w:r>
          </w:p>
          <w:p w14:paraId="77F495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Yes – platform regulated – FRN unknown</w:t>
            </w:r>
          </w:p>
          <w:p w14:paraId="7D29DB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operator of the electronic system in relation to lending who facilitated the P2P agreement was an authorised person or acting as an appointed representative. The FRN of the operator of the electronic system in relation to lending is not known by the reporting firm.</w:t>
            </w:r>
          </w:p>
          <w:p w14:paraId="49E514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platform not regulated</w:t>
            </w:r>
          </w:p>
          <w:p w14:paraId="7453B4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operator of the electronic system in relation to lending who facilitated the P2P agreement was not an authorised person and was not acting as an appointed representative.</w:t>
            </w:r>
          </w:p>
          <w:p w14:paraId="4A3516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platform regulatory status unknown</w:t>
            </w:r>
          </w:p>
          <w:p w14:paraId="71AAC81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meets the criteria of a P2P agreement. The reporting firm cannot determine the regulatory status of the operator of the electronic system in relation to lending who facilitated the P2P agreement.</w:t>
            </w:r>
          </w:p>
          <w:p w14:paraId="3FCAE8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 – not a P2P agreement</w:t>
            </w:r>
          </w:p>
          <w:p w14:paraId="6643A8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does not meet the criteria of a P2P agreement.</w:t>
            </w:r>
          </w:p>
          <w:p w14:paraId="4C9C01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7E0B4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regulated credit agreement meets the criteria of a P2P agreement."</w:t>
            </w:r>
          </w:p>
        </w:tc>
      </w:tr>
      <w:tr w:rsidR="00095E11" w14:paraId="4DC8A60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A1B65B8" w14:textId="77777777" w:rsidR="00095E11" w:rsidRPr="00F21C76" w:rsidRDefault="00095E11" w:rsidP="008D651F">
            <w:pPr>
              <w:pStyle w:val="BodyText"/>
            </w:pPr>
            <w:r w:rsidRPr="00BB4639">
              <w:lastRenderedPageBreak/>
              <w:t>29A</w:t>
            </w:r>
          </w:p>
        </w:tc>
        <w:tc>
          <w:tcPr>
            <w:tcW w:w="2410" w:type="dxa"/>
          </w:tcPr>
          <w:p w14:paraId="181A2EB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P2P platform operator FRN</w:t>
            </w:r>
          </w:p>
        </w:tc>
        <w:tc>
          <w:tcPr>
            <w:tcW w:w="2126" w:type="dxa"/>
          </w:tcPr>
          <w:p w14:paraId="3F7E16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6 or 7 digit number</w:t>
            </w:r>
          </w:p>
        </w:tc>
        <w:tc>
          <w:tcPr>
            <w:tcW w:w="3963" w:type="dxa"/>
          </w:tcPr>
          <w:p w14:paraId="6340F3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The FRN of the operator of an electronic system in relation to lending who facilitated the P2P agreement as on the date the regulated credit agreement was executed.</w:t>
            </w:r>
          </w:p>
        </w:tc>
      </w:tr>
      <w:tr w:rsidR="00095E11" w14:paraId="3CB9DB9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596EC55" w14:textId="77777777" w:rsidR="00095E11" w:rsidRPr="00F21C76" w:rsidRDefault="00095E11" w:rsidP="008D651F">
            <w:pPr>
              <w:pStyle w:val="BodyText"/>
            </w:pPr>
            <w:r w:rsidRPr="00BB4639">
              <w:lastRenderedPageBreak/>
              <w:t>30A</w:t>
            </w:r>
          </w:p>
        </w:tc>
        <w:tc>
          <w:tcPr>
            <w:tcW w:w="2410" w:type="dxa"/>
          </w:tcPr>
          <w:p w14:paraId="29F547C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B4639">
              <w:t>P2P platform operator name</w:t>
            </w:r>
          </w:p>
        </w:tc>
        <w:tc>
          <w:tcPr>
            <w:tcW w:w="2126" w:type="dxa"/>
          </w:tcPr>
          <w:p w14:paraId="41CF816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Alphanumeric</w:t>
            </w:r>
          </w:p>
        </w:tc>
        <w:tc>
          <w:tcPr>
            <w:tcW w:w="3963" w:type="dxa"/>
          </w:tcPr>
          <w:p w14:paraId="50A3F3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67945">
              <w:t>The name of the operator of an electronic system in relation to lending who facilitated the P2P agreement.</w:t>
            </w:r>
          </w:p>
        </w:tc>
      </w:tr>
      <w:tr w:rsidR="00095E11" w14:paraId="164AF158"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2A0B0B" w14:textId="77777777" w:rsidR="00095E11" w:rsidRPr="00F21C76" w:rsidRDefault="00095E11" w:rsidP="008D651F">
            <w:pPr>
              <w:pStyle w:val="BodyText"/>
            </w:pPr>
            <w:r w:rsidRPr="0056375D">
              <w:t>31A</w:t>
            </w:r>
          </w:p>
        </w:tc>
        <w:tc>
          <w:tcPr>
            <w:tcW w:w="2410" w:type="dxa"/>
          </w:tcPr>
          <w:p w14:paraId="04F6810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75D">
              <w:t>Agreement execution date</w:t>
            </w:r>
          </w:p>
        </w:tc>
        <w:tc>
          <w:tcPr>
            <w:tcW w:w="2126" w:type="dxa"/>
          </w:tcPr>
          <w:p w14:paraId="7FC005A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75D">
              <w:t>DD/MM/YYYY</w:t>
            </w:r>
          </w:p>
        </w:tc>
        <w:tc>
          <w:tcPr>
            <w:tcW w:w="3963" w:type="dxa"/>
          </w:tcPr>
          <w:p w14:paraId="04A61F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date on which the regulated credit agreement was executed.</w:t>
            </w:r>
          </w:p>
          <w:p w14:paraId="741BFB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981A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modified agreement or novated agreement this should be the date on which that regulated credit agreement was executed, not the date on which the earlier modified or novated agreement was executed."</w:t>
            </w:r>
          </w:p>
        </w:tc>
      </w:tr>
      <w:tr w:rsidR="00095E11" w14:paraId="720D192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4196FD8" w14:textId="77777777" w:rsidR="00095E11" w:rsidRPr="00F21C76" w:rsidRDefault="00095E11" w:rsidP="008D651F">
            <w:pPr>
              <w:pStyle w:val="BodyText"/>
            </w:pPr>
            <w:r w:rsidRPr="007644CE">
              <w:t>32A</w:t>
            </w:r>
          </w:p>
        </w:tc>
        <w:tc>
          <w:tcPr>
            <w:tcW w:w="2410" w:type="dxa"/>
          </w:tcPr>
          <w:p w14:paraId="6EE4981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Is the agreement an open-end agreement?</w:t>
            </w:r>
          </w:p>
        </w:tc>
        <w:tc>
          <w:tcPr>
            <w:tcW w:w="2126" w:type="dxa"/>
          </w:tcPr>
          <w:p w14:paraId="52ACB1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618FC4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7931E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Whether the regulated credit agreement meets the criteria of an open-end agreement.</w:t>
            </w:r>
          </w:p>
        </w:tc>
      </w:tr>
      <w:tr w:rsidR="00095E11" w14:paraId="48D28EC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B8BF258" w14:textId="77777777" w:rsidR="00095E11" w:rsidRPr="00F21C76" w:rsidRDefault="00095E11" w:rsidP="008D651F">
            <w:pPr>
              <w:pStyle w:val="BodyText"/>
            </w:pPr>
            <w:r w:rsidRPr="007644CE">
              <w:t>33A</w:t>
            </w:r>
          </w:p>
        </w:tc>
        <w:tc>
          <w:tcPr>
            <w:tcW w:w="2410" w:type="dxa"/>
          </w:tcPr>
          <w:p w14:paraId="42DD04E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Agreement end date</w:t>
            </w:r>
          </w:p>
        </w:tc>
        <w:tc>
          <w:tcPr>
            <w:tcW w:w="2126" w:type="dxa"/>
          </w:tcPr>
          <w:p w14:paraId="3411807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5DC6">
              <w:t>DD/MM/YYYY</w:t>
            </w:r>
          </w:p>
        </w:tc>
        <w:tc>
          <w:tcPr>
            <w:tcW w:w="3963" w:type="dxa"/>
          </w:tcPr>
          <w:p w14:paraId="1E79FC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Date on which the regulated credit agreement is scheduled to end.</w:t>
            </w:r>
          </w:p>
        </w:tc>
      </w:tr>
      <w:tr w:rsidR="00095E11" w14:paraId="79084AF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0BBC407" w14:textId="77777777" w:rsidR="00095E11" w:rsidRPr="00F21C76" w:rsidRDefault="00095E11" w:rsidP="008D651F">
            <w:pPr>
              <w:pStyle w:val="BodyText"/>
            </w:pPr>
            <w:r w:rsidRPr="007644CE">
              <w:t>34A</w:t>
            </w:r>
          </w:p>
        </w:tc>
        <w:tc>
          <w:tcPr>
            <w:tcW w:w="2410" w:type="dxa"/>
          </w:tcPr>
          <w:p w14:paraId="4E5C1DA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Is there a minimum duration for the open-end agreement?</w:t>
            </w:r>
          </w:p>
        </w:tc>
        <w:tc>
          <w:tcPr>
            <w:tcW w:w="2126" w:type="dxa"/>
          </w:tcPr>
          <w:p w14:paraId="3EEB6D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68D7D10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A7A18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Whether the open-end agreement has a minimum duration.</w:t>
            </w:r>
          </w:p>
        </w:tc>
      </w:tr>
      <w:tr w:rsidR="00095E11" w14:paraId="0ED72BE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2FD99D" w14:textId="77777777" w:rsidR="00095E11" w:rsidRPr="00F21C76" w:rsidRDefault="00095E11" w:rsidP="008D651F">
            <w:pPr>
              <w:pStyle w:val="BodyText"/>
            </w:pPr>
            <w:r w:rsidRPr="007644CE">
              <w:t>35A</w:t>
            </w:r>
          </w:p>
        </w:tc>
        <w:tc>
          <w:tcPr>
            <w:tcW w:w="2410" w:type="dxa"/>
          </w:tcPr>
          <w:p w14:paraId="1CBC42C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44CE">
              <w:t>Minimum duration end date</w:t>
            </w:r>
          </w:p>
        </w:tc>
        <w:tc>
          <w:tcPr>
            <w:tcW w:w="2126" w:type="dxa"/>
          </w:tcPr>
          <w:p w14:paraId="7D5A0DC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5DC6">
              <w:t>DD/MM/YYYY</w:t>
            </w:r>
          </w:p>
        </w:tc>
        <w:tc>
          <w:tcPr>
            <w:tcW w:w="3963" w:type="dxa"/>
          </w:tcPr>
          <w:p w14:paraId="02D05E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034A">
              <w:t>Date on which the minimum duration of the open-end agreement ends.</w:t>
            </w:r>
          </w:p>
        </w:tc>
      </w:tr>
      <w:tr w:rsidR="00095E11" w14:paraId="1ADEABA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FBCFDE9" w14:textId="77777777" w:rsidR="00095E11" w:rsidRPr="00F21C76" w:rsidRDefault="00095E11" w:rsidP="008D651F">
            <w:pPr>
              <w:pStyle w:val="BodyText"/>
            </w:pPr>
            <w:r w:rsidRPr="007564DC">
              <w:t>36A</w:t>
            </w:r>
          </w:p>
        </w:tc>
        <w:tc>
          <w:tcPr>
            <w:tcW w:w="2410" w:type="dxa"/>
          </w:tcPr>
          <w:p w14:paraId="4065CA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Is the agreement a credit token agreement?</w:t>
            </w:r>
          </w:p>
        </w:tc>
        <w:tc>
          <w:tcPr>
            <w:tcW w:w="2126" w:type="dxa"/>
          </w:tcPr>
          <w:p w14:paraId="1C0A2E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DA07B1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209F50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53009">
              <w:t>Whether the regulated credit agreement meets the criteria of a credit-token agreement.</w:t>
            </w:r>
          </w:p>
        </w:tc>
      </w:tr>
      <w:tr w:rsidR="00095E11" w14:paraId="0F3A0C7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B6C68B4" w14:textId="77777777" w:rsidR="00095E11" w:rsidRPr="00F21C76" w:rsidRDefault="00095E11" w:rsidP="008D651F">
            <w:pPr>
              <w:pStyle w:val="BodyText"/>
            </w:pPr>
            <w:r w:rsidRPr="007564DC">
              <w:t>37A</w:t>
            </w:r>
          </w:p>
        </w:tc>
        <w:tc>
          <w:tcPr>
            <w:tcW w:w="2410" w:type="dxa"/>
          </w:tcPr>
          <w:p w14:paraId="38F9BA5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Is the facility under the credit agreement fixed-sum or running-account?</w:t>
            </w:r>
          </w:p>
        </w:tc>
        <w:tc>
          <w:tcPr>
            <w:tcW w:w="2126" w:type="dxa"/>
          </w:tcPr>
          <w:p w14:paraId="5F6DE2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"FS = Fixed-sum credit</w:t>
            </w:r>
          </w:p>
          <w:p w14:paraId="159A659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RA = Running-account credit"</w:t>
            </w:r>
          </w:p>
        </w:tc>
        <w:tc>
          <w:tcPr>
            <w:tcW w:w="3963" w:type="dxa"/>
          </w:tcPr>
          <w:p w14:paraId="5F3733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3C689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FS: Fixed-sum credit</w:t>
            </w:r>
          </w:p>
          <w:p w14:paraId="529223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includes a facility whereby the borrower(s) is enabled to receive credit (whether in one amount or by instalments) but which is not running-account credit.</w:t>
            </w:r>
          </w:p>
          <w:p w14:paraId="4B6A26E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RA: Running-account credit</w:t>
            </w:r>
          </w:p>
          <w:p w14:paraId="4263F1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regulated credit agreement includes a facility under which the borrower(s) or another person is enabled to receive from </w:t>
            </w:r>
            <w:r>
              <w:lastRenderedPageBreak/>
              <w:t>time to time from the reporting firm or a third party cash, goods or services to an amount or value such that, taking into account payments made by or to the credit of the borrower(s), the credit limit (if any) is not at any time exceeded."</w:t>
            </w:r>
          </w:p>
        </w:tc>
      </w:tr>
      <w:tr w:rsidR="00095E11" w14:paraId="1B5AC72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0FD6D60" w14:textId="77777777" w:rsidR="00095E11" w:rsidRPr="00F21C76" w:rsidRDefault="00095E11" w:rsidP="008D651F">
            <w:pPr>
              <w:pStyle w:val="BodyText"/>
            </w:pPr>
            <w:r w:rsidRPr="007564DC">
              <w:lastRenderedPageBreak/>
              <w:t>38A</w:t>
            </w:r>
          </w:p>
        </w:tc>
        <w:tc>
          <w:tcPr>
            <w:tcW w:w="2410" w:type="dxa"/>
          </w:tcPr>
          <w:p w14:paraId="5559D9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How can the running-account credit be used?</w:t>
            </w:r>
          </w:p>
        </w:tc>
        <w:tc>
          <w:tcPr>
            <w:tcW w:w="2126" w:type="dxa"/>
          </w:tcPr>
          <w:p w14:paraId="72FB38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Linked to a payment network</w:t>
            </w:r>
          </w:p>
          <w:p w14:paraId="2AB58C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Running-account credit to pay for periodic premiums or fees only</w:t>
            </w:r>
          </w:p>
          <w:p w14:paraId="11EE5A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Retail revolving credit</w:t>
            </w:r>
          </w:p>
          <w:p w14:paraId="001351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Money transfers only</w:t>
            </w:r>
          </w:p>
          <w:p w14:paraId="003A8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6072DEF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1E1AF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A0939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Linked to a payment network</w:t>
            </w:r>
          </w:p>
          <w:p w14:paraId="0EFA02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with a facility which allows drawdowns for transactions with any person in a payment network, such as MasterCard and Visa. This includes credit cards.</w:t>
            </w:r>
          </w:p>
          <w:p w14:paraId="284A29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3426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 regulated credit agreement which also allows other types of drawdowns.</w:t>
            </w:r>
          </w:p>
          <w:p w14:paraId="2BAB41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0F1B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a regulated credit agreement which has a brand associated with a particular supplier(s), or promotions in relation to a specific supplier(s), but the facility allows drawdowns with any person in a payment network.</w:t>
            </w:r>
          </w:p>
          <w:p w14:paraId="32ADCE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0CF221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Running-account credit to pay for periodic premiums or fees only</w:t>
            </w:r>
          </w:p>
          <w:p w14:paraId="355C35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running-account credit, the main purpose of which is to allow the borrower(s) to finance periodic premiums or fees.</w:t>
            </w:r>
          </w:p>
          <w:p w14:paraId="2D6A67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60B57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be selected even if additional drawdowns can be made as long as these drawdowns are not the main purpose of the agreement."</w:t>
            </w:r>
          </w:p>
          <w:p w14:paraId="5C31AD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Retail revolving credit</w:t>
            </w:r>
          </w:p>
          <w:p w14:paraId="78C898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retail revolving credit, other than a regulated credit agreement which is described by ‘B: Running-account credit to pay for periodic premiums or fees only’.</w:t>
            </w:r>
          </w:p>
          <w:p w14:paraId="429BAC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D: Money transfers only</w:t>
            </w:r>
          </w:p>
          <w:p w14:paraId="694789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only allows drawdowns to transfer money to a bank account or an electronic money account.</w:t>
            </w:r>
          </w:p>
          <w:p w14:paraId="7873B4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9F164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is not one of the specific options above.</w:t>
            </w:r>
          </w:p>
          <w:p w14:paraId="0CAA8D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5FB78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specific options above."</w:t>
            </w:r>
          </w:p>
        </w:tc>
      </w:tr>
      <w:tr w:rsidR="00095E11" w14:paraId="1C15EA1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4981A90" w14:textId="77777777" w:rsidR="00095E11" w:rsidRPr="00F21C76" w:rsidRDefault="00095E11" w:rsidP="008D651F">
            <w:pPr>
              <w:pStyle w:val="BodyText"/>
            </w:pPr>
            <w:r w:rsidRPr="007564DC">
              <w:lastRenderedPageBreak/>
              <w:t>39A</w:t>
            </w:r>
          </w:p>
        </w:tc>
        <w:tc>
          <w:tcPr>
            <w:tcW w:w="2410" w:type="dxa"/>
          </w:tcPr>
          <w:p w14:paraId="5A3FBA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564DC">
              <w:t>Payment network</w:t>
            </w:r>
          </w:p>
        </w:tc>
        <w:tc>
          <w:tcPr>
            <w:tcW w:w="2126" w:type="dxa"/>
          </w:tcPr>
          <w:p w14:paraId="59E40A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Mastercard</w:t>
            </w:r>
          </w:p>
          <w:p w14:paraId="1C7DB1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Visa</w:t>
            </w:r>
          </w:p>
          <w:p w14:paraId="1D0ACE9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tc>
        <w:tc>
          <w:tcPr>
            <w:tcW w:w="3963" w:type="dxa"/>
          </w:tcPr>
          <w:p w14:paraId="42A3AC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19C3">
              <w:t>The payment network, such as MasterCard and Visa, that the running-account credit is linked to.</w:t>
            </w:r>
          </w:p>
        </w:tc>
      </w:tr>
      <w:tr w:rsidR="00095E11" w14:paraId="0F736BC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C1CE85" w14:textId="77777777" w:rsidR="00095E11" w:rsidRPr="00F21C76" w:rsidRDefault="00095E11" w:rsidP="008D651F">
            <w:pPr>
              <w:pStyle w:val="BodyText"/>
            </w:pPr>
            <w:r w:rsidRPr="00246F7B">
              <w:t>40A</w:t>
            </w:r>
          </w:p>
        </w:tc>
        <w:tc>
          <w:tcPr>
            <w:tcW w:w="2410" w:type="dxa"/>
          </w:tcPr>
          <w:p w14:paraId="191C823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46F7B">
              <w:t>With which suppliers can the running-account credit be used?</w:t>
            </w:r>
          </w:p>
        </w:tc>
        <w:tc>
          <w:tcPr>
            <w:tcW w:w="2126" w:type="dxa"/>
          </w:tcPr>
          <w:p w14:paraId="75BC06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Reporting firm only</w:t>
            </w:r>
          </w:p>
          <w:p w14:paraId="494FF9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Single supplier other than the reporting firm</w:t>
            </w:r>
          </w:p>
          <w:p w14:paraId="1C12B6C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More than one supplier"</w:t>
            </w:r>
          </w:p>
        </w:tc>
        <w:tc>
          <w:tcPr>
            <w:tcW w:w="3963" w:type="dxa"/>
          </w:tcPr>
          <w:p w14:paraId="14F9B8B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3043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Reporting firm only</w:t>
            </w:r>
          </w:p>
          <w:p w14:paraId="15AB00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only be made for purchases from the reporting firm.</w:t>
            </w:r>
          </w:p>
          <w:p w14:paraId="5C408A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Single supplier other than the reporting firm</w:t>
            </w:r>
          </w:p>
          <w:p w14:paraId="330928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only be made for purchases from a single supplier who is not the reporting firm.</w:t>
            </w:r>
          </w:p>
          <w:p w14:paraId="017660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More than one supplier</w:t>
            </w:r>
          </w:p>
          <w:p w14:paraId="356F71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can be made for purchases from more than one supplier."</w:t>
            </w:r>
          </w:p>
        </w:tc>
      </w:tr>
      <w:tr w:rsidR="00095E11" w14:paraId="1652729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FB1AFE" w14:textId="77777777" w:rsidR="00095E11" w:rsidRPr="00F21C76" w:rsidRDefault="00095E11" w:rsidP="008D651F">
            <w:pPr>
              <w:pStyle w:val="BodyText"/>
            </w:pPr>
            <w:r w:rsidRPr="00246F7B">
              <w:t>41A</w:t>
            </w:r>
          </w:p>
        </w:tc>
        <w:tc>
          <w:tcPr>
            <w:tcW w:w="2410" w:type="dxa"/>
          </w:tcPr>
          <w:p w14:paraId="114770B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46F7B">
              <w:t>Regulatory status of the supplier in respect of whom the running-account credit applies</w:t>
            </w:r>
          </w:p>
        </w:tc>
        <w:tc>
          <w:tcPr>
            <w:tcW w:w="2126" w:type="dxa"/>
          </w:tcPr>
          <w:p w14:paraId="7CBC12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562408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3F69D7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Supplier was the credit broker</w:t>
            </w:r>
          </w:p>
          <w:p w14:paraId="5A8D87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02A167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Supplier regulatory status unknown</w:t>
            </w:r>
          </w:p>
          <w:p w14:paraId="04FE018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Z2 = Supplier unknown"</w:t>
            </w:r>
          </w:p>
        </w:tc>
        <w:tc>
          <w:tcPr>
            <w:tcW w:w="3963" w:type="dxa"/>
          </w:tcPr>
          <w:p w14:paraId="1F8E70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should reflect the regulatory status of the single supplier with whom the running-account credit agreement can be used as on the date the regulated credit agreement was executed.</w:t>
            </w:r>
          </w:p>
          <w:p w14:paraId="36841C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3549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860C1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62F176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supplier was an authorised person and/or acting as an appointed representative. The supplier is not </w:t>
            </w:r>
            <w:r>
              <w:lastRenderedPageBreak/>
              <w:t>the person reported as the credit broker for the regulated credit agreement. The FRN of the supplier is known by the reporting firm.</w:t>
            </w:r>
          </w:p>
          <w:p w14:paraId="644FDF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673C8B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authorised person and/or acting as an appointed representative. The supplier is not the person reported as the credit broker for the regulated credit agreement. The FRN of the supplier is not known by the reporting firm.</w:t>
            </w:r>
          </w:p>
          <w:p w14:paraId="18BCF0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Supplier was the credit broker</w:t>
            </w:r>
          </w:p>
          <w:p w14:paraId="237437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is the person reported as the credit broker for the regulated credit agreement.</w:t>
            </w:r>
          </w:p>
          <w:p w14:paraId="3C7F1D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7394D2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not an authorised person and was not acting as an appointed representative.</w:t>
            </w:r>
          </w:p>
          <w:p w14:paraId="2F6F2B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Supplier regulatory status unknown</w:t>
            </w:r>
          </w:p>
          <w:p w14:paraId="56F5BC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supplier.</w:t>
            </w:r>
          </w:p>
          <w:p w14:paraId="2C4B8A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Supplier unknown</w:t>
            </w:r>
          </w:p>
          <w:p w14:paraId="690595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who the supplier is."</w:t>
            </w:r>
          </w:p>
        </w:tc>
      </w:tr>
      <w:tr w:rsidR="00095E11" w14:paraId="6F0B9C0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401B1C9" w14:textId="77777777" w:rsidR="00095E11" w:rsidRPr="00F21C76" w:rsidRDefault="00095E11" w:rsidP="008D651F">
            <w:pPr>
              <w:pStyle w:val="BodyText"/>
            </w:pPr>
            <w:r w:rsidRPr="007E23F7">
              <w:lastRenderedPageBreak/>
              <w:t>42A</w:t>
            </w:r>
          </w:p>
        </w:tc>
        <w:tc>
          <w:tcPr>
            <w:tcW w:w="2410" w:type="dxa"/>
          </w:tcPr>
          <w:p w14:paraId="000E640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Running-account credit supplier FRN</w:t>
            </w:r>
          </w:p>
        </w:tc>
        <w:tc>
          <w:tcPr>
            <w:tcW w:w="2126" w:type="dxa"/>
          </w:tcPr>
          <w:p w14:paraId="432146A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6 or 7 digit number</w:t>
            </w:r>
          </w:p>
        </w:tc>
        <w:tc>
          <w:tcPr>
            <w:tcW w:w="3963" w:type="dxa"/>
          </w:tcPr>
          <w:p w14:paraId="6E9F44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C0992">
              <w:t>The FRN of the single person other than the reporting firm for whom drawdowns for purchases can be made (the running-account credit supplier) as on the date the regulated credit agreement was executed.</w:t>
            </w:r>
          </w:p>
        </w:tc>
      </w:tr>
      <w:tr w:rsidR="00095E11" w14:paraId="627026C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B6DADF5" w14:textId="77777777" w:rsidR="00095E11" w:rsidRPr="00F21C76" w:rsidRDefault="00095E11" w:rsidP="008D651F">
            <w:pPr>
              <w:pStyle w:val="BodyText"/>
            </w:pPr>
            <w:r w:rsidRPr="007E23F7">
              <w:t>43A</w:t>
            </w:r>
          </w:p>
        </w:tc>
        <w:tc>
          <w:tcPr>
            <w:tcW w:w="2410" w:type="dxa"/>
          </w:tcPr>
          <w:p w14:paraId="29B75BC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Running-account credit supplier name</w:t>
            </w:r>
          </w:p>
        </w:tc>
        <w:tc>
          <w:tcPr>
            <w:tcW w:w="2126" w:type="dxa"/>
          </w:tcPr>
          <w:p w14:paraId="7A47ED7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E23F7">
              <w:t>Alphanumeric</w:t>
            </w:r>
          </w:p>
        </w:tc>
        <w:tc>
          <w:tcPr>
            <w:tcW w:w="3963" w:type="dxa"/>
          </w:tcPr>
          <w:p w14:paraId="346D5C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C0992">
              <w:t>The name of the supplier in respect of the running-account credit as on the date the regulated credit agreement was executed.</w:t>
            </w:r>
          </w:p>
        </w:tc>
      </w:tr>
      <w:tr w:rsidR="00095E11" w14:paraId="1F77F0E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8C568C" w14:textId="77777777" w:rsidR="00095E11" w:rsidRPr="00F21C76" w:rsidRDefault="00095E11" w:rsidP="008D651F">
            <w:pPr>
              <w:pStyle w:val="BodyText"/>
            </w:pPr>
            <w:r w:rsidRPr="00480ADE">
              <w:t>44A</w:t>
            </w:r>
          </w:p>
        </w:tc>
        <w:tc>
          <w:tcPr>
            <w:tcW w:w="2410" w:type="dxa"/>
          </w:tcPr>
          <w:p w14:paraId="39E0D97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Is the agreement a BNPL agreement?</w:t>
            </w:r>
          </w:p>
        </w:tc>
        <w:tc>
          <w:tcPr>
            <w:tcW w:w="2126" w:type="dxa"/>
          </w:tcPr>
          <w:p w14:paraId="0203118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AC35DF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3F816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62042">
              <w:t>Whether the regulated credit agreement meets the criteria of a BNPL agreement.</w:t>
            </w:r>
          </w:p>
        </w:tc>
      </w:tr>
      <w:tr w:rsidR="00095E11" w14:paraId="22E5283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762847F" w14:textId="77777777" w:rsidR="00095E11" w:rsidRPr="00F21C76" w:rsidRDefault="00095E11" w:rsidP="008D651F">
            <w:pPr>
              <w:pStyle w:val="BodyText"/>
            </w:pPr>
            <w:r w:rsidRPr="00480ADE">
              <w:lastRenderedPageBreak/>
              <w:t>45A</w:t>
            </w:r>
          </w:p>
        </w:tc>
        <w:tc>
          <w:tcPr>
            <w:tcW w:w="2410" w:type="dxa"/>
          </w:tcPr>
          <w:p w14:paraId="7981D22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Type of periodic premiums or fees</w:t>
            </w:r>
          </w:p>
        </w:tc>
        <w:tc>
          <w:tcPr>
            <w:tcW w:w="2126" w:type="dxa"/>
          </w:tcPr>
          <w:p w14:paraId="046810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Insurance premiums only</w:t>
            </w:r>
          </w:p>
          <w:p w14:paraId="273E07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Any other combination of premiums and fees</w:t>
            </w:r>
          </w:p>
          <w:p w14:paraId="11BE9F0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8E717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48BA1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Insurance premiums only</w:t>
            </w:r>
          </w:p>
          <w:p w14:paraId="6BBC9D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intended to be used to finance premiums for general insurance contracts only.</w:t>
            </w:r>
          </w:p>
          <w:p w14:paraId="3DE5B0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Any other combination of premiums and fees</w:t>
            </w:r>
          </w:p>
          <w:p w14:paraId="2FBA3F4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not limited to finance premiums for general insurance contracts only.</w:t>
            </w:r>
          </w:p>
          <w:p w14:paraId="1719F0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591F5A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specific options above."</w:t>
            </w:r>
          </w:p>
        </w:tc>
      </w:tr>
      <w:tr w:rsidR="00095E11" w14:paraId="3F1043D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C436E69" w14:textId="77777777" w:rsidR="00095E11" w:rsidRPr="00F21C76" w:rsidRDefault="00095E11" w:rsidP="008D651F">
            <w:pPr>
              <w:pStyle w:val="BodyText"/>
            </w:pPr>
            <w:r w:rsidRPr="00480ADE">
              <w:t>46A</w:t>
            </w:r>
          </w:p>
        </w:tc>
        <w:tc>
          <w:tcPr>
            <w:tcW w:w="2410" w:type="dxa"/>
          </w:tcPr>
          <w:p w14:paraId="51EF9C1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Is the agreement a borrower-lender agreement or a borrower-lender-supplier agreement?</w:t>
            </w:r>
          </w:p>
        </w:tc>
        <w:tc>
          <w:tcPr>
            <w:tcW w:w="2126" w:type="dxa"/>
          </w:tcPr>
          <w:p w14:paraId="704418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Borrower-lender</w:t>
            </w:r>
          </w:p>
          <w:p w14:paraId="7F69703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Borrower-lender-supplier"</w:t>
            </w:r>
          </w:p>
        </w:tc>
        <w:tc>
          <w:tcPr>
            <w:tcW w:w="3963" w:type="dxa"/>
          </w:tcPr>
          <w:p w14:paraId="0B0333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4CCDB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Borrower-lender</w:t>
            </w:r>
          </w:p>
          <w:p w14:paraId="121AAE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borrower-lender agreement.</w:t>
            </w:r>
          </w:p>
          <w:p w14:paraId="24943E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Borrower-lender-supplier</w:t>
            </w:r>
          </w:p>
          <w:p w14:paraId="663FF7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borrower-lender-supplier agreement."</w:t>
            </w:r>
          </w:p>
        </w:tc>
      </w:tr>
      <w:tr w:rsidR="00095E11" w14:paraId="0B5B0FA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E064BD7" w14:textId="77777777" w:rsidR="00095E11" w:rsidRPr="00F21C76" w:rsidRDefault="00095E11" w:rsidP="008D651F">
            <w:pPr>
              <w:pStyle w:val="BodyText"/>
            </w:pPr>
            <w:r w:rsidRPr="00480ADE">
              <w:t>47A</w:t>
            </w:r>
          </w:p>
        </w:tc>
        <w:tc>
          <w:tcPr>
            <w:tcW w:w="2410" w:type="dxa"/>
          </w:tcPr>
          <w:p w14:paraId="029869A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80ADE">
              <w:t>Supplier regulatory status</w:t>
            </w:r>
          </w:p>
        </w:tc>
        <w:tc>
          <w:tcPr>
            <w:tcW w:w="2126" w:type="dxa"/>
          </w:tcPr>
          <w:p w14:paraId="2C1ABA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Regulated – FRN known</w:t>
            </w:r>
          </w:p>
          <w:p w14:paraId="188424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Regulated – FRN unknown</w:t>
            </w:r>
          </w:p>
          <w:p w14:paraId="207FC4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Supplier was the credit broker</w:t>
            </w:r>
          </w:p>
          <w:p w14:paraId="60942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Supplier was the reporting firm</w:t>
            </w:r>
          </w:p>
          <w:p w14:paraId="2F30AF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Not regulated</w:t>
            </w:r>
          </w:p>
          <w:p w14:paraId="79DBB4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 Supplier regulatory status unknown</w:t>
            </w:r>
          </w:p>
          <w:p w14:paraId="7C956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 Supplier unknown"</w:t>
            </w:r>
          </w:p>
        </w:tc>
        <w:tc>
          <w:tcPr>
            <w:tcW w:w="3963" w:type="dxa"/>
          </w:tcPr>
          <w:p w14:paraId="0BB5FF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regulatory status of the person who acted as ‘the supplier’ under the borrower-lender-supplier agreement when the regulated credit agreement was executed.</w:t>
            </w:r>
          </w:p>
          <w:p w14:paraId="600E34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C0ACF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reporting firm is not the original lender for the regulated credit agreement, this should reflect the regulatory status of the person who acted as ‘the supplier’ under the borrower-lender-supplier agreement as on the date of the novation or when the legal ownership of the regulated credit agreement was assigned to the reporting firm.</w:t>
            </w:r>
          </w:p>
          <w:p w14:paraId="65CCA6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71330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Enter the relevant code:</w:t>
            </w:r>
          </w:p>
          <w:p w14:paraId="3636C3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Regulated – FRN known</w:t>
            </w:r>
          </w:p>
          <w:p w14:paraId="6DF165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authorised person and/or acting as an appointed representative. The supplier is not the reporting firm and is not the person reported as the credit broker for the regulated credit agreement. The FRN of the supplier is known by the reporting firm.</w:t>
            </w:r>
          </w:p>
          <w:p w14:paraId="60D2D1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Regulated – FRN unknown</w:t>
            </w:r>
          </w:p>
          <w:p w14:paraId="12C3D8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an authorised person and/or acting as an appointed representative. The supplier is not the reporting firm and is not the person reported as the credit broker for the regulated credit agreement. The FRN of the supplier is not known by the reporting firm."</w:t>
            </w:r>
          </w:p>
          <w:p w14:paraId="7E613EA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Supplier was the credit broker</w:t>
            </w:r>
          </w:p>
          <w:p w14:paraId="73AEB6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the person reported as the credit broker for the regulated credit agreement.</w:t>
            </w:r>
          </w:p>
          <w:p w14:paraId="1095D7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Supplier was the reporting firm</w:t>
            </w:r>
          </w:p>
          <w:p w14:paraId="5F72CC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the reporting firm.</w:t>
            </w:r>
          </w:p>
          <w:p w14:paraId="522942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Not regulated</w:t>
            </w:r>
          </w:p>
          <w:p w14:paraId="13F0AA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supplier was not an authorised person and was not acting as an appointed representative.</w:t>
            </w:r>
          </w:p>
          <w:p w14:paraId="12D3DD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Z1: Supplier regulatory status unknown</w:t>
            </w:r>
          </w:p>
          <w:p w14:paraId="64E8F9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regulatory status of the supplier.</w:t>
            </w:r>
          </w:p>
          <w:p w14:paraId="58B838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Z2: Supplier unknown</w:t>
            </w:r>
          </w:p>
          <w:p w14:paraId="2E5B9B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who the supplier was."</w:t>
            </w:r>
          </w:p>
        </w:tc>
      </w:tr>
      <w:tr w:rsidR="00095E11" w14:paraId="16DD777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F74BBF5" w14:textId="77777777" w:rsidR="00095E11" w:rsidRPr="00F21C76" w:rsidRDefault="00095E11" w:rsidP="008D651F">
            <w:pPr>
              <w:pStyle w:val="BodyText"/>
            </w:pPr>
            <w:r w:rsidRPr="00115461">
              <w:lastRenderedPageBreak/>
              <w:t>48A</w:t>
            </w:r>
          </w:p>
        </w:tc>
        <w:tc>
          <w:tcPr>
            <w:tcW w:w="2410" w:type="dxa"/>
          </w:tcPr>
          <w:p w14:paraId="7C5B7F9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Supplier FRN</w:t>
            </w:r>
          </w:p>
        </w:tc>
        <w:tc>
          <w:tcPr>
            <w:tcW w:w="2126" w:type="dxa"/>
          </w:tcPr>
          <w:p w14:paraId="5D3BB38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6 or 7 digit number</w:t>
            </w:r>
          </w:p>
        </w:tc>
        <w:tc>
          <w:tcPr>
            <w:tcW w:w="3963" w:type="dxa"/>
          </w:tcPr>
          <w:p w14:paraId="566327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FRN of the person who acted as ‘the supplier’ under the borrower-lender-supplier agreement as on the date the regulated credit agreement was executed.</w:t>
            </w:r>
          </w:p>
          <w:p w14:paraId="34FD6A1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8DB79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If the reporting firm is not the original lender for the regulated credit agreement, this should reflect the FRN of the person who acted as ‘the supplier’ under the borrower-lender-supplier agreement as on the date of the novation or when the legal ownership of the regulated credit agreement was assigned to the reporting firm."</w:t>
            </w:r>
          </w:p>
        </w:tc>
      </w:tr>
      <w:tr w:rsidR="00095E11" w14:paraId="7B08E18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93C9B3F" w14:textId="77777777" w:rsidR="00095E11" w:rsidRPr="00F21C76" w:rsidRDefault="00095E11" w:rsidP="008D651F">
            <w:pPr>
              <w:pStyle w:val="BodyText"/>
            </w:pPr>
            <w:r w:rsidRPr="00115461">
              <w:lastRenderedPageBreak/>
              <w:t>49A</w:t>
            </w:r>
          </w:p>
        </w:tc>
        <w:tc>
          <w:tcPr>
            <w:tcW w:w="2410" w:type="dxa"/>
          </w:tcPr>
          <w:p w14:paraId="351C8E4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Supplier name</w:t>
            </w:r>
          </w:p>
        </w:tc>
        <w:tc>
          <w:tcPr>
            <w:tcW w:w="2126" w:type="dxa"/>
          </w:tcPr>
          <w:p w14:paraId="238A7A0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61">
              <w:t>Alphanumeric</w:t>
            </w:r>
          </w:p>
        </w:tc>
        <w:tc>
          <w:tcPr>
            <w:tcW w:w="3963" w:type="dxa"/>
          </w:tcPr>
          <w:p w14:paraId="127848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name of the person who acted as ‘the supplier’ under the borrower-lender-supplier agreement as on the date the regulated credit agreement was executed.</w:t>
            </w:r>
          </w:p>
          <w:p w14:paraId="2B879D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6EE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reporting firm is not the original lender for the regulated credit agreement, this should reflect the name of the person who acted as ‘the supplier’ under the borrower-lender-supplier agreement as on the date of the novation or when the legal ownership of the regulated credit agreement was assigned to the reporting firm."</w:t>
            </w:r>
          </w:p>
        </w:tc>
      </w:tr>
      <w:tr w:rsidR="00095E11" w14:paraId="1C339A0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EC053C8" w14:textId="77777777" w:rsidR="00095E11" w:rsidRPr="00F21C76" w:rsidRDefault="00095E11" w:rsidP="008D651F">
            <w:pPr>
              <w:pStyle w:val="BodyText"/>
            </w:pPr>
            <w:r w:rsidRPr="00BF1EB9">
              <w:t>50A</w:t>
            </w:r>
          </w:p>
        </w:tc>
        <w:tc>
          <w:tcPr>
            <w:tcW w:w="2410" w:type="dxa"/>
          </w:tcPr>
          <w:p w14:paraId="535AD66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F1EB9">
              <w:t>Is the agreement one of these specific contract types?</w:t>
            </w:r>
          </w:p>
        </w:tc>
        <w:tc>
          <w:tcPr>
            <w:tcW w:w="2126" w:type="dxa"/>
          </w:tcPr>
          <w:p w14:paraId="5EE10B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Hire-purchase agreement</w:t>
            </w:r>
          </w:p>
          <w:p w14:paraId="7A7C9F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Conditional sale agreement</w:t>
            </w:r>
          </w:p>
          <w:p w14:paraId="1A09B4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Pawn agreement</w:t>
            </w:r>
          </w:p>
          <w:p w14:paraId="01525FB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Bill of sale loan agreement</w:t>
            </w:r>
          </w:p>
          <w:p w14:paraId="502DE3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Green deal plan</w:t>
            </w:r>
          </w:p>
          <w:p w14:paraId="0B784D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 contract types</w:t>
            </w:r>
          </w:p>
          <w:p w14:paraId="213CC14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2CF88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EA60A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Hire-purchase agreement</w:t>
            </w:r>
          </w:p>
          <w:p w14:paraId="22EC65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hire-purchase agreement.</w:t>
            </w:r>
          </w:p>
          <w:p w14:paraId="61EE6E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Conditional sale agreement</w:t>
            </w:r>
          </w:p>
          <w:p w14:paraId="1318EE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conditional sale agreement.</w:t>
            </w:r>
          </w:p>
          <w:p w14:paraId="3E8E87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Pawn agreement</w:t>
            </w:r>
          </w:p>
          <w:p w14:paraId="7CE15B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for which the lender takes any article in pawn.</w:t>
            </w:r>
          </w:p>
          <w:p w14:paraId="6C9002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Bill of sale loan agreement</w:t>
            </w:r>
          </w:p>
          <w:p w14:paraId="6BC3FC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bill of sale loan agreement.</w:t>
            </w:r>
          </w:p>
          <w:p w14:paraId="58B39C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Green deal plan</w:t>
            </w:r>
          </w:p>
          <w:p w14:paraId="7D7FE6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also meets the criteria of a green deal plan.</w:t>
            </w:r>
          </w:p>
          <w:p w14:paraId="2EBE77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 contract types</w:t>
            </w:r>
          </w:p>
          <w:p w14:paraId="5BF607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regulated credit agreement which is not one of any of the above contract types.</w:t>
            </w:r>
          </w:p>
          <w:p w14:paraId="0883BB2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0AF32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above contract types."</w:t>
            </w:r>
          </w:p>
        </w:tc>
      </w:tr>
      <w:tr w:rsidR="00095E11" w14:paraId="6DEEE9E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A8BE9C" w14:textId="77777777" w:rsidR="00095E11" w:rsidRPr="00F21C76" w:rsidRDefault="00095E11" w:rsidP="008D651F">
            <w:pPr>
              <w:pStyle w:val="BodyText"/>
            </w:pPr>
            <w:r w:rsidRPr="00BF1EB9">
              <w:lastRenderedPageBreak/>
              <w:t>51A</w:t>
            </w:r>
          </w:p>
        </w:tc>
        <w:tc>
          <w:tcPr>
            <w:tcW w:w="2410" w:type="dxa"/>
          </w:tcPr>
          <w:p w14:paraId="1EA525C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F1EB9">
              <w:t>Does the agreement meet the criteria of one of these agreement types as defined in the FCA Handbook?</w:t>
            </w:r>
          </w:p>
        </w:tc>
        <w:tc>
          <w:tcPr>
            <w:tcW w:w="2126" w:type="dxa"/>
          </w:tcPr>
          <w:p w14:paraId="40A681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High-cost short-term credit</w:t>
            </w:r>
          </w:p>
          <w:p w14:paraId="4EC056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Home credit loan agreement</w:t>
            </w:r>
          </w:p>
          <w:p w14:paraId="43CD76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RTO agreement</w:t>
            </w:r>
          </w:p>
          <w:p w14:paraId="3C3754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BNPL agreement</w:t>
            </w:r>
          </w:p>
          <w:p w14:paraId="31ABC2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None of these FCA Handbook definitions</w:t>
            </w:r>
          </w:p>
          <w:p w14:paraId="2562142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EACFB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D47D8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High-cost short-term credit</w:t>
            </w:r>
          </w:p>
          <w:p w14:paraId="1845D6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high-cost short-term credit.</w:t>
            </w:r>
          </w:p>
          <w:p w14:paraId="4A3B8E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Home credit loan agreement</w:t>
            </w:r>
          </w:p>
          <w:p w14:paraId="69CF3E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home credit loan agreement.</w:t>
            </w:r>
          </w:p>
          <w:p w14:paraId="4EAF9A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RTO agreement</w:t>
            </w:r>
          </w:p>
          <w:p w14:paraId="41D50A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an RTO agreement as set out in CONC 5B.7.1R(7). Note that, while similar, this is not the same as the criteria for a rent-to-own agreement.</w:t>
            </w:r>
          </w:p>
          <w:p w14:paraId="24F7C7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BNPL agreement</w:t>
            </w:r>
          </w:p>
          <w:p w14:paraId="50B973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meets the criteria of a BNPL agreement.</w:t>
            </w:r>
          </w:p>
          <w:p w14:paraId="758135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None of these FCA Handbook definitions</w:t>
            </w:r>
          </w:p>
          <w:p w14:paraId="78E33C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is not one of any of the above agreement types.</w:t>
            </w:r>
          </w:p>
          <w:p w14:paraId="408653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7C3DE7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regulated credit agreement which the reporting firm cannot determine to be one of the above agreement types."</w:t>
            </w:r>
          </w:p>
        </w:tc>
      </w:tr>
      <w:tr w:rsidR="00095E11" w14:paraId="3158FF4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19083DD" w14:textId="77777777" w:rsidR="00095E11" w:rsidRPr="00F21C76" w:rsidRDefault="00095E11" w:rsidP="008D651F">
            <w:pPr>
              <w:pStyle w:val="BodyText"/>
            </w:pPr>
            <w:r w:rsidRPr="00DD38C1">
              <w:t>52A</w:t>
            </w:r>
          </w:p>
        </w:tc>
        <w:tc>
          <w:tcPr>
            <w:tcW w:w="2410" w:type="dxa"/>
          </w:tcPr>
          <w:p w14:paraId="201F5E4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D38C1">
              <w:t>End date of promotional period for BNPL credit</w:t>
            </w:r>
          </w:p>
        </w:tc>
        <w:tc>
          <w:tcPr>
            <w:tcW w:w="2126" w:type="dxa"/>
          </w:tcPr>
          <w:p w14:paraId="6E70649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75EE">
              <w:t>DD/MM/YYYY</w:t>
            </w:r>
          </w:p>
        </w:tc>
        <w:tc>
          <w:tcPr>
            <w:tcW w:w="3963" w:type="dxa"/>
          </w:tcPr>
          <w:p w14:paraId="68D0E7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75EE">
              <w:t>The end date of the promotional period for the BNPL credit.</w:t>
            </w:r>
          </w:p>
        </w:tc>
      </w:tr>
      <w:tr w:rsidR="00095E11" w14:paraId="576D40F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465143" w14:textId="77777777" w:rsidR="00095E11" w:rsidRPr="00F21C76" w:rsidRDefault="00095E11" w:rsidP="008D651F">
            <w:pPr>
              <w:pStyle w:val="BodyText"/>
            </w:pPr>
            <w:r w:rsidRPr="00DD38C1">
              <w:t>53A</w:t>
            </w:r>
          </w:p>
        </w:tc>
        <w:tc>
          <w:tcPr>
            <w:tcW w:w="2410" w:type="dxa"/>
          </w:tcPr>
          <w:p w14:paraId="2AA8449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D38C1">
              <w:t>Type of goods or services provided by the supplier financed by the agreement</w:t>
            </w:r>
          </w:p>
        </w:tc>
        <w:tc>
          <w:tcPr>
            <w:tcW w:w="2126" w:type="dxa"/>
          </w:tcPr>
          <w:p w14:paraId="145C39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Motor vehicles</w:t>
            </w:r>
          </w:p>
          <w:p w14:paraId="3107C2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Mobility aids</w:t>
            </w:r>
          </w:p>
          <w:p w14:paraId="11B81F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Home improvement</w:t>
            </w:r>
          </w:p>
          <w:p w14:paraId="5F9AC1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D = Mobile phones</w:t>
            </w:r>
          </w:p>
          <w:p w14:paraId="4EF4FC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Jewellery and watches</w:t>
            </w:r>
          </w:p>
          <w:p w14:paraId="27803B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Household goods</w:t>
            </w:r>
          </w:p>
          <w:p w14:paraId="7D828D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 Sports and leisure goods</w:t>
            </w:r>
          </w:p>
          <w:p w14:paraId="146BD4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 = Mobile homes</w:t>
            </w:r>
          </w:p>
          <w:p w14:paraId="07BD18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 = Agriculture equipment and supplies</w:t>
            </w:r>
          </w:p>
          <w:p w14:paraId="7C5BB7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J = Other plant machinery</w:t>
            </w:r>
          </w:p>
          <w:p w14:paraId="659D25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K = Office equipment</w:t>
            </w:r>
          </w:p>
          <w:p w14:paraId="58B7E0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 = Tools</w:t>
            </w:r>
          </w:p>
          <w:p w14:paraId="212AB0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 = Health care and medical care</w:t>
            </w:r>
          </w:p>
          <w:p w14:paraId="7DCAFA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Education and training</w:t>
            </w:r>
          </w:p>
          <w:p w14:paraId="6EE6E7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 = Travel</w:t>
            </w:r>
          </w:p>
          <w:p w14:paraId="2B5227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 Legal services</w:t>
            </w:r>
          </w:p>
          <w:p w14:paraId="09CE6C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Q = Insurance premiums</w:t>
            </w:r>
          </w:p>
          <w:p w14:paraId="4F2AC9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 = Membership and subscription fees</w:t>
            </w:r>
          </w:p>
          <w:p w14:paraId="377228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 Other goods</w:t>
            </w:r>
          </w:p>
          <w:p w14:paraId="319588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 Other services</w:t>
            </w:r>
          </w:p>
          <w:p w14:paraId="50A7A87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AF689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"If more than one type of goods or services are financed by the regulated credit agreement, the reporting firm should select the type of goods or services which accounted for the greatest portion of the total amount of credit.</w:t>
            </w:r>
          </w:p>
          <w:p w14:paraId="6EF7EE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88505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621ED2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844D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592730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vehicles</w:t>
            </w:r>
          </w:p>
          <w:p w14:paraId="2E536A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wheeled, mechanically propelled vehicle intended or adapted for use on roads.</w:t>
            </w:r>
          </w:p>
          <w:p w14:paraId="5122AE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Mobility aids</w:t>
            </w:r>
          </w:p>
          <w:p w14:paraId="3A7AD4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device designed to assist walking or otherwise improve the mobility of people with a mobility impairment.</w:t>
            </w:r>
          </w:p>
          <w:p w14:paraId="153DC9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E565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‘A: Motor vehicles’.</w:t>
            </w:r>
          </w:p>
          <w:p w14:paraId="513F87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Home improvement</w:t>
            </w:r>
          </w:p>
          <w:p w14:paraId="0D3CCC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Additions to, renovations of or repair of a residential property which involve professional services, including but not limited to installation.</w:t>
            </w:r>
          </w:p>
          <w:p w14:paraId="7083F6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8683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‘B: Mobility aids’, even if they involved professional installation.</w:t>
            </w:r>
          </w:p>
          <w:p w14:paraId="707EA0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Mobile phones</w:t>
            </w:r>
          </w:p>
          <w:p w14:paraId="44D8F8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Mobile phone handsets, smart watches and associated accessories.</w:t>
            </w:r>
          </w:p>
          <w:p w14:paraId="52CCAA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Jewellery and watches</w:t>
            </w:r>
          </w:p>
          <w:p w14:paraId="10B04A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‘D: Mobile phones’."</w:t>
            </w:r>
          </w:p>
          <w:p w14:paraId="56275B2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Household goods</w:t>
            </w:r>
          </w:p>
          <w:p w14:paraId="3EE1DA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Goods which are normally found in a residential home, including but not limited to furniture, kitchen appliances (such as cookers, washing machines and dryers, microwaves, refrigerators, and freezers), electronic and technological goods (such as vacuum cleaners, televisions and </w:t>
            </w:r>
            <w:r>
              <w:lastRenderedPageBreak/>
              <w:t>accessories, music systems and accessories, games consoles and accessories, computers, and tablets and accessories).</w:t>
            </w:r>
          </w:p>
          <w:p w14:paraId="7988B5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A898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‘B: Mobility aids’, ‘D: Mobile phones’, or ‘E: Jewellery and watches’.</w:t>
            </w:r>
          </w:p>
          <w:p w14:paraId="3AF59A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Sports and leisure goods</w:t>
            </w:r>
          </w:p>
          <w:p w14:paraId="7B3824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used primarily for sports or leisure.</w:t>
            </w:r>
          </w:p>
          <w:p w14:paraId="33D8D7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 Mobile homes</w:t>
            </w:r>
          </w:p>
          <w:p w14:paraId="20C226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Static caravans, park homes and lodges which can be transported from place to place.</w:t>
            </w:r>
          </w:p>
          <w:p w14:paraId="5340F7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 Agriculture equipment and supplies</w:t>
            </w:r>
          </w:p>
          <w:p w14:paraId="7E5B3C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intended to be used for agricultural purposes.</w:t>
            </w:r>
          </w:p>
          <w:p w14:paraId="0D3969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J: Other plant machinery</w:t>
            </w:r>
          </w:p>
          <w:p w14:paraId="6E88C8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‘I: Agriculture equipment and supplies’.</w:t>
            </w:r>
          </w:p>
          <w:p w14:paraId="107131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K: Office equipment</w:t>
            </w:r>
          </w:p>
          <w:p w14:paraId="6192A9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which are normally found in a commercial office.</w:t>
            </w:r>
          </w:p>
          <w:p w14:paraId="527F5D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 Tools</w:t>
            </w:r>
          </w:p>
          <w:p w14:paraId="7B41BB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Handheld tools.</w:t>
            </w:r>
          </w:p>
          <w:p w14:paraId="23B8CA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34186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goods covered by ‘I: Agriculture equipment and supplies’, ‘J: Other plant machinery’, or ‘K: Office equipment’."</w:t>
            </w:r>
          </w:p>
          <w:p w14:paraId="03BFC61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"M: Health care and medical care</w:t>
            </w:r>
          </w:p>
          <w:p w14:paraId="6F1E0F8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Health care and medical care procedures, and equipment associated with health care and medical care.</w:t>
            </w:r>
          </w:p>
          <w:p w14:paraId="6F46BC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7B384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procedures carried out for cosmetic purposes.</w:t>
            </w:r>
          </w:p>
          <w:p w14:paraId="0CE7A1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Education and training</w:t>
            </w:r>
          </w:p>
          <w:p w14:paraId="2D2D18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Fees for education and training, and any living costs associated with education and training.</w:t>
            </w:r>
          </w:p>
          <w:p w14:paraId="3624139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 Travel</w:t>
            </w:r>
          </w:p>
          <w:p w14:paraId="2110BA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Services relating to travelling or the making of travel arrangements.</w:t>
            </w:r>
          </w:p>
          <w:p w14:paraId="19C382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 Legal services</w:t>
            </w:r>
          </w:p>
          <w:p w14:paraId="7C762C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Legal services associated with litigation.</w:t>
            </w:r>
          </w:p>
          <w:p w14:paraId="5C9633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Q: Insurance premiums</w:t>
            </w:r>
          </w:p>
          <w:p w14:paraId="09443D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Premiums for general insurance contracts.</w:t>
            </w:r>
          </w:p>
          <w:p w14:paraId="1A06A7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 Membership and subscription fees</w:t>
            </w:r>
          </w:p>
          <w:p w14:paraId="0C4812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Fees to cover memberships and subscriptions.</w:t>
            </w:r>
          </w:p>
          <w:p w14:paraId="440B2D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BD95B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services covered by ‘N: Education and training’.</w:t>
            </w:r>
          </w:p>
          <w:p w14:paraId="5CAA48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Other goods</w:t>
            </w:r>
          </w:p>
          <w:p w14:paraId="0BBDAF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which are not any of the specific options above.</w:t>
            </w:r>
          </w:p>
          <w:p w14:paraId="06F918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Other services</w:t>
            </w:r>
          </w:p>
          <w:p w14:paraId="1D3534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Services which are not any of the specific options above.</w:t>
            </w:r>
          </w:p>
          <w:p w14:paraId="1D2A7D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22B6F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Goods or services which the reporting firm cannot determine to be one of the specific options above."</w:t>
            </w:r>
          </w:p>
        </w:tc>
      </w:tr>
      <w:tr w:rsidR="00095E11" w14:paraId="79635E1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5618193" w14:textId="77777777" w:rsidR="00095E11" w:rsidRPr="00F21C76" w:rsidRDefault="00095E11" w:rsidP="008D651F">
            <w:pPr>
              <w:pStyle w:val="BodyText"/>
            </w:pPr>
            <w:r w:rsidRPr="005D24A6">
              <w:lastRenderedPageBreak/>
              <w:t>54A</w:t>
            </w:r>
          </w:p>
        </w:tc>
        <w:tc>
          <w:tcPr>
            <w:tcW w:w="2410" w:type="dxa"/>
          </w:tcPr>
          <w:p w14:paraId="58B49FF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D24A6">
              <w:t>Was the motor vehicle financed new or used?</w:t>
            </w:r>
          </w:p>
        </w:tc>
        <w:tc>
          <w:tcPr>
            <w:tcW w:w="2126" w:type="dxa"/>
          </w:tcPr>
          <w:p w14:paraId="2469D6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New</w:t>
            </w:r>
          </w:p>
          <w:p w14:paraId="0B549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Used</w:t>
            </w:r>
          </w:p>
          <w:p w14:paraId="4700D0E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55AB0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032806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182BDE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FBC05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New</w:t>
            </w:r>
          </w:p>
          <w:p w14:paraId="6B2E2A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motor vehicle financed by the regulated credit agreement has not previously been used or owned by </w:t>
            </w:r>
            <w:r>
              <w:lastRenderedPageBreak/>
              <w:t>another consumer prior to the start of the regulated credit agreement.</w:t>
            </w:r>
          </w:p>
          <w:p w14:paraId="6511D1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Used</w:t>
            </w:r>
          </w:p>
          <w:p w14:paraId="779872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motor vehicle financed by the regulated credit agreement has been previously used or owned by another consumer prior to the start of the regulated credit agreement.</w:t>
            </w:r>
          </w:p>
          <w:p w14:paraId="2E5B9A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B3132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motor vehicle financed by the regulated credit agreement has been previously used by another consumer, prior to the start of the regulated credit agreement."</w:t>
            </w:r>
          </w:p>
        </w:tc>
      </w:tr>
      <w:tr w:rsidR="00095E11" w14:paraId="0E1010D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41D289D" w14:textId="77777777" w:rsidR="00095E11" w:rsidRPr="00F21C76" w:rsidRDefault="00095E11" w:rsidP="008D651F">
            <w:pPr>
              <w:pStyle w:val="BodyText"/>
            </w:pPr>
            <w:r w:rsidRPr="005D24A6">
              <w:lastRenderedPageBreak/>
              <w:t>55A</w:t>
            </w:r>
          </w:p>
        </w:tc>
        <w:tc>
          <w:tcPr>
            <w:tcW w:w="2410" w:type="dxa"/>
          </w:tcPr>
          <w:p w14:paraId="1DABF8E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D24A6">
              <w:t>Type of motor vehicle financed</w:t>
            </w:r>
          </w:p>
        </w:tc>
        <w:tc>
          <w:tcPr>
            <w:tcW w:w="2126" w:type="dxa"/>
          </w:tcPr>
          <w:p w14:paraId="6978CF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Car</w:t>
            </w:r>
          </w:p>
          <w:p w14:paraId="5ABB29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Motorhomes and campervans</w:t>
            </w:r>
          </w:p>
          <w:p w14:paraId="59293D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Motorbike including scooters</w:t>
            </w:r>
          </w:p>
          <w:p w14:paraId="1E1FE6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Light goods vehicle</w:t>
            </w:r>
          </w:p>
          <w:p w14:paraId="48E3D1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type of motor vehicle</w:t>
            </w:r>
          </w:p>
          <w:p w14:paraId="66F1AA1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016B5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623CFE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90DDD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3FAA2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Car</w:t>
            </w:r>
          </w:p>
          <w:p w14:paraId="4138EE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4-wheeled passenger motor vehicle.</w:t>
            </w:r>
          </w:p>
          <w:p w14:paraId="4027601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Motorhomes and campervans</w:t>
            </w:r>
          </w:p>
          <w:p w14:paraId="419D54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with living accommodation.</w:t>
            </w:r>
          </w:p>
          <w:p w14:paraId="4BB600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Motorbike including scooters</w:t>
            </w:r>
          </w:p>
          <w:p w14:paraId="2040113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2-wheeled motor vehicle.</w:t>
            </w:r>
          </w:p>
          <w:p w14:paraId="54E240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Light goods vehicle</w:t>
            </w:r>
          </w:p>
          <w:p w14:paraId="06C5EC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designed for the carriage of goods, not exceeding 3,500kg.</w:t>
            </w:r>
          </w:p>
          <w:p w14:paraId="71FE5E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type of motor vehicle</w:t>
            </w:r>
          </w:p>
          <w:p w14:paraId="468CBB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other known motor vehicle type not covered by the specified options above.</w:t>
            </w:r>
          </w:p>
          <w:p w14:paraId="20147F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D609A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motor vehicle which the reporting firm is unable to determine to be one of the specific options above."</w:t>
            </w:r>
          </w:p>
        </w:tc>
      </w:tr>
      <w:tr w:rsidR="00095E11" w14:paraId="7CFA7A2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9632DD9" w14:textId="77777777" w:rsidR="00095E11" w:rsidRPr="00F21C76" w:rsidRDefault="00095E11" w:rsidP="008D651F">
            <w:pPr>
              <w:pStyle w:val="BodyText"/>
            </w:pPr>
            <w:r w:rsidRPr="00BC5BE4">
              <w:lastRenderedPageBreak/>
              <w:t>56A</w:t>
            </w:r>
          </w:p>
        </w:tc>
        <w:tc>
          <w:tcPr>
            <w:tcW w:w="2410" w:type="dxa"/>
          </w:tcPr>
          <w:p w14:paraId="0CE2AF9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5BE4">
              <w:t>Is the hire-purchase agreement a personal contract purchase agreement?</w:t>
            </w:r>
          </w:p>
        </w:tc>
        <w:tc>
          <w:tcPr>
            <w:tcW w:w="2126" w:type="dxa"/>
          </w:tcPr>
          <w:p w14:paraId="6F76A1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351012B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4AB5C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Whether the hire-purchase agreement includes a guaranteed minimum future value of the motor vehicle which is set out as an optional additional repayment at the end of the regulated credit agreement, with the option for the borrower(s) to return the motor vehicle instead of making that repayment.</w:t>
            </w:r>
          </w:p>
        </w:tc>
      </w:tr>
      <w:tr w:rsidR="00095E11" w14:paraId="64EAF0A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02C7F3C" w14:textId="77777777" w:rsidR="00095E11" w:rsidRPr="00F21C76" w:rsidRDefault="00095E11" w:rsidP="008D651F">
            <w:pPr>
              <w:pStyle w:val="BodyText"/>
            </w:pPr>
            <w:r w:rsidRPr="00BC5BE4">
              <w:t>57A</w:t>
            </w:r>
          </w:p>
        </w:tc>
        <w:tc>
          <w:tcPr>
            <w:tcW w:w="2410" w:type="dxa"/>
          </w:tcPr>
          <w:p w14:paraId="3619F7A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C5BE4">
              <w:t>Guaranteed minimum future value</w:t>
            </w:r>
          </w:p>
        </w:tc>
        <w:tc>
          <w:tcPr>
            <w:tcW w:w="2126" w:type="dxa"/>
          </w:tcPr>
          <w:p w14:paraId="1D3E161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72251">
              <w:t>Numeric £</w:t>
            </w:r>
          </w:p>
        </w:tc>
        <w:tc>
          <w:tcPr>
            <w:tcW w:w="3963" w:type="dxa"/>
          </w:tcPr>
          <w:p w14:paraId="71E122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The guaranteed minimum future value of the motor vehicle which is set out as an optional additional repayment at the end of the regulated credit agreement, with the option for the borrower(s) to return the motor vehicle instead of making that repayment.</w:t>
            </w:r>
          </w:p>
        </w:tc>
      </w:tr>
      <w:tr w:rsidR="00095E11" w14:paraId="7104E4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41FDC04" w14:textId="77777777" w:rsidR="00095E11" w:rsidRPr="00F21C76" w:rsidRDefault="00095E11" w:rsidP="008D651F">
            <w:pPr>
              <w:pStyle w:val="BodyText"/>
            </w:pPr>
            <w:r w:rsidRPr="00551A6C">
              <w:t>58A</w:t>
            </w:r>
          </w:p>
        </w:tc>
        <w:tc>
          <w:tcPr>
            <w:tcW w:w="2410" w:type="dxa"/>
          </w:tcPr>
          <w:p w14:paraId="75483DA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51A6C">
              <w:t>Anticipated annual mileage</w:t>
            </w:r>
          </w:p>
        </w:tc>
        <w:tc>
          <w:tcPr>
            <w:tcW w:w="2126" w:type="dxa"/>
          </w:tcPr>
          <w:p w14:paraId="6F71EBF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51A6C">
              <w:t>Numeric</w:t>
            </w:r>
          </w:p>
        </w:tc>
        <w:tc>
          <w:tcPr>
            <w:tcW w:w="3963" w:type="dxa"/>
          </w:tcPr>
          <w:p w14:paraId="007704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A44F0">
              <w:t>The anticipated annual mileage used, in part, to determine the guaranteed minimum future value for a motor vehicle under the regulated credit agreement.</w:t>
            </w:r>
          </w:p>
        </w:tc>
      </w:tr>
      <w:tr w:rsidR="00095E11" w14:paraId="5AE2576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3D0D503" w14:textId="77777777" w:rsidR="00095E11" w:rsidRPr="00F21C76" w:rsidRDefault="00095E11" w:rsidP="008D651F">
            <w:pPr>
              <w:pStyle w:val="BodyText"/>
            </w:pPr>
            <w:r w:rsidRPr="00F54ADD">
              <w:t>59A</w:t>
            </w:r>
          </w:p>
        </w:tc>
        <w:tc>
          <w:tcPr>
            <w:tcW w:w="2410" w:type="dxa"/>
          </w:tcPr>
          <w:p w14:paraId="5D88AE1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ADD">
              <w:t>Declared purpose of borrowing</w:t>
            </w:r>
          </w:p>
        </w:tc>
        <w:tc>
          <w:tcPr>
            <w:tcW w:w="2126" w:type="dxa"/>
          </w:tcPr>
          <w:p w14:paraId="5F8B14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Debt consolidation loan – reporting firm’s group only</w:t>
            </w:r>
          </w:p>
          <w:p w14:paraId="75ACA68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Debt consolidation loan – not reporting firm’s group only</w:t>
            </w:r>
          </w:p>
          <w:p w14:paraId="7B7D31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Debt consolidation loan – unspecified</w:t>
            </w:r>
          </w:p>
          <w:p w14:paraId="0CE6BE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 vehicle loan</w:t>
            </w:r>
          </w:p>
          <w:p w14:paraId="0B3607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Home improvement loan</w:t>
            </w:r>
          </w:p>
          <w:p w14:paraId="32DC98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Wedding loan</w:t>
            </w:r>
          </w:p>
          <w:p w14:paraId="53D148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Holiday loan</w:t>
            </w:r>
          </w:p>
          <w:p w14:paraId="1EC6C1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Student loan</w:t>
            </w:r>
          </w:p>
          <w:p w14:paraId="49FF88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declared purpose</w:t>
            </w:r>
          </w:p>
          <w:p w14:paraId="6B1200A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 purpose"</w:t>
            </w:r>
          </w:p>
        </w:tc>
        <w:tc>
          <w:tcPr>
            <w:tcW w:w="3963" w:type="dxa"/>
          </w:tcPr>
          <w:p w14:paraId="2CB0FD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purpose of the borrowing, if any, declared by the borrower(s) in their application.</w:t>
            </w:r>
          </w:p>
          <w:p w14:paraId="1CF581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6D51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more than one purpose was declared by the borrower(s), the reporting firm should select the purpose which accounted for the greatest portion of the total amount of credit.</w:t>
            </w:r>
          </w:p>
          <w:p w14:paraId="29CDBA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489C7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44C8C7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587A3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F88A3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Debt consolidation loan – reporting firm’s group only</w:t>
            </w:r>
          </w:p>
          <w:p w14:paraId="58032E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To pay off existing credit commitments of the borrower with the </w:t>
            </w:r>
            <w:r>
              <w:lastRenderedPageBreak/>
              <w:t>reporting firm or person(s) in the reporting firm’s group.</w:t>
            </w:r>
          </w:p>
          <w:p w14:paraId="0D19D1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Debt consolidation loan – not reporting firm’s group only</w:t>
            </w:r>
          </w:p>
          <w:p w14:paraId="328573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off existing credit commitments of the borrower, not all of which are with the reporting firm or person(s) in the reporting firm’s group.</w:t>
            </w:r>
          </w:p>
          <w:p w14:paraId="44BF55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Debt consolidation loan – unspecified</w:t>
            </w:r>
          </w:p>
          <w:p w14:paraId="7B3C15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off existing credit commitments of the borrower, the makeup of which is not recorded."</w:t>
            </w:r>
          </w:p>
          <w:p w14:paraId="4B11BB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 vehicle loan</w:t>
            </w:r>
          </w:p>
          <w:p w14:paraId="0251E1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purchase a wheeled, mechanically propelled vehicle intended or adapted for use on roads.</w:t>
            </w:r>
          </w:p>
          <w:p w14:paraId="1A33B6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Home improvement loan</w:t>
            </w:r>
          </w:p>
          <w:p w14:paraId="4CF0BD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pay for home improvements.</w:t>
            </w:r>
          </w:p>
          <w:p w14:paraId="4A998E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Wedding loan</w:t>
            </w:r>
          </w:p>
          <w:p w14:paraId="7FF22D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for costs associated with a wedding.</w:t>
            </w:r>
          </w:p>
          <w:p w14:paraId="08CB26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Holiday loan</w:t>
            </w:r>
          </w:p>
          <w:p w14:paraId="748F50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to pay for costs associated with holidays.</w:t>
            </w:r>
          </w:p>
          <w:p w14:paraId="390CBA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Student loan</w:t>
            </w:r>
          </w:p>
          <w:p w14:paraId="385383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To be used to pay for costs associated with education and training, either direct costs such as fees or associated living costs.</w:t>
            </w:r>
          </w:p>
          <w:p w14:paraId="76E1C3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declared purpose</w:t>
            </w:r>
          </w:p>
          <w:p w14:paraId="4E2314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purpose of borrowing is recorded which is not covered by the specified options above.</w:t>
            </w:r>
          </w:p>
          <w:p w14:paraId="32CCD2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 purpose</w:t>
            </w:r>
          </w:p>
          <w:p w14:paraId="76C411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declared purpose of borrowing is recorded."</w:t>
            </w:r>
          </w:p>
        </w:tc>
      </w:tr>
      <w:tr w:rsidR="00095E11" w14:paraId="0066965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8406DD3" w14:textId="77777777" w:rsidR="00095E11" w:rsidRPr="00F21C76" w:rsidRDefault="00095E11" w:rsidP="008D651F">
            <w:pPr>
              <w:pStyle w:val="BodyText"/>
            </w:pPr>
            <w:r w:rsidRPr="005F649D">
              <w:lastRenderedPageBreak/>
              <w:t>60A</w:t>
            </w:r>
          </w:p>
        </w:tc>
        <w:tc>
          <w:tcPr>
            <w:tcW w:w="2410" w:type="dxa"/>
          </w:tcPr>
          <w:p w14:paraId="1AC21C3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649D">
              <w:t>Was any portion of the loan for direct payment to existing creditors?</w:t>
            </w:r>
          </w:p>
        </w:tc>
        <w:tc>
          <w:tcPr>
            <w:tcW w:w="2126" w:type="dxa"/>
          </w:tcPr>
          <w:p w14:paraId="23C0E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3B75752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241CD0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47203">
              <w:t>Whether all or part of the amount borrowed for debt consolidation included direct payment(s) by the reporting firm to the borrower(s)’ existing creditor(s).</w:t>
            </w:r>
          </w:p>
        </w:tc>
      </w:tr>
      <w:tr w:rsidR="00095E11" w14:paraId="22C4523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AA20E45" w14:textId="77777777" w:rsidR="00095E11" w:rsidRPr="00F21C76" w:rsidRDefault="00095E11" w:rsidP="008D651F">
            <w:pPr>
              <w:pStyle w:val="BodyText"/>
            </w:pPr>
            <w:r w:rsidRPr="005F649D">
              <w:lastRenderedPageBreak/>
              <w:t>61A</w:t>
            </w:r>
          </w:p>
        </w:tc>
        <w:tc>
          <w:tcPr>
            <w:tcW w:w="2410" w:type="dxa"/>
          </w:tcPr>
          <w:p w14:paraId="360A73A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F649D">
              <w:t>Value of direct payments to existing creditors</w:t>
            </w:r>
          </w:p>
        </w:tc>
        <w:tc>
          <w:tcPr>
            <w:tcW w:w="2126" w:type="dxa"/>
          </w:tcPr>
          <w:p w14:paraId="4A03252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CF21B3">
              <w:t>Numeric £</w:t>
            </w:r>
          </w:p>
        </w:tc>
        <w:tc>
          <w:tcPr>
            <w:tcW w:w="3963" w:type="dxa"/>
          </w:tcPr>
          <w:p w14:paraId="75B458E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47203">
              <w:t>The value of the amount borrowed for debt consolidation which was directly paid by the reporting firm to the borrower(s)' existing creditor(s).</w:t>
            </w:r>
          </w:p>
        </w:tc>
      </w:tr>
      <w:tr w:rsidR="00095E11" w14:paraId="5436FB8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091F066" w14:textId="77777777" w:rsidR="00095E11" w:rsidRPr="00F21C76" w:rsidRDefault="00095E11" w:rsidP="008D651F">
            <w:pPr>
              <w:pStyle w:val="BodyText"/>
            </w:pPr>
            <w:r w:rsidRPr="00130DBC">
              <w:t>62A</w:t>
            </w:r>
          </w:p>
        </w:tc>
        <w:tc>
          <w:tcPr>
            <w:tcW w:w="2410" w:type="dxa"/>
          </w:tcPr>
          <w:p w14:paraId="59C067A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Is the borrower a natural person acting as a sole trader or a relevant recipient of credit?</w:t>
            </w:r>
          </w:p>
        </w:tc>
        <w:tc>
          <w:tcPr>
            <w:tcW w:w="2126" w:type="dxa"/>
          </w:tcPr>
          <w:p w14:paraId="455529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Natural person</w:t>
            </w:r>
          </w:p>
          <w:p w14:paraId="6F14476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Relevant recipient of credit"</w:t>
            </w:r>
          </w:p>
        </w:tc>
        <w:tc>
          <w:tcPr>
            <w:tcW w:w="3963" w:type="dxa"/>
          </w:tcPr>
          <w:p w14:paraId="78038A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ADB27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Natural person</w:t>
            </w:r>
          </w:p>
          <w:p w14:paraId="049824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natural person acting as a sole trader.</w:t>
            </w:r>
          </w:p>
          <w:p w14:paraId="5BAB6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Relevant recipient of credit</w:t>
            </w:r>
          </w:p>
          <w:p w14:paraId="59547A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relevant recipient of credit means:</w:t>
            </w:r>
          </w:p>
          <w:p w14:paraId="18FEEC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a partnership consisting of 2 or 3 persons not all of whom are bodies corporate; or</w:t>
            </w:r>
          </w:p>
          <w:p w14:paraId="06B120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an unincorporated body of persons which does not consist entirely of bodies corporate and is not a partnership."</w:t>
            </w:r>
          </w:p>
        </w:tc>
      </w:tr>
      <w:tr w:rsidR="00095E11" w14:paraId="0791DE2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C5C2768" w14:textId="77777777" w:rsidR="00095E11" w:rsidRPr="00F21C76" w:rsidRDefault="00095E11" w:rsidP="008D651F">
            <w:pPr>
              <w:pStyle w:val="BodyText"/>
            </w:pPr>
            <w:r w:rsidRPr="00130DBC">
              <w:t>63A</w:t>
            </w:r>
          </w:p>
        </w:tc>
        <w:tc>
          <w:tcPr>
            <w:tcW w:w="2410" w:type="dxa"/>
          </w:tcPr>
          <w:p w14:paraId="5660B7E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Reporting firm’s unique reference for relevant recipient of credit</w:t>
            </w:r>
          </w:p>
        </w:tc>
        <w:tc>
          <w:tcPr>
            <w:tcW w:w="2126" w:type="dxa"/>
          </w:tcPr>
          <w:p w14:paraId="577C84D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Alphanumeric</w:t>
            </w:r>
          </w:p>
        </w:tc>
        <w:tc>
          <w:tcPr>
            <w:tcW w:w="3963" w:type="dxa"/>
          </w:tcPr>
          <w:p w14:paraId="5F0211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relevant recipient of credit acting as the borrower under the regulated credit agreement.</w:t>
            </w:r>
          </w:p>
          <w:p w14:paraId="6D77F7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7174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borrower in any performance data reports for the regulated credit agreement.</w:t>
            </w:r>
          </w:p>
          <w:p w14:paraId="519A0E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E358D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relevant recipient of credit, across all relevant regulated credit agreements included in the reporting firm’s back-book, sales and performance data reports."</w:t>
            </w:r>
          </w:p>
        </w:tc>
      </w:tr>
      <w:tr w:rsidR="00095E11" w14:paraId="286B8E3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204C5C8" w14:textId="77777777" w:rsidR="00095E11" w:rsidRPr="00F21C76" w:rsidRDefault="00095E11" w:rsidP="008D651F">
            <w:pPr>
              <w:pStyle w:val="BodyText"/>
            </w:pPr>
            <w:r w:rsidRPr="00130DBC">
              <w:t>64A</w:t>
            </w:r>
          </w:p>
        </w:tc>
        <w:tc>
          <w:tcPr>
            <w:tcW w:w="2410" w:type="dxa"/>
          </w:tcPr>
          <w:p w14:paraId="0C2438F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Name of relevant recipient of credit</w:t>
            </w:r>
          </w:p>
        </w:tc>
        <w:tc>
          <w:tcPr>
            <w:tcW w:w="2126" w:type="dxa"/>
          </w:tcPr>
          <w:p w14:paraId="64A91A44"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Alphanumeric</w:t>
            </w:r>
          </w:p>
        </w:tc>
        <w:tc>
          <w:tcPr>
            <w:tcW w:w="3963" w:type="dxa"/>
          </w:tcPr>
          <w:p w14:paraId="466193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6C52">
              <w:t>The name of the relevant recipient of credit acting as the borrower under the regulated credit agreement.</w:t>
            </w:r>
          </w:p>
        </w:tc>
      </w:tr>
      <w:tr w:rsidR="00095E11" w14:paraId="7040455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3AE40A" w14:textId="77777777" w:rsidR="00095E11" w:rsidRPr="00F21C76" w:rsidRDefault="00095E11" w:rsidP="008D651F">
            <w:pPr>
              <w:pStyle w:val="BodyText"/>
            </w:pPr>
            <w:r w:rsidRPr="00130DBC">
              <w:lastRenderedPageBreak/>
              <w:t>65A</w:t>
            </w:r>
          </w:p>
        </w:tc>
        <w:tc>
          <w:tcPr>
            <w:tcW w:w="2410" w:type="dxa"/>
          </w:tcPr>
          <w:p w14:paraId="0B4B1F3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30DBC">
              <w:t>Number of borrowers named in the agreement</w:t>
            </w:r>
          </w:p>
        </w:tc>
        <w:tc>
          <w:tcPr>
            <w:tcW w:w="2126" w:type="dxa"/>
          </w:tcPr>
          <w:p w14:paraId="5BFA253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67B1">
              <w:t>Numeric</w:t>
            </w:r>
          </w:p>
        </w:tc>
        <w:tc>
          <w:tcPr>
            <w:tcW w:w="3963" w:type="dxa"/>
          </w:tcPr>
          <w:p w14:paraId="2671FE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number of natural persons who are named as a borrower under the regulated credit agreement.</w:t>
            </w:r>
          </w:p>
          <w:p w14:paraId="7E43206F" w14:textId="77777777" w:rsidR="00095E11" w:rsidRPr="008B7D3E"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8B7D3E">
              <w:rPr>
                <w:b/>
                <w:bCs/>
              </w:rPr>
              <w:t>This should not include natural persons who are not named under the regulated credit agreement but who have access to the facility, such as additional card holders."</w:t>
            </w:r>
          </w:p>
        </w:tc>
      </w:tr>
      <w:tr w:rsidR="00095E11" w14:paraId="31B9A33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CB241DF" w14:textId="77777777" w:rsidR="00095E11" w:rsidRPr="00F21C76" w:rsidRDefault="00095E11" w:rsidP="008D651F">
            <w:pPr>
              <w:pStyle w:val="BodyText"/>
            </w:pPr>
            <w:r w:rsidRPr="003A2B83">
              <w:t>66A</w:t>
            </w:r>
          </w:p>
        </w:tc>
        <w:tc>
          <w:tcPr>
            <w:tcW w:w="2410" w:type="dxa"/>
          </w:tcPr>
          <w:p w14:paraId="0D960BAA"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A2B83">
              <w:t>Reporting firm’s unique reference for natural person acting as borrower</w:t>
            </w:r>
          </w:p>
        </w:tc>
        <w:tc>
          <w:tcPr>
            <w:tcW w:w="2126" w:type="dxa"/>
          </w:tcPr>
          <w:p w14:paraId="504A31C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A2B83">
              <w:t>Alphanumeric</w:t>
            </w:r>
          </w:p>
        </w:tc>
        <w:tc>
          <w:tcPr>
            <w:tcW w:w="3963" w:type="dxa"/>
          </w:tcPr>
          <w:p w14:paraId="496481E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natural person acting as a borrower under the regulated credit agreement.</w:t>
            </w:r>
          </w:p>
          <w:p w14:paraId="2FD82F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3B227C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the natural person’s name or a derivation of their name.</w:t>
            </w:r>
          </w:p>
          <w:p w14:paraId="34ACD0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DA4F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borrower in any performance data reports for the regulated credit agreement.</w:t>
            </w:r>
          </w:p>
          <w:p w14:paraId="262DA5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344E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natural person, across all relevant regulated credit agreements included in the reporting firm’s back-book, sales and performance data reports. This includes a unique reference for any natural person who has provided the guarantee or the indemnity (or both) in relation to a relevant regulated credit agreement."</w:t>
            </w:r>
          </w:p>
        </w:tc>
      </w:tr>
      <w:tr w:rsidR="00095E11" w14:paraId="33CE115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9B6A927" w14:textId="77777777" w:rsidR="00095E11" w:rsidRPr="00F21C76" w:rsidRDefault="00095E11" w:rsidP="008D651F">
            <w:pPr>
              <w:pStyle w:val="BodyText"/>
            </w:pPr>
            <w:r w:rsidRPr="004D40A4">
              <w:t>66B</w:t>
            </w:r>
          </w:p>
        </w:tc>
        <w:tc>
          <w:tcPr>
            <w:tcW w:w="2410" w:type="dxa"/>
          </w:tcPr>
          <w:p w14:paraId="2F841DE7"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Borrower’s date of birth</w:t>
            </w:r>
          </w:p>
        </w:tc>
        <w:tc>
          <w:tcPr>
            <w:tcW w:w="2126" w:type="dxa"/>
          </w:tcPr>
          <w:p w14:paraId="7A7BED7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DD/MM/YYYY</w:t>
            </w:r>
          </w:p>
        </w:tc>
        <w:tc>
          <w:tcPr>
            <w:tcW w:w="3963" w:type="dxa"/>
          </w:tcPr>
          <w:p w14:paraId="7F5325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D40A4">
              <w:t>The date of birth of the natural person acting as a borrower under the regulated credit agreement.</w:t>
            </w:r>
          </w:p>
        </w:tc>
      </w:tr>
      <w:tr w:rsidR="00095E11" w14:paraId="3E88547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7D2B3A" w14:textId="77777777" w:rsidR="00095E11" w:rsidRPr="00F21C76" w:rsidRDefault="00095E11" w:rsidP="008D651F">
            <w:pPr>
              <w:pStyle w:val="BodyText"/>
            </w:pPr>
            <w:r w:rsidRPr="002B2C05">
              <w:t>66C</w:t>
            </w:r>
          </w:p>
        </w:tc>
        <w:tc>
          <w:tcPr>
            <w:tcW w:w="2410" w:type="dxa"/>
          </w:tcPr>
          <w:p w14:paraId="73F00F02"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B2C05">
              <w:t>Borrower’s residential address type</w:t>
            </w:r>
          </w:p>
        </w:tc>
        <w:tc>
          <w:tcPr>
            <w:tcW w:w="2126" w:type="dxa"/>
          </w:tcPr>
          <w:p w14:paraId="5B7CAF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United Kingdom</w:t>
            </w:r>
          </w:p>
          <w:p w14:paraId="596EFB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British Forces Post Office</w:t>
            </w:r>
          </w:p>
          <w:p w14:paraId="11A57C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Overseas</w:t>
            </w:r>
          </w:p>
          <w:p w14:paraId="149BA9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 = Other</w:t>
            </w:r>
          </w:p>
          <w:p w14:paraId="32BC5A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EE8CFE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main residence for the borrower on the date the regulated credit agreement was executed.</w:t>
            </w:r>
          </w:p>
          <w:p w14:paraId="447D48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54136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1E1D1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United Kingdom</w:t>
            </w:r>
          </w:p>
          <w:p w14:paraId="4F2C8E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in the United Kingdom or a Crown Dependency and is not a British Forces Post Office address.</w:t>
            </w:r>
          </w:p>
          <w:p w14:paraId="7B6E41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British Forces Post Office</w:t>
            </w:r>
          </w:p>
          <w:p w14:paraId="4FC0DC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a British Forces Post Office address.</w:t>
            </w:r>
          </w:p>
          <w:p w14:paraId="34E9D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Overseas</w:t>
            </w:r>
          </w:p>
          <w:p w14:paraId="0A031F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not in the United Kingdom or a Crown Dependency and is not a British Forces Post Office address.</w:t>
            </w:r>
          </w:p>
          <w:p w14:paraId="34D85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B9921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not as described by any of the specific options above.</w:t>
            </w:r>
          </w:p>
          <w:p w14:paraId="6CA9C6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827EB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borrower is a residential address type which the reporting firm cannot determine to be one of the specific options above."</w:t>
            </w:r>
          </w:p>
        </w:tc>
      </w:tr>
      <w:tr w:rsidR="00095E11" w14:paraId="32DBA38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1E0BB1" w14:textId="77777777" w:rsidR="00095E11" w:rsidRPr="00F21C76" w:rsidRDefault="00095E11" w:rsidP="008D651F">
            <w:pPr>
              <w:pStyle w:val="BodyText"/>
            </w:pPr>
            <w:r w:rsidRPr="0078539C">
              <w:lastRenderedPageBreak/>
              <w:t>66D</w:t>
            </w:r>
          </w:p>
        </w:tc>
        <w:tc>
          <w:tcPr>
            <w:tcW w:w="2410" w:type="dxa"/>
          </w:tcPr>
          <w:p w14:paraId="0EB3355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8539C">
              <w:t>Borrower’s residential postcode on the agreement execution date</w:t>
            </w:r>
          </w:p>
        </w:tc>
        <w:tc>
          <w:tcPr>
            <w:tcW w:w="2126" w:type="dxa"/>
          </w:tcPr>
          <w:p w14:paraId="0C11C1E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353E9">
              <w:t>eg, XY45 6XX</w:t>
            </w:r>
          </w:p>
        </w:tc>
        <w:tc>
          <w:tcPr>
            <w:tcW w:w="3963" w:type="dxa"/>
          </w:tcPr>
          <w:p w14:paraId="204905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or equivalent of the main residence for the borrower on the date the regulated credit agreement was executed.</w:t>
            </w:r>
          </w:p>
          <w:p w14:paraId="2C5766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FF707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UK and British Forces Post Office postcodes should take the form of, eg, XY45 6XX."</w:t>
            </w:r>
          </w:p>
        </w:tc>
      </w:tr>
      <w:tr w:rsidR="00095E11" w14:paraId="0A90F2C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F1DBC93" w14:textId="77777777" w:rsidR="00095E11" w:rsidRPr="00F21C76" w:rsidRDefault="00095E11" w:rsidP="008D651F">
            <w:pPr>
              <w:pStyle w:val="BodyText"/>
            </w:pPr>
            <w:r w:rsidRPr="0078539C">
              <w:t>66E</w:t>
            </w:r>
          </w:p>
        </w:tc>
        <w:tc>
          <w:tcPr>
            <w:tcW w:w="2410" w:type="dxa"/>
          </w:tcPr>
          <w:p w14:paraId="22D82C45"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8539C">
              <w:t>Borrower’s residential status on the agreement execution date</w:t>
            </w:r>
          </w:p>
        </w:tc>
        <w:tc>
          <w:tcPr>
            <w:tcW w:w="2126" w:type="dxa"/>
          </w:tcPr>
          <w:p w14:paraId="5A2716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Owner occupier – own outright</w:t>
            </w:r>
          </w:p>
          <w:p w14:paraId="28A577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Owner occupier – mortgage</w:t>
            </w:r>
          </w:p>
          <w:p w14:paraId="6EF87B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Owner occupier – unspecified</w:t>
            </w:r>
          </w:p>
          <w:p w14:paraId="4D9A40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 Renting – private landlord</w:t>
            </w:r>
          </w:p>
          <w:p w14:paraId="31A9F9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B2 = Renting – social landlord</w:t>
            </w:r>
          </w:p>
          <w:p w14:paraId="60DFD1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 Renting – unspecified</w:t>
            </w:r>
          </w:p>
          <w:p w14:paraId="056311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Living with relatives or friends</w:t>
            </w:r>
          </w:p>
          <w:p w14:paraId="449A7D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75CB888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1C40B4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residential status of the borrower on the date the regulated credit agreement was executed.</w:t>
            </w:r>
          </w:p>
          <w:p w14:paraId="794636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5AB3F3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should select the option which best aligns to the information, if any, it holds. The reporting firm is not required to collect additional information in order to </w:t>
            </w:r>
            <w:r>
              <w:lastRenderedPageBreak/>
              <w:t>be able to better determine the application of any of the specified options.</w:t>
            </w:r>
          </w:p>
          <w:p w14:paraId="65A420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47915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42A5C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Owner occupier – own outright</w:t>
            </w:r>
          </w:p>
          <w:p w14:paraId="382EA27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without a mortgage to pay for the residence.</w:t>
            </w:r>
          </w:p>
          <w:p w14:paraId="701A62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Owner occupier – mortgage</w:t>
            </w:r>
          </w:p>
          <w:p w14:paraId="3F3446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while repaying a mortgage to pay for the residence.</w:t>
            </w:r>
          </w:p>
          <w:p w14:paraId="537764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Owner occupier – unspecified</w:t>
            </w:r>
          </w:p>
          <w:p w14:paraId="26579A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owns their main residence and whether they have a mortgage to pay for the residence is not recorded.</w:t>
            </w:r>
          </w:p>
          <w:p w14:paraId="09D2FB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Renting – private landlord</w:t>
            </w:r>
          </w:p>
          <w:p w14:paraId="7E1303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renting their main residence from a private landlord.</w:t>
            </w:r>
          </w:p>
          <w:p w14:paraId="3A7359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Renting – social landlord</w:t>
            </w:r>
          </w:p>
          <w:p w14:paraId="7648CE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renting their main residence from a social landlord.</w:t>
            </w:r>
          </w:p>
          <w:p w14:paraId="622464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Renting – unspecified</w:t>
            </w:r>
          </w:p>
          <w:p w14:paraId="2936E7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renting their main residence and the type of the landlord is not recorded.</w:t>
            </w:r>
          </w:p>
          <w:p w14:paraId="3A4DFC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Living with relatives or friends</w:t>
            </w:r>
          </w:p>
          <w:p w14:paraId="5CDFDC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is living with relatives or friends, without a tenancy agreement.</w:t>
            </w:r>
          </w:p>
          <w:p w14:paraId="1312B5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4FCB1A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borrower’s residential status is not as described by any of the specific options above.</w:t>
            </w:r>
          </w:p>
          <w:p w14:paraId="3DC51A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D8F39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borrower’s residential status to be one of the specific options above."</w:t>
            </w:r>
          </w:p>
        </w:tc>
      </w:tr>
      <w:tr w:rsidR="00095E11" w14:paraId="420477F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5BD7834" w14:textId="77777777" w:rsidR="00095E11" w:rsidRPr="00F21C76" w:rsidRDefault="00095E11" w:rsidP="008D651F">
            <w:pPr>
              <w:pStyle w:val="BodyText"/>
            </w:pPr>
            <w:r w:rsidRPr="00A13C5E">
              <w:lastRenderedPageBreak/>
              <w:t>66F</w:t>
            </w:r>
          </w:p>
        </w:tc>
        <w:tc>
          <w:tcPr>
            <w:tcW w:w="2410" w:type="dxa"/>
          </w:tcPr>
          <w:p w14:paraId="00B95589"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13C5E">
              <w:t>Borrower’s employment status on the agreement execution date</w:t>
            </w:r>
          </w:p>
        </w:tc>
        <w:tc>
          <w:tcPr>
            <w:tcW w:w="2126" w:type="dxa"/>
          </w:tcPr>
          <w:p w14:paraId="611318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Employed – permanent or fixed term</w:t>
            </w:r>
          </w:p>
          <w:p w14:paraId="34B0F4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Employed – temporary</w:t>
            </w:r>
          </w:p>
          <w:p w14:paraId="039715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Employed – unspecified</w:t>
            </w:r>
          </w:p>
          <w:p w14:paraId="562504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Self-employed</w:t>
            </w:r>
          </w:p>
          <w:p w14:paraId="651BFC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Not employed</w:t>
            </w:r>
          </w:p>
          <w:p w14:paraId="7DA5CE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CEEAB0F"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B2533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borrower on the date the regulated credit agreement was executed.</w:t>
            </w:r>
          </w:p>
          <w:p w14:paraId="6D40C8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9518F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78FC58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3ED6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6C225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Employed – permanent or fixed-term</w:t>
            </w:r>
          </w:p>
          <w:p w14:paraId="2112EE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had a permanent or fixed-term contract(s) to work for an employer(s).</w:t>
            </w:r>
          </w:p>
          <w:p w14:paraId="6E50F1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Employed – temporary</w:t>
            </w:r>
          </w:p>
          <w:p w14:paraId="324C02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through a recruitment agency.</w:t>
            </w:r>
          </w:p>
          <w:p w14:paraId="28F594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Employed – unspecified</w:t>
            </w:r>
          </w:p>
          <w:p w14:paraId="704C6F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for an employer(s) and the type of the employment is not recorded.</w:t>
            </w:r>
          </w:p>
          <w:p w14:paraId="3F67AA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Self-employed</w:t>
            </w:r>
          </w:p>
          <w:p w14:paraId="071098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working for themself as a sole trader.</w:t>
            </w:r>
          </w:p>
          <w:p w14:paraId="22B71D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Not employed</w:t>
            </w:r>
          </w:p>
          <w:p w14:paraId="65E238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borrower was not employed.</w:t>
            </w:r>
          </w:p>
          <w:p w14:paraId="329279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852E5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borrower is not covered by the specified options.</w:t>
            </w:r>
          </w:p>
          <w:p w14:paraId="5F4697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23F50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borrower was not recorded by the reporting firm."</w:t>
            </w:r>
          </w:p>
        </w:tc>
      </w:tr>
      <w:tr w:rsidR="00095E11" w14:paraId="54CEF37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07C26C3" w14:textId="77777777" w:rsidR="00095E11" w:rsidRPr="00F21C76" w:rsidRDefault="00095E11" w:rsidP="008D651F">
            <w:pPr>
              <w:pStyle w:val="BodyText"/>
            </w:pPr>
            <w:r w:rsidRPr="00A13C5E">
              <w:t>66G</w:t>
            </w:r>
          </w:p>
        </w:tc>
        <w:tc>
          <w:tcPr>
            <w:tcW w:w="2410" w:type="dxa"/>
          </w:tcPr>
          <w:p w14:paraId="75E7D85C"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13C5E">
              <w:t>Detail of borrower’s employment</w:t>
            </w:r>
          </w:p>
        </w:tc>
        <w:tc>
          <w:tcPr>
            <w:tcW w:w="2126" w:type="dxa"/>
          </w:tcPr>
          <w:p w14:paraId="5A6433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Full-time</w:t>
            </w:r>
          </w:p>
          <w:p w14:paraId="510E81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Part-time</w:t>
            </w:r>
          </w:p>
          <w:p w14:paraId="3492A8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Casual</w:t>
            </w:r>
          </w:p>
          <w:p w14:paraId="7951C6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 = Other</w:t>
            </w:r>
          </w:p>
          <w:p w14:paraId="51400BA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210CDF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selection should reflect the employment status of the borrower on the date the regulated credit agreement was executed.</w:t>
            </w:r>
          </w:p>
          <w:p w14:paraId="05E596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BCFE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147A5D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56CEA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E6620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Full-time</w:t>
            </w:r>
          </w:p>
          <w:p w14:paraId="1F038B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employment of the borrower as full-time.</w:t>
            </w:r>
          </w:p>
          <w:p w14:paraId="660E12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Part-time</w:t>
            </w:r>
          </w:p>
          <w:p w14:paraId="44E462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employment of the borrower as part-time.</w:t>
            </w:r>
          </w:p>
          <w:p w14:paraId="08A61F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Casual</w:t>
            </w:r>
          </w:p>
          <w:p w14:paraId="68060A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employment of the borrower as casual. This includes a zero-hours contract.</w:t>
            </w:r>
          </w:p>
          <w:p w14:paraId="4ABFBA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8730A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employment of the borrower in a way that is not covered by the specified options above.</w:t>
            </w:r>
          </w:p>
          <w:p w14:paraId="306AED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113261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categorised the employment of the borrower in this way."</w:t>
            </w:r>
          </w:p>
        </w:tc>
      </w:tr>
      <w:tr w:rsidR="00095E11" w14:paraId="6DCEF87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25F4100" w14:textId="77777777" w:rsidR="00095E11" w:rsidRPr="00F21C76" w:rsidRDefault="00095E11" w:rsidP="008D651F">
            <w:pPr>
              <w:pStyle w:val="BodyText"/>
            </w:pPr>
            <w:r w:rsidRPr="00400F34">
              <w:lastRenderedPageBreak/>
              <w:t>66H</w:t>
            </w:r>
          </w:p>
        </w:tc>
        <w:tc>
          <w:tcPr>
            <w:tcW w:w="2410" w:type="dxa"/>
          </w:tcPr>
          <w:p w14:paraId="3B4D60E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400F34">
              <w:t>Detail of borrower’s not employed status</w:t>
            </w:r>
          </w:p>
        </w:tc>
        <w:tc>
          <w:tcPr>
            <w:tcW w:w="2126" w:type="dxa"/>
          </w:tcPr>
          <w:p w14:paraId="228AAD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Seeking work</w:t>
            </w:r>
          </w:p>
          <w:p w14:paraId="3D3564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 education</w:t>
            </w:r>
          </w:p>
          <w:p w14:paraId="4465BA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Retired</w:t>
            </w:r>
          </w:p>
          <w:p w14:paraId="0DAC56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Looking after the home or family</w:t>
            </w:r>
          </w:p>
          <w:p w14:paraId="27704A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19E565FD"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10865B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detail of the not employed status of the borrower on the data the regulated credit agreement was executed.</w:t>
            </w:r>
          </w:p>
          <w:p w14:paraId="0D73E6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26CFC5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1A1A3F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BF833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BDB3A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Seeking work</w:t>
            </w:r>
          </w:p>
          <w:p w14:paraId="24543B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borrower’s status as looking for and available for work.</w:t>
            </w:r>
          </w:p>
          <w:p w14:paraId="4E71CAC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 education</w:t>
            </w:r>
          </w:p>
          <w:p w14:paraId="7E7E48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borrower’s status as being in education.</w:t>
            </w:r>
          </w:p>
          <w:p w14:paraId="4DBA00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Retired</w:t>
            </w:r>
          </w:p>
          <w:p w14:paraId="73C49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borrower’s status as being retired.</w:t>
            </w:r>
          </w:p>
          <w:p w14:paraId="586975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Looking after the home or family</w:t>
            </w:r>
          </w:p>
          <w:p w14:paraId="60CF7E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borrower’s status as looking after the home or family. This includes being a carer for a close family member.</w:t>
            </w:r>
          </w:p>
          <w:p w14:paraId="133EBE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92BA9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borrower’s status in a way that is not covered by the specified options above.</w:t>
            </w:r>
          </w:p>
          <w:p w14:paraId="4B126F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1D4151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categorised the detail of the borrower’s status in this way."</w:t>
            </w:r>
          </w:p>
        </w:tc>
      </w:tr>
      <w:tr w:rsidR="00095E11" w14:paraId="18393A2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81E2B5F" w14:textId="77777777" w:rsidR="00095E11" w:rsidRPr="00F21C76" w:rsidRDefault="00095E11" w:rsidP="008D651F">
            <w:pPr>
              <w:pStyle w:val="BodyText"/>
            </w:pPr>
            <w:r w:rsidRPr="00950FCC">
              <w:lastRenderedPageBreak/>
              <w:t>67A</w:t>
            </w:r>
          </w:p>
        </w:tc>
        <w:tc>
          <w:tcPr>
            <w:tcW w:w="2410" w:type="dxa"/>
          </w:tcPr>
          <w:p w14:paraId="78729C0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50FCC">
              <w:t>Did the creditworthiness assessment of the borrower(s) for the agreement include any manual underwriting check?</w:t>
            </w:r>
          </w:p>
        </w:tc>
        <w:tc>
          <w:tcPr>
            <w:tcW w:w="2126" w:type="dxa"/>
          </w:tcPr>
          <w:p w14:paraId="5FD87B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EF693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248531D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24D538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2E39A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10BC29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borrower(s) for the regulated credit agreement involved a manual intervention/ assessment by a natural person.</w:t>
            </w:r>
          </w:p>
          <w:p w14:paraId="1D9D83C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3ED55A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borrower(s) for the regulated credit agreement did not involve a manual intervention/ assessment by a natural person.</w:t>
            </w:r>
          </w:p>
          <w:p w14:paraId="19F858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77896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is unable to determine whether the creditworthiness assessment of the borrower(s) for the regulated credit agreement involved </w:t>
            </w:r>
            <w:r>
              <w:lastRenderedPageBreak/>
              <w:t>any manual intervention/ assessment by a natural person."</w:t>
            </w:r>
          </w:p>
        </w:tc>
      </w:tr>
      <w:tr w:rsidR="00095E11" w14:paraId="03C52C8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7797D8" w14:textId="77777777" w:rsidR="00095E11" w:rsidRPr="00F21C76" w:rsidRDefault="00095E11" w:rsidP="008D651F">
            <w:pPr>
              <w:pStyle w:val="BodyText"/>
            </w:pPr>
            <w:r w:rsidRPr="00950FCC">
              <w:lastRenderedPageBreak/>
              <w:t>68A</w:t>
            </w:r>
          </w:p>
        </w:tc>
        <w:tc>
          <w:tcPr>
            <w:tcW w:w="2410" w:type="dxa"/>
          </w:tcPr>
          <w:p w14:paraId="1509187B"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50FCC">
              <w:t>Income and expenditure information held in relation to the creditworthiness assessment of the borrower(s)</w:t>
            </w:r>
          </w:p>
        </w:tc>
        <w:tc>
          <w:tcPr>
            <w:tcW w:w="2126" w:type="dxa"/>
          </w:tcPr>
          <w:p w14:paraId="18FCE6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No income and expenditure</w:t>
            </w:r>
          </w:p>
          <w:p w14:paraId="392193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Income and expenditure, no declared income and expenditure, no breakdown</w:t>
            </w:r>
          </w:p>
          <w:p w14:paraId="581EF2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Income and expenditure, with declared income and expenditure, no breakdown</w:t>
            </w:r>
          </w:p>
          <w:p w14:paraId="363BE7A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Income and expenditure, no declared income and expenditure, with breakdown</w:t>
            </w:r>
          </w:p>
          <w:p w14:paraId="3332E1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Income and expenditure, with declared income and expenditure, with breakdown</w:t>
            </w:r>
          </w:p>
          <w:p w14:paraId="4208E59E"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6A5DBF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and non-discretionary expenditure information held by the reporting firm for the creditworthiness assessment of the borrower(s) in relation to the regulated credit agreement.</w:t>
            </w:r>
          </w:p>
          <w:p w14:paraId="298B81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7E6C7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B6F30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No income and expenditure</w:t>
            </w:r>
          </w:p>
          <w:p w14:paraId="13AAB5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considered the borrower(s)’ income and non-discretionary expenditure in accordance with CONC 5.2A.15R(1) and CONC 5.2A.17R.</w:t>
            </w:r>
          </w:p>
          <w:p w14:paraId="1707EE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Income and expenditure, no declared income and expenditure, no breakdown</w:t>
            </w:r>
          </w:p>
          <w:p w14:paraId="264E25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borrower(s)’ income and non-discretionary expenditure in relation to the creditworthiness assessment;</w:t>
            </w:r>
          </w:p>
          <w:p w14:paraId="1EFB4F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borrower(s) for their income and non-discretionary expenditure; and</w:t>
            </w:r>
          </w:p>
          <w:p w14:paraId="2A3412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does not hold values for the non-discretionary expenditure broken down to housing, existing credit commitments and/or other costs.</w:t>
            </w:r>
          </w:p>
          <w:p w14:paraId="2AC8C9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Income and expenditure, with declared income and expenditure, no breakdown</w:t>
            </w:r>
          </w:p>
          <w:p w14:paraId="73D5D5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borrower(s)’ income and non-discretionary expenditure in relation to the creditworthiness assessment;</w:t>
            </w:r>
          </w:p>
          <w:p w14:paraId="6D6ACC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borrower(s) for their income and non-discretionary expenditure; and</w:t>
            </w:r>
          </w:p>
          <w:p w14:paraId="352AE9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(3) the reporting firm does not hold values for the non-discretionary expenditure broken down to housing, </w:t>
            </w:r>
            <w:r>
              <w:lastRenderedPageBreak/>
              <w:t>existing credit commitments and/or other costs."</w:t>
            </w:r>
          </w:p>
          <w:p w14:paraId="4A48DD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Income and expenditure, no declared income and expenditure, with breakdown</w:t>
            </w:r>
          </w:p>
          <w:p w14:paraId="6870C8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borrower(s)’ income and non-discretionary expenditure in relation to the creditworthiness assessment;</w:t>
            </w:r>
          </w:p>
          <w:p w14:paraId="49B958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borrower(s) for their income and non-discretionary expenditure; and</w:t>
            </w:r>
          </w:p>
          <w:p w14:paraId="668E86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holds values for the non-discretionary expenditure broken down to housing, existing credit commitments and/or other costs.</w:t>
            </w:r>
          </w:p>
          <w:p w14:paraId="04C24B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Income and expenditure, with declared income and expenditure, with breakdown</w:t>
            </w:r>
          </w:p>
          <w:p w14:paraId="2CD380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borrower(s)’ income and non-discretionary expenditure in relation to the creditworthiness assessment;</w:t>
            </w:r>
          </w:p>
          <w:p w14:paraId="48FCCAB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borrower(s) for their income and non-discretionary expenditure; and</w:t>
            </w:r>
          </w:p>
          <w:p w14:paraId="24F97B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holds values for the non-discretionary expenditure broken down to housing, existing credit commitments and/or other costs.</w:t>
            </w:r>
          </w:p>
          <w:p w14:paraId="120CD0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0A422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the values used for the borrower(s)’ income and non-discretionary expenditure in relation to the creditworthiness assessment."</w:t>
            </w:r>
          </w:p>
        </w:tc>
      </w:tr>
      <w:tr w:rsidR="00095E11" w14:paraId="261D0E6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4B2717" w14:textId="77777777" w:rsidR="00095E11" w:rsidRPr="00F21C76" w:rsidRDefault="00095E11" w:rsidP="008D651F">
            <w:pPr>
              <w:pStyle w:val="BodyText"/>
            </w:pPr>
            <w:r w:rsidRPr="00B7142C">
              <w:lastRenderedPageBreak/>
              <w:t>69A</w:t>
            </w:r>
          </w:p>
        </w:tc>
        <w:tc>
          <w:tcPr>
            <w:tcW w:w="2410" w:type="dxa"/>
          </w:tcPr>
          <w:p w14:paraId="64277F96"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42C">
              <w:t>Is a future lump sum expected to account for whole or partial repayment but not as a security?</w:t>
            </w:r>
          </w:p>
        </w:tc>
        <w:tc>
          <w:tcPr>
            <w:tcW w:w="2126" w:type="dxa"/>
          </w:tcPr>
          <w:p w14:paraId="5A567C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Yes – inheritance</w:t>
            </w:r>
          </w:p>
          <w:p w14:paraId="42ED60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Yes – pension lump sum</w:t>
            </w:r>
          </w:p>
          <w:p w14:paraId="27AAB6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C = Yes – claims pay out</w:t>
            </w:r>
          </w:p>
          <w:p w14:paraId="5B1FF5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Yes – settlement following litigation</w:t>
            </w:r>
          </w:p>
          <w:p w14:paraId="74274B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 Yes – other</w:t>
            </w:r>
          </w:p>
          <w:p w14:paraId="22945D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 Yes – unknown future lump sum type</w:t>
            </w:r>
          </w:p>
          <w:p w14:paraId="30D109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w:t>
            </w:r>
          </w:p>
          <w:p w14:paraId="5E78541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493F17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"Whether the regulated credit agreement is expected to be repaid. in part or in full, by a future lump sum expected to be received by the borrower(s), and, if relevant, the type of the future lump sum.</w:t>
            </w:r>
          </w:p>
          <w:p w14:paraId="146AE5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3E90E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a future lump sum which is provided, by assignment or otherwise, as a security by the borrower(s) under the regulated credit agreement.</w:t>
            </w:r>
          </w:p>
          <w:p w14:paraId="7EDD5C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D3DEF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C132EA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Yes – inheritance</w:t>
            </w:r>
          </w:p>
          <w:p w14:paraId="26F26F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3DA974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8E72C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the proceeds expected to be received by the borrower(s) from an estate of a person who has died.</w:t>
            </w:r>
          </w:p>
          <w:p w14:paraId="479FB7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Yes – pension lump sum</w:t>
            </w:r>
          </w:p>
          <w:p w14:paraId="554202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605661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CE75A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a pension commencement lump sum expected to be received by the borrower(s).</w:t>
            </w:r>
          </w:p>
          <w:p w14:paraId="027828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Yes – claims pay out</w:t>
            </w:r>
          </w:p>
          <w:p w14:paraId="56B4CC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712836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B975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an amount expected to be recovered for the borrower(s) in relation to a claim."</w:t>
            </w:r>
          </w:p>
          <w:p w14:paraId="1BEA38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Yes – settlement following litigation</w:t>
            </w:r>
          </w:p>
          <w:p w14:paraId="03783C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36AF43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B974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expected future lump sum is a settlement expected to be received by the borrower(s) in relation to a legal case </w:t>
            </w:r>
            <w:r>
              <w:lastRenderedPageBreak/>
              <w:t>other than a legal case in relation to a claim.</w:t>
            </w:r>
          </w:p>
          <w:p w14:paraId="71BA01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W1: Yes – other</w:t>
            </w:r>
          </w:p>
          <w:p w14:paraId="07C6F4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769F26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29984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expected future lump sum is not captured by any of the specific options above.</w:t>
            </w:r>
          </w:p>
          <w:p w14:paraId="667225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W2: Yes – unknown future lump sum type</w:t>
            </w:r>
          </w:p>
          <w:p w14:paraId="44249B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expected to be repaid, in part or in full, by a future lump sum.</w:t>
            </w:r>
          </w:p>
          <w:p w14:paraId="4B7FD0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1768D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future lump sum is one of the specific options above.</w:t>
            </w:r>
          </w:p>
          <w:p w14:paraId="3C1637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w:t>
            </w:r>
          </w:p>
          <w:p w14:paraId="3B5E11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not expected to be repaid, in part or in full, by a future lump sum.</w:t>
            </w:r>
          </w:p>
          <w:p w14:paraId="22E010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8F7D1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regulated credit agreement is expected to be repaid. in part or in full, by a future lump sum."</w:t>
            </w:r>
          </w:p>
        </w:tc>
      </w:tr>
      <w:tr w:rsidR="00095E11" w14:paraId="2AD7A5E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3BEAEAE" w14:textId="77777777" w:rsidR="00095E11" w:rsidRPr="00F21C76" w:rsidRDefault="00095E11" w:rsidP="008D651F">
            <w:pPr>
              <w:pStyle w:val="BodyText"/>
            </w:pPr>
            <w:r w:rsidRPr="00285A6C">
              <w:lastRenderedPageBreak/>
              <w:t>70A</w:t>
            </w:r>
          </w:p>
        </w:tc>
        <w:tc>
          <w:tcPr>
            <w:tcW w:w="2410" w:type="dxa"/>
          </w:tcPr>
          <w:p w14:paraId="05402F91"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Is repayment through a future earnings agreement/income share agreement?</w:t>
            </w:r>
          </w:p>
        </w:tc>
        <w:tc>
          <w:tcPr>
            <w:tcW w:w="2126" w:type="dxa"/>
          </w:tcPr>
          <w:p w14:paraId="0A6D85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26B2BED3"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24F64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92214">
              <w:t>Whether the regulated credit agreement is to be repaid via a percentage of the borrower(s)’ future earnings rather than via a fixed repayment schedule.</w:t>
            </w:r>
          </w:p>
        </w:tc>
      </w:tr>
      <w:tr w:rsidR="00095E11" w14:paraId="1F0A7EC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E05996B" w14:textId="77777777" w:rsidR="00095E11" w:rsidRPr="00F21C76" w:rsidRDefault="00095E11" w:rsidP="008D651F">
            <w:pPr>
              <w:pStyle w:val="BodyText"/>
            </w:pPr>
            <w:r w:rsidRPr="00285A6C">
              <w:t>71A</w:t>
            </w:r>
          </w:p>
        </w:tc>
        <w:tc>
          <w:tcPr>
            <w:tcW w:w="2410" w:type="dxa"/>
          </w:tcPr>
          <w:p w14:paraId="27DB5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Combined number of financial dependants for the borrower(s)</w:t>
            </w:r>
          </w:p>
        </w:tc>
        <w:tc>
          <w:tcPr>
            <w:tcW w:w="2126" w:type="dxa"/>
          </w:tcPr>
          <w:p w14:paraId="25BDDE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"0 = No financial dependants</w:t>
            </w:r>
          </w:p>
          <w:p w14:paraId="0012AF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 1 financial dependant</w:t>
            </w:r>
          </w:p>
          <w:p w14:paraId="67F08D6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 2 financial dependants</w:t>
            </w:r>
          </w:p>
          <w:p w14:paraId="126E12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 3 financial dependants</w:t>
            </w:r>
          </w:p>
          <w:p w14:paraId="23BCE4D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4 = 4 financial dependants</w:t>
            </w:r>
          </w:p>
          <w:p w14:paraId="20A44D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5 = 5 financial dependants</w:t>
            </w:r>
          </w:p>
          <w:p w14:paraId="5A2F748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6 = 6 financial dependants</w:t>
            </w:r>
          </w:p>
          <w:p w14:paraId="699555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7 = 7 financial dependants</w:t>
            </w:r>
          </w:p>
          <w:p w14:paraId="20F730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8 = 8 financial dependants</w:t>
            </w:r>
          </w:p>
          <w:p w14:paraId="460DDA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9 = 9 financial dependants</w:t>
            </w:r>
          </w:p>
          <w:p w14:paraId="1C7F70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10 = 10 financial dependants</w:t>
            </w:r>
          </w:p>
          <w:p w14:paraId="6000B19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More than 10 financial dependants</w:t>
            </w:r>
          </w:p>
          <w:p w14:paraId="15A8DB6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9F4A1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combined number of natural persons who rely on the borrower(s) financially, as recorded by the reporting firm.</w:t>
            </w:r>
          </w:p>
          <w:p w14:paraId="08DA26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40312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reporting firm only records data on the borrower(s)’ financial dependants up to a certain number even where the borrower(s)’ financial dependants exceed that number, the </w:t>
            </w:r>
            <w:r>
              <w:lastRenderedPageBreak/>
              <w:t>reporting firm should report the highest number it records for such borrower(s).</w:t>
            </w:r>
          </w:p>
          <w:p w14:paraId="74EB8B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B483D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example, if a reporting firm only records data on up to 5 financial dependants, in circumstances where the borrower(s) has 5 or more financial dependants, the reporting firm should report this as ‘5: 5 financial dependants’.</w:t>
            </w:r>
          </w:p>
          <w:p w14:paraId="6D7AC17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95D058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0AA5D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0: No financial dependants</w:t>
            </w:r>
          </w:p>
          <w:p w14:paraId="42C51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1 financial dependant</w:t>
            </w:r>
          </w:p>
          <w:p w14:paraId="1D7267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2 financial dependants</w:t>
            </w:r>
          </w:p>
          <w:p w14:paraId="48F00B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3 financial dependants</w:t>
            </w:r>
          </w:p>
          <w:p w14:paraId="3C023D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4: 4 financial dependants</w:t>
            </w:r>
          </w:p>
          <w:p w14:paraId="3D03D2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5: 5 financial dependants</w:t>
            </w:r>
          </w:p>
          <w:p w14:paraId="56A711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6: 6 financial dependants</w:t>
            </w:r>
          </w:p>
          <w:p w14:paraId="624C248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7: 7 financial dependants</w:t>
            </w:r>
          </w:p>
          <w:p w14:paraId="1E2215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8: 8 financial dependants</w:t>
            </w:r>
          </w:p>
          <w:p w14:paraId="1CA758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9: 9 financial dependants</w:t>
            </w:r>
          </w:p>
          <w:p w14:paraId="5B099C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10: 10 financial dependants</w:t>
            </w:r>
          </w:p>
          <w:p w14:paraId="1ABE64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More than 10 financial dependants</w:t>
            </w:r>
          </w:p>
          <w:p w14:paraId="15133E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E5ADE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information on the natural persons who rely on the borrower(s) financially."</w:t>
            </w:r>
          </w:p>
        </w:tc>
      </w:tr>
      <w:tr w:rsidR="00095E11" w14:paraId="5C68CDF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AE59A1" w14:textId="77777777" w:rsidR="00095E11" w:rsidRPr="00F21C76" w:rsidRDefault="00095E11" w:rsidP="008D651F">
            <w:pPr>
              <w:pStyle w:val="BodyText"/>
            </w:pPr>
            <w:r w:rsidRPr="00285A6C">
              <w:lastRenderedPageBreak/>
              <w:t>72A</w:t>
            </w:r>
          </w:p>
        </w:tc>
        <w:tc>
          <w:tcPr>
            <w:tcW w:w="2410" w:type="dxa"/>
          </w:tcPr>
          <w:p w14:paraId="6BB15E50"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85A6C">
              <w:t>Net or gross income values for borrower(s)</w:t>
            </w:r>
          </w:p>
        </w:tc>
        <w:tc>
          <w:tcPr>
            <w:tcW w:w="2126" w:type="dxa"/>
          </w:tcPr>
          <w:p w14:paraId="0E7C01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Net</w:t>
            </w:r>
          </w:p>
          <w:p w14:paraId="464E73E8" w14:textId="77777777" w:rsidR="00095E11" w:rsidRPr="00F21C76"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Gross"</w:t>
            </w:r>
          </w:p>
        </w:tc>
        <w:tc>
          <w:tcPr>
            <w:tcW w:w="3963" w:type="dxa"/>
          </w:tcPr>
          <w:p w14:paraId="4AC15A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information held by the reporting firm for the creditworthiness assessment of the borrower(s) in relation to the regulated credit agreement. The income value(s) reported in the relevant data element(s) must correspond with the selection made.</w:t>
            </w:r>
          </w:p>
          <w:p w14:paraId="76BBDA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FAD82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both net and gross income values are held, the reporting firm should select ‘A: </w:t>
            </w:r>
            <w:r>
              <w:lastRenderedPageBreak/>
              <w:t>Net’ and provide the net income value(s) in the relevant data element(s).</w:t>
            </w:r>
          </w:p>
          <w:p w14:paraId="5E7940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CB0B6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2687CE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Net</w:t>
            </w:r>
          </w:p>
          <w:p w14:paraId="0D8C42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borrower(s)’ income as net of mandatory deductions such as tax, national insurance and student loans. This should not include any deductions for non-discretionary expenditure.</w:t>
            </w:r>
          </w:p>
          <w:p w14:paraId="58E2AB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Gross</w:t>
            </w:r>
          </w:p>
          <w:p w14:paraId="0AE05D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borrower(s)’ income as gross income."</w:t>
            </w:r>
          </w:p>
        </w:tc>
      </w:tr>
      <w:tr w:rsidR="00095E11" w14:paraId="5992D3D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BB3030E" w14:textId="77777777" w:rsidR="00095E11" w:rsidRPr="00285A6C" w:rsidRDefault="00095E11" w:rsidP="008D651F">
            <w:pPr>
              <w:pStyle w:val="BodyText"/>
            </w:pPr>
            <w:r w:rsidRPr="00EC6A55">
              <w:lastRenderedPageBreak/>
              <w:t>73A</w:t>
            </w:r>
          </w:p>
        </w:tc>
        <w:tc>
          <w:tcPr>
            <w:tcW w:w="2410" w:type="dxa"/>
          </w:tcPr>
          <w:p w14:paraId="5D89070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Combined monthly income of the borrower(s) used by the reporting firm</w:t>
            </w:r>
          </w:p>
        </w:tc>
        <w:tc>
          <w:tcPr>
            <w:tcW w:w="2126" w:type="dxa"/>
          </w:tcPr>
          <w:p w14:paraId="6CDE7F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Numeric £</w:t>
            </w:r>
          </w:p>
        </w:tc>
        <w:tc>
          <w:tcPr>
            <w:tcW w:w="3963" w:type="dxa"/>
          </w:tcPr>
          <w:p w14:paraId="2EDA2F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income of the borrower(s) which was used by the reporting firm in the final stage of the creditworthiness assessment for the regulated credit agreement.</w:t>
            </w:r>
          </w:p>
          <w:p w14:paraId="03525D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9D8B4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income figure used in the final stage of the creditworthiness assessment for the regulated credit agreement was for a different time period, this should include a derivation of this figure to estimate the monthly equivalent."</w:t>
            </w:r>
          </w:p>
        </w:tc>
      </w:tr>
      <w:tr w:rsidR="00095E11" w14:paraId="5A330BA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D601C3" w14:textId="77777777" w:rsidR="00095E11" w:rsidRPr="00285A6C" w:rsidRDefault="00095E11" w:rsidP="008D651F">
            <w:pPr>
              <w:pStyle w:val="BodyText"/>
            </w:pPr>
            <w:r w:rsidRPr="00606D0D">
              <w:t>74A</w:t>
            </w:r>
          </w:p>
        </w:tc>
        <w:tc>
          <w:tcPr>
            <w:tcW w:w="2410" w:type="dxa"/>
          </w:tcPr>
          <w:p w14:paraId="5D0E93D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06D0D">
              <w:t>Combined total monthly expenditure of the borrower(s) used by the reporting firm</w:t>
            </w:r>
          </w:p>
        </w:tc>
        <w:tc>
          <w:tcPr>
            <w:tcW w:w="2126" w:type="dxa"/>
          </w:tcPr>
          <w:p w14:paraId="134B99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A55">
              <w:t>Numeric £</w:t>
            </w:r>
          </w:p>
        </w:tc>
        <w:tc>
          <w:tcPr>
            <w:tcW w:w="3963" w:type="dxa"/>
          </w:tcPr>
          <w:p w14:paraId="564F3B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non-discretionary expenditure of the borrower(s) which was used by the reporting firm in the final stage of the creditworthiness assessment for the regulated credit agreement.</w:t>
            </w:r>
          </w:p>
          <w:p w14:paraId="38A77F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CDB75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figure used in the final stage of the creditworthiness assessment for the regulated credit agreement was for a different time period, this should include a derivation of this figure to estimate the monthly equivalent."</w:t>
            </w:r>
          </w:p>
        </w:tc>
      </w:tr>
      <w:tr w:rsidR="00095E11" w14:paraId="09748DD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5260A7" w14:textId="77777777" w:rsidR="00095E11" w:rsidRPr="00285A6C" w:rsidRDefault="00095E11" w:rsidP="008D651F">
            <w:pPr>
              <w:pStyle w:val="BodyText"/>
            </w:pPr>
            <w:r w:rsidRPr="00DA4468">
              <w:lastRenderedPageBreak/>
              <w:t>75A</w:t>
            </w:r>
          </w:p>
        </w:tc>
        <w:tc>
          <w:tcPr>
            <w:tcW w:w="2410" w:type="dxa"/>
          </w:tcPr>
          <w:p w14:paraId="3A52CAD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A4468">
              <w:t>Combined monthly income declared by the borrower(s)</w:t>
            </w:r>
          </w:p>
        </w:tc>
        <w:tc>
          <w:tcPr>
            <w:tcW w:w="2126" w:type="dxa"/>
          </w:tcPr>
          <w:p w14:paraId="153CBB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A4468">
              <w:t>Numeric £</w:t>
            </w:r>
          </w:p>
        </w:tc>
        <w:tc>
          <w:tcPr>
            <w:tcW w:w="3963" w:type="dxa"/>
          </w:tcPr>
          <w:p w14:paraId="55E3A1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income declared by the borrower(s).</w:t>
            </w:r>
          </w:p>
          <w:p w14:paraId="18C034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0982FF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income was declared by the borrower(s) for a different time period, this should include a derivation of this figure to estimate the monthly equivalent."</w:t>
            </w:r>
          </w:p>
        </w:tc>
      </w:tr>
      <w:tr w:rsidR="00095E11" w14:paraId="6F10AEB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7714D29" w14:textId="77777777" w:rsidR="00095E11" w:rsidRPr="00285A6C" w:rsidRDefault="00095E11" w:rsidP="008D651F">
            <w:pPr>
              <w:pStyle w:val="BodyText"/>
            </w:pPr>
            <w:r w:rsidRPr="000F14EA">
              <w:t>76A</w:t>
            </w:r>
          </w:p>
        </w:tc>
        <w:tc>
          <w:tcPr>
            <w:tcW w:w="2410" w:type="dxa"/>
          </w:tcPr>
          <w:p w14:paraId="30AA0D9D"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F14EA">
              <w:t>Combined total monthly expenditure declared by the borrower(s)</w:t>
            </w:r>
          </w:p>
        </w:tc>
        <w:tc>
          <w:tcPr>
            <w:tcW w:w="2126" w:type="dxa"/>
          </w:tcPr>
          <w:p w14:paraId="06D913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F14EA">
              <w:t>Numeric £</w:t>
            </w:r>
          </w:p>
        </w:tc>
        <w:tc>
          <w:tcPr>
            <w:tcW w:w="3963" w:type="dxa"/>
          </w:tcPr>
          <w:p w14:paraId="50C2A3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non-discretionary expenditure declared by the borrower(s).</w:t>
            </w:r>
          </w:p>
          <w:p w14:paraId="56096D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2B9DA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was declared by the borrower(s) for a different time period, this should include a derivation of this figure to estimate the monthly equivalent."</w:t>
            </w:r>
          </w:p>
        </w:tc>
      </w:tr>
      <w:tr w:rsidR="00095E11" w14:paraId="0292053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E0C26B4" w14:textId="77777777" w:rsidR="00095E11" w:rsidRPr="00285A6C" w:rsidRDefault="00095E11" w:rsidP="008D651F">
            <w:pPr>
              <w:pStyle w:val="BodyText"/>
            </w:pPr>
            <w:r w:rsidRPr="007B59AB">
              <w:t>77A</w:t>
            </w:r>
          </w:p>
        </w:tc>
        <w:tc>
          <w:tcPr>
            <w:tcW w:w="2410" w:type="dxa"/>
          </w:tcPr>
          <w:p w14:paraId="6335C17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B59AB">
              <w:t>Specific type of combined monthly expenditure of the borrower(s) used by the reporting firm</w:t>
            </w:r>
          </w:p>
        </w:tc>
        <w:tc>
          <w:tcPr>
            <w:tcW w:w="2126" w:type="dxa"/>
          </w:tcPr>
          <w:p w14:paraId="204B2E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Housing costs</w:t>
            </w:r>
          </w:p>
          <w:p w14:paraId="7F4670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Existing credit commitments</w:t>
            </w:r>
          </w:p>
          <w:p w14:paraId="4C459A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Other expenditure"</w:t>
            </w:r>
          </w:p>
        </w:tc>
        <w:tc>
          <w:tcPr>
            <w:tcW w:w="3963" w:type="dxa"/>
          </w:tcPr>
          <w:p w14:paraId="2551BD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BEBA5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Housing costs</w:t>
            </w:r>
          </w:p>
          <w:p w14:paraId="2A3E263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Housing costs should include any rent, mortgage payments, ground rent or service charges for the dwelling(s) in which the borrower(s) live.</w:t>
            </w:r>
          </w:p>
          <w:p w14:paraId="2D4D21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Existing credit commitments</w:t>
            </w:r>
          </w:p>
          <w:p w14:paraId="030C73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Existing credit commitments should include repayments of outstanding credit agreements or mortgage agreements not for the purchase of the dwelling(s) in which the borrower(s) live.</w:t>
            </w:r>
          </w:p>
          <w:p w14:paraId="0FC6B3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Other expenditure</w:t>
            </w:r>
          </w:p>
          <w:p w14:paraId="54E57A4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Other costs should not include non-discretionary expenditure related to housing costs or existing credit commitments. It should include, but is not limited to, living expenses."</w:t>
            </w:r>
          </w:p>
        </w:tc>
      </w:tr>
      <w:tr w:rsidR="00095E11" w14:paraId="5B5943E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6DFB526" w14:textId="77777777" w:rsidR="00095E11" w:rsidRPr="00285A6C" w:rsidRDefault="00095E11" w:rsidP="008D651F">
            <w:pPr>
              <w:pStyle w:val="BodyText"/>
            </w:pPr>
            <w:r w:rsidRPr="007B59AB">
              <w:t>77B</w:t>
            </w:r>
          </w:p>
        </w:tc>
        <w:tc>
          <w:tcPr>
            <w:tcW w:w="2410" w:type="dxa"/>
          </w:tcPr>
          <w:p w14:paraId="3F35514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B59AB">
              <w:t>Specific combined total monthly expenditure of the borrower(s) used by the reporting firm</w:t>
            </w:r>
          </w:p>
        </w:tc>
        <w:tc>
          <w:tcPr>
            <w:tcW w:w="2126" w:type="dxa"/>
          </w:tcPr>
          <w:p w14:paraId="7B7C76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293B">
              <w:t>Numeric £</w:t>
            </w:r>
          </w:p>
        </w:tc>
        <w:tc>
          <w:tcPr>
            <w:tcW w:w="3963" w:type="dxa"/>
          </w:tcPr>
          <w:p w14:paraId="70DEA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expenditure of the borrower(s), covering the costs associated with the specific expenditure type, which was used by the reporting firm in the final stage of the creditworthiness assessment.</w:t>
            </w:r>
          </w:p>
          <w:p w14:paraId="29040B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B4C5B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figure used in the final stage of the creditworthiness assessment for the regulated credit agreement was for a different time period, this should include a derivation of this figure to estimate the monthly equivalent."</w:t>
            </w:r>
          </w:p>
        </w:tc>
      </w:tr>
      <w:tr w:rsidR="00095E11" w14:paraId="57867B2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A8E6483" w14:textId="77777777" w:rsidR="00095E11" w:rsidRPr="00285A6C" w:rsidRDefault="00095E11" w:rsidP="008D651F">
            <w:pPr>
              <w:pStyle w:val="BodyText"/>
            </w:pPr>
            <w:r w:rsidRPr="007748BC">
              <w:lastRenderedPageBreak/>
              <w:t>78A</w:t>
            </w:r>
          </w:p>
        </w:tc>
        <w:tc>
          <w:tcPr>
            <w:tcW w:w="2410" w:type="dxa"/>
          </w:tcPr>
          <w:p w14:paraId="13B2B18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748BC">
              <w:t>Type of security provided by borrower(s) in relation to agreement</w:t>
            </w:r>
          </w:p>
        </w:tc>
        <w:tc>
          <w:tcPr>
            <w:tcW w:w="2126" w:type="dxa"/>
          </w:tcPr>
          <w:p w14:paraId="495194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Guarantee or indemnity</w:t>
            </w:r>
          </w:p>
          <w:p w14:paraId="59B095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Motor vehicle/logbook</w:t>
            </w:r>
          </w:p>
          <w:p w14:paraId="667237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Any other physical asset</w:t>
            </w:r>
          </w:p>
          <w:p w14:paraId="46D53D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Future lump sum</w:t>
            </w:r>
          </w:p>
          <w:p w14:paraId="7D9C7E2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Financial product</w:t>
            </w:r>
          </w:p>
          <w:p w14:paraId="77A12C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Title restriction</w:t>
            </w:r>
          </w:p>
          <w:p w14:paraId="7D2F9F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security</w:t>
            </w:r>
          </w:p>
          <w:p w14:paraId="26FD9F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 security</w:t>
            </w:r>
          </w:p>
          <w:p w14:paraId="6ACCEF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5309F9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relates to any security provided by the borrower(s) under the regulated credit agreement.</w:t>
            </w:r>
          </w:p>
          <w:p w14:paraId="40BC03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7E481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any goods which have been financed by the regulated credit agreement as a borrower-lender-supplier agreement, such as hire-purchase agreements and conditional sale agreements.</w:t>
            </w:r>
          </w:p>
          <w:p w14:paraId="6442F3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7918E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60F916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Guarantee or indemnity</w:t>
            </w:r>
          </w:p>
          <w:p w14:paraId="3E48F9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person other than the borrower(s) has provided a guarantee or an indemnity (or both) in relation to the regulated credit agreement.</w:t>
            </w:r>
          </w:p>
          <w:p w14:paraId="108548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Motor vehicle/logbook</w:t>
            </w:r>
          </w:p>
          <w:p w14:paraId="64458A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has taken a motor vehicle as security.</w:t>
            </w:r>
          </w:p>
          <w:p w14:paraId="5AD5AD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26F5D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includes, but is not limited to, a bill of sale loan agreement for which ownership of a motor vehicle is the good transferred, or a regulated credit agreement which has taken a motor vehicle as an article in pawn.</w:t>
            </w:r>
          </w:p>
          <w:p w14:paraId="155E08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Any other physical asset</w:t>
            </w:r>
          </w:p>
          <w:p w14:paraId="5372AAA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has taken a physical asset other than a motor vehicle as security.</w:t>
            </w:r>
          </w:p>
          <w:p w14:paraId="71089E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2BE47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This includes, but is not limited to, a bill of sale loan agreement for which ownership of a physical asset other than motor </w:t>
            </w:r>
            <w:r>
              <w:lastRenderedPageBreak/>
              <w:t>vehicle is the good transferred, or a regulated credit agreement has taken a physical asset other than a motor vehicle as an article in pawn."</w:t>
            </w:r>
          </w:p>
          <w:p w14:paraId="08C10C1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Future lump sum</w:t>
            </w:r>
          </w:p>
          <w:p w14:paraId="70F9A9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secured, by assignment or otherwise, on a future lump sum expected to be received by the borrower(s) such as, but not limited to, an inheritance, a pension lump sum, a claims pay out or a settlement following litigation.</w:t>
            </w:r>
          </w:p>
          <w:p w14:paraId="34D8D6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Financial product</w:t>
            </w:r>
          </w:p>
          <w:p w14:paraId="7DA17C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secured on another financial product such as, but not limited to, an investment portfolio or a life insurance policy.</w:t>
            </w:r>
          </w:p>
          <w:p w14:paraId="374416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Title restriction</w:t>
            </w:r>
          </w:p>
          <w:p w14:paraId="4A29A9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is secured by a title restriction at the Land Registry.</w:t>
            </w:r>
          </w:p>
          <w:p w14:paraId="3B66E65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security</w:t>
            </w:r>
          </w:p>
          <w:p w14:paraId="759E99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other security which is not covered by the specified options which has been provided in relation to the regulated credit agreement.</w:t>
            </w:r>
          </w:p>
          <w:p w14:paraId="6073A8C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 security</w:t>
            </w:r>
          </w:p>
          <w:p w14:paraId="501FB07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security was provided in relation to the regulated credit agreement.</w:t>
            </w:r>
          </w:p>
          <w:p w14:paraId="6AC29A7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46AC35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a security has been provided in relation to the regulated credit agreement."</w:t>
            </w:r>
          </w:p>
        </w:tc>
      </w:tr>
      <w:tr w:rsidR="00095E11" w14:paraId="5BF54F6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307F3B" w14:textId="77777777" w:rsidR="00095E11" w:rsidRPr="00285A6C" w:rsidRDefault="00095E11" w:rsidP="008D651F">
            <w:pPr>
              <w:pStyle w:val="BodyText"/>
            </w:pPr>
            <w:r w:rsidRPr="00AC674C">
              <w:lastRenderedPageBreak/>
              <w:t>79A</w:t>
            </w:r>
          </w:p>
        </w:tc>
        <w:tc>
          <w:tcPr>
            <w:tcW w:w="2410" w:type="dxa"/>
          </w:tcPr>
          <w:p w14:paraId="288DED6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Estimated value of security provided by borrower(s) in relation to agreement</w:t>
            </w:r>
          </w:p>
        </w:tc>
        <w:tc>
          <w:tcPr>
            <w:tcW w:w="2126" w:type="dxa"/>
          </w:tcPr>
          <w:p w14:paraId="67D847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D2218">
              <w:t>Numeric £</w:t>
            </w:r>
          </w:p>
        </w:tc>
        <w:tc>
          <w:tcPr>
            <w:tcW w:w="3963" w:type="dxa"/>
          </w:tcPr>
          <w:p w14:paraId="6F4677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pawn agreement, the estimated value of the articles taken in pawn under the regulated credit agreement.</w:t>
            </w:r>
          </w:p>
          <w:p w14:paraId="7D5804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4C09A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 bill of sale loan agreement, the estimated value of the goods for which ownership has transferred to the lender."</w:t>
            </w:r>
          </w:p>
        </w:tc>
      </w:tr>
      <w:tr w:rsidR="00095E11" w14:paraId="16A940E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CF46095" w14:textId="77777777" w:rsidR="00095E11" w:rsidRPr="00285A6C" w:rsidRDefault="00095E11" w:rsidP="008D651F">
            <w:pPr>
              <w:pStyle w:val="BodyText"/>
            </w:pPr>
            <w:r w:rsidRPr="00AC674C">
              <w:t>80A</w:t>
            </w:r>
          </w:p>
        </w:tc>
        <w:tc>
          <w:tcPr>
            <w:tcW w:w="2410" w:type="dxa"/>
          </w:tcPr>
          <w:p w14:paraId="762A347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What type of future lump sum is the security?</w:t>
            </w:r>
          </w:p>
        </w:tc>
        <w:tc>
          <w:tcPr>
            <w:tcW w:w="2126" w:type="dxa"/>
          </w:tcPr>
          <w:p w14:paraId="4C2C32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Inheritance</w:t>
            </w:r>
          </w:p>
          <w:p w14:paraId="569518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 = Pension lump sum</w:t>
            </w:r>
          </w:p>
          <w:p w14:paraId="30D3936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Claims pay out</w:t>
            </w:r>
          </w:p>
          <w:p w14:paraId="3FCBA3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Settlement following litigation</w:t>
            </w:r>
          </w:p>
          <w:p w14:paraId="025C811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31D0CF2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2A710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xml:space="preserve">"The type of future lump sum expected to be received by the borrower(s) which has been provided by the borrower(s) as </w:t>
            </w:r>
            <w:r>
              <w:lastRenderedPageBreak/>
              <w:t>a security under the regulated credit agreement.</w:t>
            </w:r>
          </w:p>
          <w:p w14:paraId="4E28B5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AC9FE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227D1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Inheritance</w:t>
            </w:r>
          </w:p>
          <w:p w14:paraId="4C99D9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proceeds expected to be received by the borrower(s) from an estate of a person who has died.</w:t>
            </w:r>
          </w:p>
          <w:p w14:paraId="4526BA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Pension lump sum</w:t>
            </w:r>
          </w:p>
          <w:p w14:paraId="79D762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pension commencement lump sum expected to be received by the borrower(s).</w:t>
            </w:r>
          </w:p>
          <w:p w14:paraId="56DFCB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Claims pay out</w:t>
            </w:r>
          </w:p>
          <w:p w14:paraId="62926A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amount expected to be recovered for the borrower(s) in relation to a claim.</w:t>
            </w:r>
          </w:p>
          <w:p w14:paraId="260E5F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Settlement following litigation</w:t>
            </w:r>
          </w:p>
          <w:p w14:paraId="105FF4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settlement expected to be received by the borrower(s) in relation to a legal case other than a legal case in relation to a claim.</w:t>
            </w:r>
          </w:p>
          <w:p w14:paraId="4C2DB04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FD08B9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future lump sum is not as described by any of the specific options above.</w:t>
            </w:r>
          </w:p>
          <w:p w14:paraId="4E887D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54EAF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future lump sum is one of the specific options above."</w:t>
            </w:r>
          </w:p>
        </w:tc>
      </w:tr>
      <w:tr w:rsidR="00095E11" w14:paraId="377FEB1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62A818D" w14:textId="77777777" w:rsidR="00095E11" w:rsidRPr="00285A6C" w:rsidRDefault="00095E11" w:rsidP="008D651F">
            <w:pPr>
              <w:pStyle w:val="BodyText"/>
            </w:pPr>
            <w:r w:rsidRPr="00AC674C">
              <w:lastRenderedPageBreak/>
              <w:t>81A</w:t>
            </w:r>
          </w:p>
        </w:tc>
        <w:tc>
          <w:tcPr>
            <w:tcW w:w="2410" w:type="dxa"/>
          </w:tcPr>
          <w:p w14:paraId="57B8F68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Is the person who has provided the guarantee or the indemnity (or both) a natural person?</w:t>
            </w:r>
          </w:p>
        </w:tc>
        <w:tc>
          <w:tcPr>
            <w:tcW w:w="2126" w:type="dxa"/>
          </w:tcPr>
          <w:p w14:paraId="6DD79A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3621A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65A64A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06758">
              <w:t>Whether the person who has provided the guarantee or the indemnity (or both) as security in relation to the regulated credit agreement is a natural person.</w:t>
            </w:r>
          </w:p>
        </w:tc>
      </w:tr>
      <w:tr w:rsidR="00095E11" w14:paraId="22AB902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6A9D42" w14:textId="77777777" w:rsidR="00095E11" w:rsidRPr="00285A6C" w:rsidRDefault="00095E11" w:rsidP="008D651F">
            <w:pPr>
              <w:pStyle w:val="BodyText"/>
            </w:pPr>
            <w:r w:rsidRPr="00AC674C">
              <w:t>82A</w:t>
            </w:r>
          </w:p>
        </w:tc>
        <w:tc>
          <w:tcPr>
            <w:tcW w:w="2410" w:type="dxa"/>
          </w:tcPr>
          <w:p w14:paraId="321FC6E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C674C">
              <w:t>Reporting firm’s unique reference for natural person acting as guarantor</w:t>
            </w:r>
          </w:p>
        </w:tc>
        <w:tc>
          <w:tcPr>
            <w:tcW w:w="2126" w:type="dxa"/>
          </w:tcPr>
          <w:p w14:paraId="081DF1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6D2218">
              <w:t>Alphanumeric</w:t>
            </w:r>
          </w:p>
        </w:tc>
        <w:tc>
          <w:tcPr>
            <w:tcW w:w="3963" w:type="dxa"/>
          </w:tcPr>
          <w:p w14:paraId="7FC55D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unique reference used by the reporting firm in its records to identify the natural person who has provided a guarantee or an indemnity (or both) in relation to the regulated credit agreement.</w:t>
            </w:r>
          </w:p>
          <w:p w14:paraId="51AEB5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6848DC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include the natural person’s name or a derivation of their name.</w:t>
            </w:r>
          </w:p>
          <w:p w14:paraId="163FA3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2676C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unique reference must be used consistently for the same natural person who has provided a guarantee or an indemnity (or both) in any performance data reports for the regulated credit agreement.</w:t>
            </w:r>
          </w:p>
          <w:p w14:paraId="74C1F8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06DE3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attempts should be made to use the same unique reference for the same natural person, across all relevant regulated credit agreements included in the reporting firm’s back-book, sales and performance data reports. This includes a unique reference for any natural person who is a borrower under a relevant regulated credit agreement."</w:t>
            </w:r>
          </w:p>
        </w:tc>
      </w:tr>
      <w:tr w:rsidR="00095E11" w14:paraId="6806934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AC73298" w14:textId="77777777" w:rsidR="00095E11" w:rsidRPr="00285A6C" w:rsidRDefault="00095E11" w:rsidP="008D651F">
            <w:pPr>
              <w:pStyle w:val="BodyText"/>
            </w:pPr>
            <w:r w:rsidRPr="00ED1266">
              <w:lastRenderedPageBreak/>
              <w:t>83A</w:t>
            </w:r>
          </w:p>
        </w:tc>
        <w:tc>
          <w:tcPr>
            <w:tcW w:w="2410" w:type="dxa"/>
          </w:tcPr>
          <w:p w14:paraId="36ECAAB1"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date of birth</w:t>
            </w:r>
          </w:p>
        </w:tc>
        <w:tc>
          <w:tcPr>
            <w:tcW w:w="2126" w:type="dxa"/>
          </w:tcPr>
          <w:p w14:paraId="305D07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0654">
              <w:t>DD/MM/YYYY</w:t>
            </w:r>
          </w:p>
        </w:tc>
        <w:tc>
          <w:tcPr>
            <w:tcW w:w="3963" w:type="dxa"/>
          </w:tcPr>
          <w:p w14:paraId="7C085D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7A25">
              <w:t>The date of birth of the natural person who has provided a guarantee or an indemnity (or both) in relation to the regulated credit agreement.</w:t>
            </w:r>
          </w:p>
        </w:tc>
      </w:tr>
      <w:tr w:rsidR="00095E11" w14:paraId="49739E70"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F4DAF89" w14:textId="77777777" w:rsidR="00095E11" w:rsidRPr="00285A6C" w:rsidRDefault="00095E11" w:rsidP="008D651F">
            <w:pPr>
              <w:pStyle w:val="BodyText"/>
            </w:pPr>
            <w:r w:rsidRPr="00ED1266">
              <w:t>84A</w:t>
            </w:r>
          </w:p>
        </w:tc>
        <w:tc>
          <w:tcPr>
            <w:tcW w:w="2410" w:type="dxa"/>
          </w:tcPr>
          <w:p w14:paraId="42540E4F"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address type</w:t>
            </w:r>
          </w:p>
        </w:tc>
        <w:tc>
          <w:tcPr>
            <w:tcW w:w="2126" w:type="dxa"/>
          </w:tcPr>
          <w:p w14:paraId="2DB5C9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United Kingdom</w:t>
            </w:r>
          </w:p>
          <w:p w14:paraId="3212A7D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British Forces Post Office</w:t>
            </w:r>
          </w:p>
          <w:p w14:paraId="10BE58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Overseas</w:t>
            </w:r>
          </w:p>
          <w:p w14:paraId="714A55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4BC39E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2A9E208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main residence for the guarantor on the date the regulated credit agreement was executed.</w:t>
            </w:r>
          </w:p>
          <w:p w14:paraId="0F52F2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3589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CD8AC1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United Kingdom</w:t>
            </w:r>
          </w:p>
          <w:p w14:paraId="0F4FCB7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in the United Kingdom or a Crown Dependency and is not a British Forces Post Office address.</w:t>
            </w:r>
          </w:p>
          <w:p w14:paraId="033CB85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British Forces Post Office</w:t>
            </w:r>
          </w:p>
          <w:p w14:paraId="4B79D3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a British Forces Post Office address.</w:t>
            </w:r>
          </w:p>
          <w:p w14:paraId="1BC032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Overseas</w:t>
            </w:r>
          </w:p>
          <w:p w14:paraId="3750CD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not in the United Kingdom or a Crown Dependency and is not a British Forces Post Office address.</w:t>
            </w:r>
          </w:p>
          <w:p w14:paraId="31DEC3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4A0D47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main residence for the guarantor is not as described by any of the specific options above.</w:t>
            </w:r>
          </w:p>
          <w:p w14:paraId="7A8F5F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956FE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main residence for the guarantor is a residential address type which the reporting firm cannot determine to be one of the specific options above."</w:t>
            </w:r>
          </w:p>
        </w:tc>
      </w:tr>
      <w:tr w:rsidR="00095E11" w14:paraId="5AC79F15"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9205C0" w14:textId="77777777" w:rsidR="00095E11" w:rsidRPr="00285A6C" w:rsidRDefault="00095E11" w:rsidP="008D651F">
            <w:pPr>
              <w:pStyle w:val="BodyText"/>
            </w:pPr>
            <w:r w:rsidRPr="00ED1266">
              <w:lastRenderedPageBreak/>
              <w:t>85A</w:t>
            </w:r>
          </w:p>
        </w:tc>
        <w:tc>
          <w:tcPr>
            <w:tcW w:w="2410" w:type="dxa"/>
          </w:tcPr>
          <w:p w14:paraId="43F3998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postcode on the agreement execution date</w:t>
            </w:r>
          </w:p>
        </w:tc>
        <w:tc>
          <w:tcPr>
            <w:tcW w:w="2126" w:type="dxa"/>
          </w:tcPr>
          <w:p w14:paraId="73549BF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B0654">
              <w:t>eg, XY45 6XX</w:t>
            </w:r>
          </w:p>
        </w:tc>
        <w:tc>
          <w:tcPr>
            <w:tcW w:w="3963" w:type="dxa"/>
          </w:tcPr>
          <w:p w14:paraId="0FF126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full postcode or equivalent of the main residence for the guarantor on the date the regulated credit agreement was executed.</w:t>
            </w:r>
          </w:p>
          <w:p w14:paraId="3162DF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917A2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UK and British Forces Post Office postcodes should take the form of, eg, XY45 6XX."</w:t>
            </w:r>
          </w:p>
        </w:tc>
      </w:tr>
      <w:tr w:rsidR="00095E11" w14:paraId="2AB5607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72ECE3C" w14:textId="77777777" w:rsidR="00095E11" w:rsidRPr="00285A6C" w:rsidRDefault="00095E11" w:rsidP="008D651F">
            <w:pPr>
              <w:pStyle w:val="BodyText"/>
            </w:pPr>
            <w:r w:rsidRPr="00ED1266">
              <w:t>86A</w:t>
            </w:r>
          </w:p>
        </w:tc>
        <w:tc>
          <w:tcPr>
            <w:tcW w:w="2410" w:type="dxa"/>
          </w:tcPr>
          <w:p w14:paraId="19AA92F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D1266">
              <w:t>Guarantor’s residential status on the agreement execution date</w:t>
            </w:r>
          </w:p>
        </w:tc>
        <w:tc>
          <w:tcPr>
            <w:tcW w:w="2126" w:type="dxa"/>
          </w:tcPr>
          <w:p w14:paraId="3FD4C5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Owner occupier – own outright</w:t>
            </w:r>
          </w:p>
          <w:p w14:paraId="60B9F7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Owner occupier – mortgage</w:t>
            </w:r>
          </w:p>
          <w:p w14:paraId="59636F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Owner occupier – unspecified</w:t>
            </w:r>
          </w:p>
          <w:p w14:paraId="56BD26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B1 = Renting – private landlord</w:t>
            </w:r>
          </w:p>
          <w:p w14:paraId="31775E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 Renting – social landlord</w:t>
            </w:r>
          </w:p>
          <w:p w14:paraId="4B6636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 Renting – unspecified</w:t>
            </w:r>
          </w:p>
          <w:p w14:paraId="2B39402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Living with relatives or friends</w:t>
            </w:r>
          </w:p>
          <w:p w14:paraId="4E5EEF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2B268C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0D6758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residential status of the guarantor on the date the regulated credit agreement was executed.</w:t>
            </w:r>
          </w:p>
          <w:p w14:paraId="3E66BFF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6DF22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392832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63712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9C704F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Owner occupier – own outright</w:t>
            </w:r>
          </w:p>
          <w:p w14:paraId="0317745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without a mortgage to pay for the residence.</w:t>
            </w:r>
          </w:p>
          <w:p w14:paraId="35D809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Owner occupier – mortgage</w:t>
            </w:r>
          </w:p>
          <w:p w14:paraId="3BFCB4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while repaying a mortgage to pay for the residence.</w:t>
            </w:r>
          </w:p>
          <w:p w14:paraId="6898DD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Owner occupier – unspecified</w:t>
            </w:r>
          </w:p>
          <w:p w14:paraId="4B7224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owns their main residence and whether they have a mortgage to pay for the residence is not recorded."</w:t>
            </w:r>
          </w:p>
          <w:p w14:paraId="74E5FD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"B1: Renting – private landlord</w:t>
            </w:r>
          </w:p>
          <w:p w14:paraId="363AE53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renting their main residence from a private landlord.</w:t>
            </w:r>
          </w:p>
          <w:p w14:paraId="0C77BD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B2: Renting – social landlord</w:t>
            </w:r>
          </w:p>
          <w:p w14:paraId="68A622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renting their main residence from a social landlord.</w:t>
            </w:r>
          </w:p>
          <w:p w14:paraId="489093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B0: Renting – unspecified</w:t>
            </w:r>
          </w:p>
          <w:p w14:paraId="6D715E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renting their main residence and the type of landlord is not recorded.</w:t>
            </w:r>
          </w:p>
          <w:p w14:paraId="3135C7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Living with relatives or friends</w:t>
            </w:r>
          </w:p>
          <w:p w14:paraId="7722F3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is living with relatives or friends, without a tenancy agreement.</w:t>
            </w:r>
          </w:p>
          <w:p w14:paraId="12EC05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03899F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guarantor’s residential status is not as described by any of the specific options above.</w:t>
            </w:r>
          </w:p>
          <w:p w14:paraId="51C0A5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68C2D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cannot determine the guarantor’s residential status to be one of the specific options above."</w:t>
            </w:r>
          </w:p>
        </w:tc>
      </w:tr>
      <w:tr w:rsidR="00095E11" w14:paraId="7BCA016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B419B1B" w14:textId="77777777" w:rsidR="00095E11" w:rsidRPr="00285A6C" w:rsidRDefault="00095E11" w:rsidP="008D651F">
            <w:pPr>
              <w:pStyle w:val="BodyText"/>
            </w:pPr>
            <w:r w:rsidRPr="003627F0">
              <w:lastRenderedPageBreak/>
              <w:t>87A</w:t>
            </w:r>
          </w:p>
        </w:tc>
        <w:tc>
          <w:tcPr>
            <w:tcW w:w="2410" w:type="dxa"/>
          </w:tcPr>
          <w:p w14:paraId="6EE81C4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27F0">
              <w:t>Guarantor’s employment status on the agreement execution date</w:t>
            </w:r>
          </w:p>
        </w:tc>
        <w:tc>
          <w:tcPr>
            <w:tcW w:w="2126" w:type="dxa"/>
          </w:tcPr>
          <w:p w14:paraId="5992600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 Employed – permanent or fixed-term</w:t>
            </w:r>
          </w:p>
          <w:p w14:paraId="5F7A02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 Employed – temporary</w:t>
            </w:r>
          </w:p>
          <w:p w14:paraId="66CB00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 Employed – unspecified</w:t>
            </w:r>
          </w:p>
          <w:p w14:paraId="14EB13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Self-employed</w:t>
            </w:r>
          </w:p>
          <w:p w14:paraId="194BFA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Not employed</w:t>
            </w:r>
          </w:p>
          <w:p w14:paraId="12CDF1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01BB73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F5AF4B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guarantor on the date the regulated credit agreement was executed.</w:t>
            </w:r>
          </w:p>
          <w:p w14:paraId="2F69B0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49772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41192A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D6D396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24145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A1: Employed permanent or fixed-term</w:t>
            </w:r>
          </w:p>
          <w:p w14:paraId="7D1B86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had a permanent or fixed-term contract(s) to work for an employer(s).</w:t>
            </w:r>
          </w:p>
          <w:p w14:paraId="24065E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A2: Employed temporary</w:t>
            </w:r>
          </w:p>
          <w:p w14:paraId="236E42D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guarantor was working through a recruitment agency.</w:t>
            </w:r>
          </w:p>
          <w:p w14:paraId="58082B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A0: Employed unspecified</w:t>
            </w:r>
          </w:p>
          <w:p w14:paraId="4C71C4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working for an employer(s) and the type of employment is not recorded.</w:t>
            </w:r>
          </w:p>
          <w:p w14:paraId="4390E29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Self-employed</w:t>
            </w:r>
          </w:p>
          <w:p w14:paraId="285100F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working for themself as a sole trader.</w:t>
            </w:r>
          </w:p>
          <w:p w14:paraId="469DC1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Not employed</w:t>
            </w:r>
          </w:p>
          <w:p w14:paraId="2D1006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guarantor was not employed.</w:t>
            </w:r>
          </w:p>
          <w:p w14:paraId="5ACC63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6E074E5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guarantor is not covered by the specified options.</w:t>
            </w:r>
          </w:p>
          <w:p w14:paraId="2955F24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613CFD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employment status of the guarantor was not recorded by the reporting firm."</w:t>
            </w:r>
          </w:p>
        </w:tc>
      </w:tr>
      <w:tr w:rsidR="00095E11" w14:paraId="0F04D1B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FA422D6" w14:textId="77777777" w:rsidR="00095E11" w:rsidRPr="00285A6C" w:rsidRDefault="00095E11" w:rsidP="008D651F">
            <w:pPr>
              <w:pStyle w:val="BodyText"/>
            </w:pPr>
            <w:r w:rsidRPr="003627F0">
              <w:lastRenderedPageBreak/>
              <w:t>88A</w:t>
            </w:r>
          </w:p>
        </w:tc>
        <w:tc>
          <w:tcPr>
            <w:tcW w:w="2410" w:type="dxa"/>
          </w:tcPr>
          <w:p w14:paraId="26D9269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27F0">
              <w:t>Detail of guarantor’s employment</w:t>
            </w:r>
          </w:p>
        </w:tc>
        <w:tc>
          <w:tcPr>
            <w:tcW w:w="2126" w:type="dxa"/>
          </w:tcPr>
          <w:p w14:paraId="73A92C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Full-time</w:t>
            </w:r>
          </w:p>
          <w:p w14:paraId="3C16F1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Part-time</w:t>
            </w:r>
          </w:p>
          <w:p w14:paraId="572D4B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Casual</w:t>
            </w:r>
          </w:p>
          <w:p w14:paraId="7FBBA5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CC7029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59BA742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employment status of the guarantor on the date the regulated credit agreement was executed.</w:t>
            </w:r>
          </w:p>
          <w:p w14:paraId="6105EEB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BA34B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029929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8EBD7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ABEC8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Full-time</w:t>
            </w:r>
          </w:p>
          <w:p w14:paraId="2414D7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employment of the guarantor as full-time.</w:t>
            </w:r>
          </w:p>
          <w:p w14:paraId="4EA2E9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Part-time</w:t>
            </w:r>
          </w:p>
          <w:p w14:paraId="5AF520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employment of the guarantor as part-time.</w:t>
            </w:r>
          </w:p>
          <w:p w14:paraId="08E830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Casual</w:t>
            </w:r>
          </w:p>
          <w:p w14:paraId="4E879A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reporting firm categorised the employment of the guarantor as casual. This includes a zero-hours contract.</w:t>
            </w:r>
          </w:p>
          <w:p w14:paraId="4338E9F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7974E4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employment of the guarantor in a way that is not covered by the specified options above.</w:t>
            </w:r>
          </w:p>
          <w:p w14:paraId="1474A3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59AE4E7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categorised the employment of the guarantor in this way."</w:t>
            </w:r>
          </w:p>
        </w:tc>
      </w:tr>
      <w:tr w:rsidR="00095E11" w14:paraId="745239D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6EF4DCD" w14:textId="77777777" w:rsidR="00095E11" w:rsidRPr="00285A6C" w:rsidRDefault="00095E11" w:rsidP="008D651F">
            <w:pPr>
              <w:pStyle w:val="BodyText"/>
            </w:pPr>
            <w:r w:rsidRPr="00BE7FD0">
              <w:lastRenderedPageBreak/>
              <w:t>89A</w:t>
            </w:r>
          </w:p>
        </w:tc>
        <w:tc>
          <w:tcPr>
            <w:tcW w:w="2410" w:type="dxa"/>
          </w:tcPr>
          <w:p w14:paraId="65887AE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E7FD0">
              <w:t>Detail of guarantor’s not employed status</w:t>
            </w:r>
          </w:p>
        </w:tc>
        <w:tc>
          <w:tcPr>
            <w:tcW w:w="2126" w:type="dxa"/>
          </w:tcPr>
          <w:p w14:paraId="3FDFCA0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Seeking work</w:t>
            </w:r>
          </w:p>
          <w:p w14:paraId="075768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 education</w:t>
            </w:r>
          </w:p>
          <w:p w14:paraId="3F55D7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Retired</w:t>
            </w:r>
          </w:p>
          <w:p w14:paraId="5B42FD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Looking after the home or family</w:t>
            </w:r>
          </w:p>
          <w:p w14:paraId="33F8718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w:t>
            </w:r>
          </w:p>
          <w:p w14:paraId="5D2941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Unspecified"</w:t>
            </w:r>
          </w:p>
        </w:tc>
        <w:tc>
          <w:tcPr>
            <w:tcW w:w="3963" w:type="dxa"/>
          </w:tcPr>
          <w:p w14:paraId="12B85C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selection should reflect the detail of the not employed status of the guarantor on the data the regulated credit agreement was executed.</w:t>
            </w:r>
          </w:p>
          <w:p w14:paraId="45CD4C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FE9EE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should select the option which best aligns to the information, if any, it holds. The reporting firm is not required to collect additional information in order to be able to better determine the application of any of the specified options.</w:t>
            </w:r>
          </w:p>
          <w:p w14:paraId="7C743A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ED95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290477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Seeking work</w:t>
            </w:r>
          </w:p>
          <w:p w14:paraId="5412DE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guarantor’s status as looking for and available for work.</w:t>
            </w:r>
          </w:p>
          <w:p w14:paraId="72F6488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 education</w:t>
            </w:r>
          </w:p>
          <w:p w14:paraId="6D49322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guarantor’s status as being in education.</w:t>
            </w:r>
          </w:p>
          <w:p w14:paraId="2C166E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Retired</w:t>
            </w:r>
          </w:p>
          <w:p w14:paraId="73910E0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guarantor’s status as being retired.</w:t>
            </w:r>
          </w:p>
          <w:p w14:paraId="1ED40EE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Looking after the home or family</w:t>
            </w:r>
          </w:p>
          <w:p w14:paraId="484C0D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categorised the detail of the guarantor’s status as looking after the home or family. This includes being a carer for a close family member.</w:t>
            </w:r>
          </w:p>
          <w:p w14:paraId="28ADFA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w:t>
            </w:r>
          </w:p>
          <w:p w14:paraId="3571EF6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reporting firm categorised the detail of the guarantor’s status in a way that is not covered by the specified options above.</w:t>
            </w:r>
          </w:p>
          <w:p w14:paraId="6EF935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Unspecified</w:t>
            </w:r>
          </w:p>
          <w:p w14:paraId="697CD0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categorised the detail of the guarantor’s status in this way."</w:t>
            </w:r>
          </w:p>
        </w:tc>
      </w:tr>
      <w:tr w:rsidR="00095E11" w14:paraId="4A41E76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18257A2" w14:textId="77777777" w:rsidR="00095E11" w:rsidRPr="00285A6C" w:rsidRDefault="00095E11" w:rsidP="008D651F">
            <w:pPr>
              <w:pStyle w:val="BodyText"/>
            </w:pPr>
            <w:r w:rsidRPr="0008283F">
              <w:lastRenderedPageBreak/>
              <w:t>90A</w:t>
            </w:r>
          </w:p>
        </w:tc>
        <w:tc>
          <w:tcPr>
            <w:tcW w:w="2410" w:type="dxa"/>
          </w:tcPr>
          <w:p w14:paraId="5068AA0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83F">
              <w:t>Did the creditworthiness assessment of the guarantor for the agreement include any manual underwriting check?</w:t>
            </w:r>
          </w:p>
        </w:tc>
        <w:tc>
          <w:tcPr>
            <w:tcW w:w="2126" w:type="dxa"/>
          </w:tcPr>
          <w:p w14:paraId="5A4EE57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1FC6F9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p w14:paraId="2F643E3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33B336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D3005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366108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guarantor for the regulated credit agreement involved a manual intervention/ assessment by a natural person.</w:t>
            </w:r>
          </w:p>
          <w:p w14:paraId="437FC8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182E2E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creditworthiness assessment of the guarantor for the regulated credit agreement did not involve a manual intervention/ assessment by a natural person.</w:t>
            </w:r>
          </w:p>
          <w:p w14:paraId="3EB3FB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9CF8C3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is unable to determine whether the creditworthiness assessment of the guarantor for the regulated credit agreement involved any manual intervention/ assessment by a natural person."</w:t>
            </w:r>
          </w:p>
        </w:tc>
      </w:tr>
      <w:tr w:rsidR="00095E11" w14:paraId="1BE5DD3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582034" w14:textId="77777777" w:rsidR="00095E11" w:rsidRPr="00285A6C" w:rsidRDefault="00095E11" w:rsidP="008D651F">
            <w:pPr>
              <w:pStyle w:val="BodyText"/>
            </w:pPr>
            <w:r w:rsidRPr="0008283F">
              <w:t>91A</w:t>
            </w:r>
          </w:p>
        </w:tc>
        <w:tc>
          <w:tcPr>
            <w:tcW w:w="2410" w:type="dxa"/>
          </w:tcPr>
          <w:p w14:paraId="18D8626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83F">
              <w:t>Income and expenditure information held in relation to the creditworthiness assessment of the guarantor</w:t>
            </w:r>
          </w:p>
        </w:tc>
        <w:tc>
          <w:tcPr>
            <w:tcW w:w="2126" w:type="dxa"/>
          </w:tcPr>
          <w:p w14:paraId="4043D8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No income and expenditure</w:t>
            </w:r>
          </w:p>
          <w:p w14:paraId="05D15F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Income and expenditure, no declared income and expenditure, no breakdown</w:t>
            </w:r>
          </w:p>
          <w:p w14:paraId="4C45BB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Income and expenditure, with declared income and expenditure, no breakdown</w:t>
            </w:r>
          </w:p>
          <w:p w14:paraId="2A38CE7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Income and expenditure, no declared income and expenditure, with breakdown</w:t>
            </w:r>
          </w:p>
          <w:p w14:paraId="6056691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E = Income and expenditure, with declared income and expenditure, with breakdown</w:t>
            </w:r>
          </w:p>
          <w:p w14:paraId="6E09EBA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0DA303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should reflect the income and non-discretionary expenditure information held by the reporting firm for the creditworthiness assessment of the guarantor in relation to the regulated credit agreement.</w:t>
            </w:r>
          </w:p>
          <w:p w14:paraId="41C23D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3D038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60AAA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No income and expenditure</w:t>
            </w:r>
          </w:p>
          <w:p w14:paraId="124DBD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has not considered the guarantor’s income and non-discretionary expenditure in accordance with CONC 5.2A.31R and CONC 5.2A.32G.</w:t>
            </w:r>
          </w:p>
          <w:p w14:paraId="4B592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Income and expenditure, no declared income and expenditure, no breakdown</w:t>
            </w:r>
          </w:p>
          <w:p w14:paraId="359C2F8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(1) The reporting firm holds the values used for the guarantor’s income and non-discretionary expenditure in relation to the creditworthiness assessment of the guarantor;</w:t>
            </w:r>
          </w:p>
          <w:p w14:paraId="43D8892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guarantor for their income and non-discretionary expenditure; and</w:t>
            </w:r>
          </w:p>
          <w:p w14:paraId="6511F2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does not hold values for the non-discretionary expenditure broken down to housing, existing credit commitments and/or other costs.</w:t>
            </w:r>
          </w:p>
          <w:p w14:paraId="7CA09D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Income and expenditure, with declared income and expenditure, no breakdown</w:t>
            </w:r>
          </w:p>
          <w:p w14:paraId="38C33A3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guarantor’s income and non-discretionary expenditure in relation to the creditworthiness assessment of the guarantor;</w:t>
            </w:r>
          </w:p>
          <w:p w14:paraId="349CC9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guarantor for their income and non-discretionary expenditure; and</w:t>
            </w:r>
          </w:p>
          <w:p w14:paraId="7DE3D58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does not hold values for the non-discretionary expenditure broken down to housing, existing credit commitments and/or other costs."</w:t>
            </w:r>
          </w:p>
          <w:p w14:paraId="2883A9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Income and expenditure, no declared income and expenditure, with breakdown</w:t>
            </w:r>
          </w:p>
          <w:p w14:paraId="5E0D97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guarantor’s income and non-discretionary expenditure in relation to the creditworthiness assessment of the guarantor;</w:t>
            </w:r>
          </w:p>
          <w:p w14:paraId="4A7E3D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does not hold values declared by the guarantor for their income and non-discretionary expenditure; and</w:t>
            </w:r>
          </w:p>
          <w:p w14:paraId="6813AE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holds values for the non-discretionary expenditure broken down to housing, existing credit commitments and/or other costs.</w:t>
            </w:r>
          </w:p>
          <w:p w14:paraId="562647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Income and expenditure, with declared income and expenditure, with breakdown</w:t>
            </w:r>
          </w:p>
          <w:p w14:paraId="157F3C0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The reporting firm holds the values used for the guarantor’s income and non-</w:t>
            </w:r>
            <w:r>
              <w:lastRenderedPageBreak/>
              <w:t>discretionary expenditure in relation to the creditworthiness assessment of the guarantor;</w:t>
            </w:r>
          </w:p>
          <w:p w14:paraId="4D2F58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the reporting firm holds values declared by the guarantor for their income and non-discretionary expenditure; and</w:t>
            </w:r>
          </w:p>
          <w:p w14:paraId="2C6E6C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the reporting firm holds values for the non-discretionary expenditure broken down to housing, existing credit commitments, and/or other costs.</w:t>
            </w:r>
          </w:p>
          <w:p w14:paraId="2333A4F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0F4D19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the values used for the guarantor’s income and non-discretionary expenditure in relation to the creditworthiness assessment of the guarantor."</w:t>
            </w:r>
          </w:p>
        </w:tc>
      </w:tr>
      <w:tr w:rsidR="00095E11" w14:paraId="014C099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C6588EF" w14:textId="77777777" w:rsidR="00095E11" w:rsidRPr="00285A6C" w:rsidRDefault="00095E11" w:rsidP="008D651F">
            <w:pPr>
              <w:pStyle w:val="BodyText"/>
            </w:pPr>
            <w:r w:rsidRPr="001D6292">
              <w:lastRenderedPageBreak/>
              <w:t>92A</w:t>
            </w:r>
          </w:p>
        </w:tc>
        <w:tc>
          <w:tcPr>
            <w:tcW w:w="2410" w:type="dxa"/>
          </w:tcPr>
          <w:p w14:paraId="3E432AD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D6292">
              <w:t>Number of financial dependants for the guarantor</w:t>
            </w:r>
          </w:p>
        </w:tc>
        <w:tc>
          <w:tcPr>
            <w:tcW w:w="2126" w:type="dxa"/>
          </w:tcPr>
          <w:p w14:paraId="31D04B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"0 = No financial dependants</w:t>
            </w:r>
          </w:p>
          <w:p w14:paraId="1EF351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 1 financial dependant</w:t>
            </w:r>
          </w:p>
          <w:p w14:paraId="77789A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 2 financial dependants</w:t>
            </w:r>
          </w:p>
          <w:p w14:paraId="68C8AD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 3 financial dependants</w:t>
            </w:r>
          </w:p>
          <w:p w14:paraId="75BB7F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4 = 4 financial dependants</w:t>
            </w:r>
          </w:p>
          <w:p w14:paraId="35102C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5 = 5 financial dependants</w:t>
            </w:r>
          </w:p>
          <w:p w14:paraId="48872D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6 = 6 financial dependants</w:t>
            </w:r>
          </w:p>
          <w:p w14:paraId="04E742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7 = 7 financial dependants</w:t>
            </w:r>
          </w:p>
          <w:p w14:paraId="36E2E1C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8 = 8 financial dependants</w:t>
            </w:r>
          </w:p>
          <w:p w14:paraId="38FBC3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9 = 9 financial dependants</w:t>
            </w:r>
          </w:p>
          <w:p w14:paraId="2D920C7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10 = 10 financial dependants</w:t>
            </w:r>
          </w:p>
          <w:p w14:paraId="56F44D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More than 10 financial dependants</w:t>
            </w:r>
          </w:p>
          <w:p w14:paraId="755C69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Z = Unknown"</w:t>
            </w:r>
          </w:p>
        </w:tc>
        <w:tc>
          <w:tcPr>
            <w:tcW w:w="3963" w:type="dxa"/>
          </w:tcPr>
          <w:p w14:paraId="75521A1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"The number of natural persons who rely on the guarantor financially, as recorded by the reporting firm.</w:t>
            </w:r>
          </w:p>
          <w:p w14:paraId="69BF72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0AA57C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reporting firm only records data on the guarantor’s financial dependants up to a certain number even where the guarantor’s financial dependants exceed that number, the reporting firm should report the highest number it records for such a guarantor.</w:t>
            </w:r>
          </w:p>
          <w:p w14:paraId="51F561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DB4E1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example, if a reporting firm only records data on up to 5 financial dependants, in circumstances where a guarantor has 5 or more financial dependants, the reporting firm should report this as ‘5: 5 financial dependants’.</w:t>
            </w:r>
          </w:p>
          <w:p w14:paraId="2F2A1C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DA706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0BAC835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0: No financial dependants</w:t>
            </w:r>
          </w:p>
          <w:p w14:paraId="7438759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 1 financial dependant</w:t>
            </w:r>
          </w:p>
          <w:p w14:paraId="350487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2: 2 financial dependants</w:t>
            </w:r>
          </w:p>
          <w:p w14:paraId="09D25C0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3: 3 financial dependants</w:t>
            </w:r>
          </w:p>
          <w:p w14:paraId="662197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4: 4 financial dependants</w:t>
            </w:r>
          </w:p>
          <w:p w14:paraId="31B3F4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5: 5 financial dependants</w:t>
            </w:r>
          </w:p>
          <w:p w14:paraId="5FB4B7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6: 6 financial dependants</w:t>
            </w:r>
          </w:p>
          <w:p w14:paraId="32EA51D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7: 7 financial dependants</w:t>
            </w:r>
          </w:p>
          <w:p w14:paraId="625322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8: 8 financial dependants</w:t>
            </w:r>
          </w:p>
          <w:p w14:paraId="2A6B60C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9: 9 financial dependants</w:t>
            </w:r>
          </w:p>
          <w:p w14:paraId="746B81C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10: 10 financial dependants</w:t>
            </w:r>
          </w:p>
          <w:p w14:paraId="5B5DF1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More than 10 financial dependants</w:t>
            </w:r>
          </w:p>
          <w:p w14:paraId="3E1134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3511A7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does not hold, or is unable to determine whether it holds, information on the natural persons who rely on the guarantor financially."</w:t>
            </w:r>
          </w:p>
        </w:tc>
      </w:tr>
      <w:tr w:rsidR="00095E11" w14:paraId="077B261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D17DC49" w14:textId="77777777" w:rsidR="00095E11" w:rsidRPr="00285A6C" w:rsidRDefault="00095E11" w:rsidP="008D651F">
            <w:pPr>
              <w:pStyle w:val="BodyText"/>
            </w:pPr>
            <w:r w:rsidRPr="001D6292">
              <w:lastRenderedPageBreak/>
              <w:t>93A</w:t>
            </w:r>
          </w:p>
        </w:tc>
        <w:tc>
          <w:tcPr>
            <w:tcW w:w="2410" w:type="dxa"/>
          </w:tcPr>
          <w:p w14:paraId="776AC9D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D6292">
              <w:t>Net or gross income values for guarantor</w:t>
            </w:r>
          </w:p>
        </w:tc>
        <w:tc>
          <w:tcPr>
            <w:tcW w:w="2126" w:type="dxa"/>
          </w:tcPr>
          <w:p w14:paraId="56CE22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Net</w:t>
            </w:r>
          </w:p>
          <w:p w14:paraId="3D1EFEF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Gross"</w:t>
            </w:r>
          </w:p>
        </w:tc>
        <w:tc>
          <w:tcPr>
            <w:tcW w:w="3963" w:type="dxa"/>
          </w:tcPr>
          <w:p w14:paraId="692849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income information held by the reporting firm for the creditworthiness assessment of the guarantor in relation to the regulated credit agreement. The income value(s) reported in the relevant data element(s) must correspond with the selection made.</w:t>
            </w:r>
          </w:p>
          <w:p w14:paraId="498F48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8E3538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both net and gross income values are held, the reporting firm should select ‘A: Net’ and provide the net income value(s) in the relevant data element(s).</w:t>
            </w:r>
          </w:p>
          <w:p w14:paraId="6407937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1B0418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31CD91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Net</w:t>
            </w:r>
          </w:p>
          <w:p w14:paraId="3644AF3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guarantor’s income as net of mandatory deductions such as tax, national insurance, and student loans. This should not include any deductions for non-discretionary expenditure.</w:t>
            </w:r>
          </w:p>
          <w:p w14:paraId="0401EAB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Gross</w:t>
            </w:r>
          </w:p>
          <w:p w14:paraId="5895D78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reporting firm holds the values used for the guarantor’s income as gross income."</w:t>
            </w:r>
          </w:p>
        </w:tc>
      </w:tr>
      <w:tr w:rsidR="00095E11" w14:paraId="49F27A4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A7159D0" w14:textId="77777777" w:rsidR="00095E11" w:rsidRPr="00285A6C" w:rsidRDefault="00095E11" w:rsidP="008D651F">
            <w:pPr>
              <w:pStyle w:val="BodyText"/>
            </w:pPr>
            <w:r w:rsidRPr="00D84BE6">
              <w:lastRenderedPageBreak/>
              <w:t>94A</w:t>
            </w:r>
          </w:p>
        </w:tc>
        <w:tc>
          <w:tcPr>
            <w:tcW w:w="2410" w:type="dxa"/>
          </w:tcPr>
          <w:p w14:paraId="098F340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Monthly income of the guarantor used by the reporting firm</w:t>
            </w:r>
          </w:p>
        </w:tc>
        <w:tc>
          <w:tcPr>
            <w:tcW w:w="2126" w:type="dxa"/>
          </w:tcPr>
          <w:p w14:paraId="55CC35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Numeric £</w:t>
            </w:r>
          </w:p>
        </w:tc>
        <w:tc>
          <w:tcPr>
            <w:tcW w:w="3963" w:type="dxa"/>
          </w:tcPr>
          <w:p w14:paraId="1625CA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monthly income of the guarantor which was used by the reporting firm in the final stage of the creditworthiness assessment of the guarantor for the regulated credit agreement.</w:t>
            </w:r>
          </w:p>
          <w:p w14:paraId="42DF0F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26DD0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income figure used in the final stage of the creditworthiness assessment of the guarantor for the regulated credit agreement was for a different time period, this should include a derivation of this figure to estimate the monthly equivalent."</w:t>
            </w:r>
          </w:p>
        </w:tc>
      </w:tr>
      <w:tr w:rsidR="00095E11" w14:paraId="1112A51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6493D39" w14:textId="77777777" w:rsidR="00095E11" w:rsidRPr="00285A6C" w:rsidRDefault="00095E11" w:rsidP="008D651F">
            <w:pPr>
              <w:pStyle w:val="BodyText"/>
            </w:pPr>
            <w:r w:rsidRPr="00D84BE6">
              <w:t>95A</w:t>
            </w:r>
          </w:p>
        </w:tc>
        <w:tc>
          <w:tcPr>
            <w:tcW w:w="2410" w:type="dxa"/>
          </w:tcPr>
          <w:p w14:paraId="72BE9F3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Total monthly expenditure of the guarantor used by the reporting firm</w:t>
            </w:r>
          </w:p>
        </w:tc>
        <w:tc>
          <w:tcPr>
            <w:tcW w:w="2126" w:type="dxa"/>
          </w:tcPr>
          <w:p w14:paraId="15EF67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84BE6">
              <w:t>Numeric £</w:t>
            </w:r>
          </w:p>
        </w:tc>
        <w:tc>
          <w:tcPr>
            <w:tcW w:w="3963" w:type="dxa"/>
          </w:tcPr>
          <w:p w14:paraId="1C5289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monthly non-discretionary expenditure of the guarantor which was used by the reporting firm in the final stage of the creditworthiness assessment of the guarantor for the regulated credit agreement.</w:t>
            </w:r>
          </w:p>
          <w:p w14:paraId="258298F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E3277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figure used in the final stage of the creditworthiness assessment of the guarantor for the regulated credit agreement was for a different time period, this should include a derivation of this figure to estimate the monthly equivalent."</w:t>
            </w:r>
          </w:p>
        </w:tc>
      </w:tr>
      <w:tr w:rsidR="00095E11" w14:paraId="04FEE4A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354D9A6" w14:textId="77777777" w:rsidR="00095E11" w:rsidRPr="00285A6C" w:rsidRDefault="00095E11" w:rsidP="008D651F">
            <w:pPr>
              <w:pStyle w:val="BodyText"/>
            </w:pPr>
            <w:r w:rsidRPr="002F1102">
              <w:t>96A</w:t>
            </w:r>
          </w:p>
        </w:tc>
        <w:tc>
          <w:tcPr>
            <w:tcW w:w="2410" w:type="dxa"/>
          </w:tcPr>
          <w:p w14:paraId="392E6AC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Monthly income declared by the guarantor</w:t>
            </w:r>
          </w:p>
        </w:tc>
        <w:tc>
          <w:tcPr>
            <w:tcW w:w="2126" w:type="dxa"/>
          </w:tcPr>
          <w:p w14:paraId="44C42ED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Numeric £</w:t>
            </w:r>
          </w:p>
        </w:tc>
        <w:tc>
          <w:tcPr>
            <w:tcW w:w="3963" w:type="dxa"/>
          </w:tcPr>
          <w:p w14:paraId="3545A4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income declared by the guarantor.</w:t>
            </w:r>
          </w:p>
          <w:p w14:paraId="4BD5FCF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B570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income was declared by the guarantor for a different time period, this should include a derivation of this figure to estimate the monthly equivalent."</w:t>
            </w:r>
          </w:p>
        </w:tc>
      </w:tr>
      <w:tr w:rsidR="00095E11" w14:paraId="2126656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1960806" w14:textId="77777777" w:rsidR="00095E11" w:rsidRPr="00285A6C" w:rsidRDefault="00095E11" w:rsidP="008D651F">
            <w:pPr>
              <w:pStyle w:val="BodyText"/>
            </w:pPr>
            <w:r w:rsidRPr="000C51A7">
              <w:t>97A</w:t>
            </w:r>
          </w:p>
        </w:tc>
        <w:tc>
          <w:tcPr>
            <w:tcW w:w="2410" w:type="dxa"/>
          </w:tcPr>
          <w:p w14:paraId="33BE9A9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C51A7">
              <w:t>Total monthly expenditure declared by the guarantor</w:t>
            </w:r>
          </w:p>
        </w:tc>
        <w:tc>
          <w:tcPr>
            <w:tcW w:w="2126" w:type="dxa"/>
          </w:tcPr>
          <w:p w14:paraId="323E10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2F1102">
              <w:t>Numeric £</w:t>
            </w:r>
          </w:p>
        </w:tc>
        <w:tc>
          <w:tcPr>
            <w:tcW w:w="3963" w:type="dxa"/>
          </w:tcPr>
          <w:p w14:paraId="12111F6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combined monthly non-discretionary expenditure declared by the guarantor.</w:t>
            </w:r>
          </w:p>
          <w:p w14:paraId="35ED576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D3EE6B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was declared by the guarantor for a different time period, this should include a derivation of this figure to estimate the monthly equivalent."</w:t>
            </w:r>
          </w:p>
        </w:tc>
      </w:tr>
      <w:tr w:rsidR="00095E11" w14:paraId="0B8B8E68"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0C2529" w14:textId="77777777" w:rsidR="00095E11" w:rsidRPr="00285A6C" w:rsidRDefault="00095E11" w:rsidP="008D651F">
            <w:pPr>
              <w:pStyle w:val="BodyText"/>
            </w:pPr>
            <w:r w:rsidRPr="00B95A68">
              <w:lastRenderedPageBreak/>
              <w:t>98A</w:t>
            </w:r>
          </w:p>
        </w:tc>
        <w:tc>
          <w:tcPr>
            <w:tcW w:w="2410" w:type="dxa"/>
          </w:tcPr>
          <w:p w14:paraId="41FA777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68">
              <w:t>Specific type of monthly expenditure of the guarantor used by the reporting firm</w:t>
            </w:r>
          </w:p>
        </w:tc>
        <w:tc>
          <w:tcPr>
            <w:tcW w:w="2126" w:type="dxa"/>
          </w:tcPr>
          <w:p w14:paraId="40C563A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Housing costs</w:t>
            </w:r>
          </w:p>
          <w:p w14:paraId="6F8CAE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Existing credit commitments</w:t>
            </w:r>
          </w:p>
          <w:p w14:paraId="03048F2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Other expenditure"</w:t>
            </w:r>
          </w:p>
        </w:tc>
        <w:tc>
          <w:tcPr>
            <w:tcW w:w="3963" w:type="dxa"/>
          </w:tcPr>
          <w:p w14:paraId="60F4D2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2B3341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Housing costs</w:t>
            </w:r>
          </w:p>
          <w:p w14:paraId="685C82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Housing costs should include any rent, mortgage payments, ground rent or service charges for the dwelling in which the guarantor lives.</w:t>
            </w:r>
          </w:p>
          <w:p w14:paraId="4003B7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Existing credit commitments</w:t>
            </w:r>
          </w:p>
          <w:p w14:paraId="699FF2A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Existing credit commitments should include repayments of outstanding credit agreements or mortgage agreements not for the purchase of the dwelling in which the guarantor lives.</w:t>
            </w:r>
          </w:p>
          <w:p w14:paraId="382C399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Other expenditure</w:t>
            </w:r>
          </w:p>
          <w:p w14:paraId="13AA690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Other costs should not include non-discretionary expenditure relating to housing costs or existing credit commitments. It should include, but is not limited to, living expenses."</w:t>
            </w:r>
          </w:p>
        </w:tc>
      </w:tr>
      <w:tr w:rsidR="00095E11" w14:paraId="4314109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3E2D7FE" w14:textId="77777777" w:rsidR="00095E11" w:rsidRPr="00285A6C" w:rsidRDefault="00095E11" w:rsidP="008D651F">
            <w:pPr>
              <w:pStyle w:val="BodyText"/>
            </w:pPr>
            <w:r w:rsidRPr="00B95A68">
              <w:t>98B</w:t>
            </w:r>
          </w:p>
        </w:tc>
        <w:tc>
          <w:tcPr>
            <w:tcW w:w="2410" w:type="dxa"/>
          </w:tcPr>
          <w:p w14:paraId="3084E53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95A68">
              <w:t>Specific total monthly expenditure of the guarantor used by the reporting firm</w:t>
            </w:r>
          </w:p>
        </w:tc>
        <w:tc>
          <w:tcPr>
            <w:tcW w:w="2126" w:type="dxa"/>
          </w:tcPr>
          <w:p w14:paraId="755972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2453E">
              <w:t>Numeric £</w:t>
            </w:r>
          </w:p>
        </w:tc>
        <w:tc>
          <w:tcPr>
            <w:tcW w:w="3963" w:type="dxa"/>
          </w:tcPr>
          <w:p w14:paraId="0382C4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estimated combined monthly expenditure of the guarantor, covering the costs associated with the specific expenditure type, which was used by the reporting firm in the final stage of the creditworthiness assessment of the guarantor.</w:t>
            </w:r>
          </w:p>
          <w:p w14:paraId="4AAE86D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78A30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 non-discretionary expenditure figure used in the final stage of the creditworthiness assessment of the guarantor for the regulated credit agreement was for a different time period, this should include a derivation of this figure to estimate the monthly equivalent."</w:t>
            </w:r>
          </w:p>
        </w:tc>
      </w:tr>
      <w:tr w:rsidR="00095E11" w14:paraId="6AF6483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3CDA67B" w14:textId="77777777" w:rsidR="00095E11" w:rsidRPr="00285A6C" w:rsidRDefault="00095E11" w:rsidP="008D651F">
            <w:pPr>
              <w:pStyle w:val="BodyText"/>
            </w:pPr>
            <w:r w:rsidRPr="00A75AA6">
              <w:t>99A</w:t>
            </w:r>
          </w:p>
        </w:tc>
        <w:tc>
          <w:tcPr>
            <w:tcW w:w="2410" w:type="dxa"/>
          </w:tcPr>
          <w:p w14:paraId="3378A1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Total amount of credit</w:t>
            </w:r>
          </w:p>
        </w:tc>
        <w:tc>
          <w:tcPr>
            <w:tcW w:w="2126" w:type="dxa"/>
          </w:tcPr>
          <w:p w14:paraId="35E850C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2C6F69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credit limit or the total sums made available under the regulated credit agreement, as on the date the regulated credit agreement was executed.</w:t>
            </w:r>
          </w:p>
          <w:p w14:paraId="4928E4E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0E34C6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If the facility under the regulated credit agreement is for running-account credit and the credit limit was not known when the regulated credit </w:t>
            </w:r>
            <w:r>
              <w:lastRenderedPageBreak/>
              <w:t>agreement was executed, provide the value for the total amount of credit which was used in the calculation of the APR for the regulated credit agreement."</w:t>
            </w:r>
          </w:p>
        </w:tc>
      </w:tr>
      <w:tr w:rsidR="00095E11" w14:paraId="0A7B7F9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53CF5B8" w14:textId="77777777" w:rsidR="00095E11" w:rsidRPr="00285A6C" w:rsidRDefault="00095E11" w:rsidP="008D651F">
            <w:pPr>
              <w:pStyle w:val="BodyText"/>
            </w:pPr>
            <w:r w:rsidRPr="00A75AA6">
              <w:lastRenderedPageBreak/>
              <w:t>100A</w:t>
            </w:r>
          </w:p>
        </w:tc>
        <w:tc>
          <w:tcPr>
            <w:tcW w:w="2410" w:type="dxa"/>
          </w:tcPr>
          <w:p w14:paraId="0EAB4D0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The value of the total amount of credit which is not advanced to the borrower(s) at the start of the agreement</w:t>
            </w:r>
          </w:p>
        </w:tc>
        <w:tc>
          <w:tcPr>
            <w:tcW w:w="2126" w:type="dxa"/>
          </w:tcPr>
          <w:p w14:paraId="5CB65C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5B0C85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C0F05">
              <w:t>The value of any part of the total amount of credit which is not advanced to the borrower(s) at the start of the agreement but is instead available to be drawn down at a later date.</w:t>
            </w:r>
          </w:p>
        </w:tc>
      </w:tr>
      <w:tr w:rsidR="00095E11" w14:paraId="210607A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EDB76B0" w14:textId="77777777" w:rsidR="00095E11" w:rsidRPr="00285A6C" w:rsidRDefault="00095E11" w:rsidP="008D651F">
            <w:pPr>
              <w:pStyle w:val="BodyText"/>
            </w:pPr>
            <w:r w:rsidRPr="00A75AA6">
              <w:t>101A</w:t>
            </w:r>
          </w:p>
        </w:tc>
        <w:tc>
          <w:tcPr>
            <w:tcW w:w="2410" w:type="dxa"/>
          </w:tcPr>
          <w:p w14:paraId="046510D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Total cash price of all goods and services financed by the agreement</w:t>
            </w:r>
          </w:p>
        </w:tc>
        <w:tc>
          <w:tcPr>
            <w:tcW w:w="2126" w:type="dxa"/>
          </w:tcPr>
          <w:p w14:paraId="3442AA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7CA6AB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E04">
              <w:t>The total cash price of all goods and services financed by the regulated credit agreement.</w:t>
            </w:r>
          </w:p>
        </w:tc>
      </w:tr>
      <w:tr w:rsidR="00095E11" w14:paraId="644BD08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5F8BEB" w14:textId="77777777" w:rsidR="00095E11" w:rsidRPr="00285A6C" w:rsidRDefault="00095E11" w:rsidP="008D651F">
            <w:pPr>
              <w:pStyle w:val="BodyText"/>
            </w:pPr>
            <w:r w:rsidRPr="00A75AA6">
              <w:t>102A</w:t>
            </w:r>
          </w:p>
        </w:tc>
        <w:tc>
          <w:tcPr>
            <w:tcW w:w="2410" w:type="dxa"/>
          </w:tcPr>
          <w:p w14:paraId="0F87ADCF"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Advance payment</w:t>
            </w:r>
          </w:p>
        </w:tc>
        <w:tc>
          <w:tcPr>
            <w:tcW w:w="2126" w:type="dxa"/>
          </w:tcPr>
          <w:p w14:paraId="6323A65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75AA6">
              <w:t>Numeric £</w:t>
            </w:r>
          </w:p>
        </w:tc>
        <w:tc>
          <w:tcPr>
            <w:tcW w:w="3963" w:type="dxa"/>
          </w:tcPr>
          <w:p w14:paraId="69B1C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82E04">
              <w:t>Any advance payment made by the borrower(s).</w:t>
            </w:r>
          </w:p>
        </w:tc>
      </w:tr>
      <w:tr w:rsidR="00095E11" w14:paraId="26A01A6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B8BB3F1" w14:textId="77777777" w:rsidR="00095E11" w:rsidRPr="00285A6C" w:rsidRDefault="00095E11" w:rsidP="008D651F">
            <w:pPr>
              <w:pStyle w:val="BodyText"/>
            </w:pPr>
            <w:r w:rsidRPr="001A0286">
              <w:t>103A</w:t>
            </w:r>
          </w:p>
        </w:tc>
        <w:tc>
          <w:tcPr>
            <w:tcW w:w="2410" w:type="dxa"/>
          </w:tcPr>
          <w:p w14:paraId="498309C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APR</w:t>
            </w:r>
          </w:p>
        </w:tc>
        <w:tc>
          <w:tcPr>
            <w:tcW w:w="2126" w:type="dxa"/>
          </w:tcPr>
          <w:p w14:paraId="431B00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334EC">
              <w:t>Numeric %</w:t>
            </w:r>
          </w:p>
        </w:tc>
        <w:tc>
          <w:tcPr>
            <w:tcW w:w="3963" w:type="dxa"/>
          </w:tcPr>
          <w:p w14:paraId="7DE8FCC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percentage rate of charge for the regulated credit agreement calculated in accordance with CONC App 1.2 as on the date the regulated credit agreement was executed.</w:t>
            </w:r>
          </w:p>
          <w:p w14:paraId="6E35F25F" w14:textId="77777777" w:rsidR="00095E11" w:rsidRPr="0060483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604832">
              <w:rPr>
                <w:b/>
                <w:bCs/>
              </w:rPr>
              <w:t>This number should be reported as a percentage to 2 decimal places (eg, 3.49 represents 3.49%, not 349%)."</w:t>
            </w:r>
          </w:p>
        </w:tc>
      </w:tr>
      <w:tr w:rsidR="00095E11" w14:paraId="789A5E1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722A16F" w14:textId="77777777" w:rsidR="00095E11" w:rsidRPr="00285A6C" w:rsidRDefault="00095E11" w:rsidP="008D651F">
            <w:pPr>
              <w:pStyle w:val="BodyText"/>
            </w:pPr>
            <w:r w:rsidRPr="001A0286">
              <w:t>104A</w:t>
            </w:r>
          </w:p>
        </w:tc>
        <w:tc>
          <w:tcPr>
            <w:tcW w:w="2410" w:type="dxa"/>
          </w:tcPr>
          <w:p w14:paraId="3698175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Is the annual interest rate fixed or variable?</w:t>
            </w:r>
          </w:p>
        </w:tc>
        <w:tc>
          <w:tcPr>
            <w:tcW w:w="2126" w:type="dxa"/>
          </w:tcPr>
          <w:p w14:paraId="03C4FD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Fixed rate</w:t>
            </w:r>
          </w:p>
          <w:p w14:paraId="3749E2C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Variable rate"</w:t>
            </w:r>
          </w:p>
        </w:tc>
        <w:tc>
          <w:tcPr>
            <w:tcW w:w="3963" w:type="dxa"/>
          </w:tcPr>
          <w:p w14:paraId="288E2B2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7119A9B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Fixed rate</w:t>
            </w:r>
          </w:p>
          <w:p w14:paraId="008FCC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for the regulated credit agreement is fixed for the duration of the regulated credit agreement.</w:t>
            </w:r>
          </w:p>
          <w:p w14:paraId="2798FBA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include regulated credit agreements with a lower annual interest rate for an initial promotional period, which then reverts to a different fixed rate for the remaining term of the agreement.</w:t>
            </w:r>
          </w:p>
          <w:p w14:paraId="32FBAB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Variable rate</w:t>
            </w:r>
          </w:p>
          <w:p w14:paraId="7BF81D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for the regulated credit agreement is not fixed for the duration of the regulated credit agreement."</w:t>
            </w:r>
          </w:p>
        </w:tc>
      </w:tr>
      <w:tr w:rsidR="00095E11" w14:paraId="32B168F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519CE29" w14:textId="77777777" w:rsidR="00095E11" w:rsidRPr="00285A6C" w:rsidRDefault="00095E11" w:rsidP="008D651F">
            <w:pPr>
              <w:pStyle w:val="BodyText"/>
            </w:pPr>
            <w:r w:rsidRPr="001A0286">
              <w:lastRenderedPageBreak/>
              <w:t>105A</w:t>
            </w:r>
          </w:p>
        </w:tc>
        <w:tc>
          <w:tcPr>
            <w:tcW w:w="2410" w:type="dxa"/>
          </w:tcPr>
          <w:p w14:paraId="5A06E152"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Does the rate of interest reduce over time in response to indicators of reduced risk?</w:t>
            </w:r>
          </w:p>
        </w:tc>
        <w:tc>
          <w:tcPr>
            <w:tcW w:w="2126" w:type="dxa"/>
          </w:tcPr>
          <w:p w14:paraId="54FEEC3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52B9DE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3F8AE5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4E8CF6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Yes</w:t>
            </w:r>
          </w:p>
          <w:p w14:paraId="10CCDF5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includes terms to reduce the interest rate applied to the credit balance in response to indicators of reduced risk, such as improvements to the borrower(s)’ credit score(s) or a sequence of successful repayments in line with the repayment schedule.</w:t>
            </w:r>
          </w:p>
          <w:p w14:paraId="1EA0A88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146F1FE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option should be selected even if there are additional terms covering other circumstances for which the rate of interest could reduce.</w:t>
            </w:r>
          </w:p>
          <w:p w14:paraId="0627FCB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No</w:t>
            </w:r>
          </w:p>
          <w:p w14:paraId="471604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regulated credit agreement does not include terms to reduce the interest rate applied to the credit balance in response to indicators of reduced risk, such as improvements to the borrower(s)’ credit score(s) or a sequence of successful repayments in line with the repayment schedule."</w:t>
            </w:r>
          </w:p>
        </w:tc>
      </w:tr>
      <w:tr w:rsidR="00095E11" w14:paraId="53CC97C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B1523D3" w14:textId="77777777" w:rsidR="00095E11" w:rsidRPr="00285A6C" w:rsidRDefault="00095E11" w:rsidP="008D651F">
            <w:pPr>
              <w:pStyle w:val="BodyText"/>
            </w:pPr>
            <w:r w:rsidRPr="001A0286">
              <w:t>106A</w:t>
            </w:r>
          </w:p>
        </w:tc>
        <w:tc>
          <w:tcPr>
            <w:tcW w:w="2410" w:type="dxa"/>
          </w:tcPr>
          <w:p w14:paraId="550C29C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A0286">
              <w:t>Annual interest rate</w:t>
            </w:r>
          </w:p>
        </w:tc>
        <w:tc>
          <w:tcPr>
            <w:tcW w:w="2126" w:type="dxa"/>
          </w:tcPr>
          <w:p w14:paraId="4EAC504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8334EC">
              <w:t>Numeric %</w:t>
            </w:r>
          </w:p>
        </w:tc>
        <w:tc>
          <w:tcPr>
            <w:tcW w:w="3963" w:type="dxa"/>
          </w:tcPr>
          <w:p w14:paraId="43906D1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regulated credit agreements with a lower annual interest rate for an initial promotional period, this should reflect the annual interest rate following this initial promotional period.</w:t>
            </w:r>
          </w:p>
          <w:p w14:paraId="16B6C9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all other regulated credit agreements, this should reflect the annual interest rate on the date the regulated credit agreement was executed.</w:t>
            </w:r>
          </w:p>
          <w:p w14:paraId="7D62D685" w14:textId="77777777" w:rsidR="00095E11" w:rsidRPr="00604832"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604832">
              <w:rPr>
                <w:b/>
                <w:bCs/>
              </w:rPr>
              <w:t>This number should be reported as a percentage to 2 decimal places (eg, 3.49 represents 3.49%, not 349%)."</w:t>
            </w:r>
          </w:p>
        </w:tc>
      </w:tr>
      <w:tr w:rsidR="00095E11" w14:paraId="5B17759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AE6FFF6" w14:textId="77777777" w:rsidR="00095E11" w:rsidRPr="00285A6C" w:rsidRDefault="00095E11" w:rsidP="008D651F">
            <w:pPr>
              <w:pStyle w:val="BodyText"/>
            </w:pPr>
            <w:r w:rsidRPr="00FD61F1">
              <w:t>107A</w:t>
            </w:r>
          </w:p>
        </w:tc>
        <w:tc>
          <w:tcPr>
            <w:tcW w:w="2410" w:type="dxa"/>
          </w:tcPr>
          <w:p w14:paraId="3AF65E5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Total charge for credit</w:t>
            </w:r>
          </w:p>
        </w:tc>
        <w:tc>
          <w:tcPr>
            <w:tcW w:w="2126" w:type="dxa"/>
          </w:tcPr>
          <w:p w14:paraId="188D8D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Numeric £</w:t>
            </w:r>
          </w:p>
        </w:tc>
        <w:tc>
          <w:tcPr>
            <w:tcW w:w="3963" w:type="dxa"/>
          </w:tcPr>
          <w:p w14:paraId="098C01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The true cost to the borrower(s) of the credit provided, or to be provided, under the regulated credit agreement calculated in accordance with CONC App 1.2.</w:t>
            </w:r>
          </w:p>
        </w:tc>
      </w:tr>
      <w:tr w:rsidR="00095E11" w14:paraId="7897F07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E062CAB" w14:textId="77777777" w:rsidR="00095E11" w:rsidRPr="00285A6C" w:rsidRDefault="00095E11" w:rsidP="008D651F">
            <w:pPr>
              <w:pStyle w:val="BodyText"/>
            </w:pPr>
            <w:r w:rsidRPr="00FD61F1">
              <w:t>108A</w:t>
            </w:r>
          </w:p>
        </w:tc>
        <w:tc>
          <w:tcPr>
            <w:tcW w:w="2410" w:type="dxa"/>
          </w:tcPr>
          <w:p w14:paraId="3DEC72A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 xml:space="preserve">Total charge for credit: Total fees or charges </w:t>
            </w:r>
            <w:r w:rsidRPr="00FD61F1">
              <w:lastRenderedPageBreak/>
              <w:t>payable by the borrower(s) to a credit broker in connection with the agreement</w:t>
            </w:r>
          </w:p>
        </w:tc>
        <w:tc>
          <w:tcPr>
            <w:tcW w:w="2126" w:type="dxa"/>
          </w:tcPr>
          <w:p w14:paraId="32F7B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lastRenderedPageBreak/>
              <w:t>Numeric £</w:t>
            </w:r>
          </w:p>
        </w:tc>
        <w:tc>
          <w:tcPr>
            <w:tcW w:w="3963" w:type="dxa"/>
          </w:tcPr>
          <w:p w14:paraId="640395D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 xml:space="preserve">Any fee or charge payable by the borrower(s) to a credit broker in </w:t>
            </w:r>
            <w:r w:rsidRPr="003609BC">
              <w:lastRenderedPageBreak/>
              <w:t>connection with the regulated credit agreement (if the fee or charge is known to the reporting firm), which is included in the total charge for credit.</w:t>
            </w:r>
          </w:p>
        </w:tc>
      </w:tr>
      <w:tr w:rsidR="00095E11" w14:paraId="7169BF1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7F1924B" w14:textId="77777777" w:rsidR="00095E11" w:rsidRPr="00285A6C" w:rsidRDefault="00095E11" w:rsidP="008D651F">
            <w:pPr>
              <w:pStyle w:val="BodyText"/>
            </w:pPr>
            <w:r w:rsidRPr="00FD61F1">
              <w:lastRenderedPageBreak/>
              <w:t>109A</w:t>
            </w:r>
          </w:p>
        </w:tc>
        <w:tc>
          <w:tcPr>
            <w:tcW w:w="2410" w:type="dxa"/>
          </w:tcPr>
          <w:p w14:paraId="098651F1"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Total charge for credit: Total one-off costs payable to the reporting firm upon entering into the agreement</w:t>
            </w:r>
          </w:p>
        </w:tc>
        <w:tc>
          <w:tcPr>
            <w:tcW w:w="2126" w:type="dxa"/>
          </w:tcPr>
          <w:p w14:paraId="010246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D61F1">
              <w:t>Numeric £</w:t>
            </w:r>
          </w:p>
        </w:tc>
        <w:tc>
          <w:tcPr>
            <w:tcW w:w="3963" w:type="dxa"/>
          </w:tcPr>
          <w:p w14:paraId="4F5455B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609BC">
              <w:t>Any one-off costs payable by the borrower(s) to the reporting firm upon entering into the regulated credit agreement which are included in the total charge for credit.</w:t>
            </w:r>
          </w:p>
        </w:tc>
      </w:tr>
      <w:tr w:rsidR="00095E11" w14:paraId="14C5584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0D60BEA" w14:textId="77777777" w:rsidR="00095E11" w:rsidRPr="00285A6C" w:rsidRDefault="00095E11" w:rsidP="008D651F">
            <w:pPr>
              <w:pStyle w:val="BodyText"/>
            </w:pPr>
            <w:r w:rsidRPr="00E75377">
              <w:t>110A</w:t>
            </w:r>
          </w:p>
        </w:tc>
        <w:tc>
          <w:tcPr>
            <w:tcW w:w="2410" w:type="dxa"/>
          </w:tcPr>
          <w:p w14:paraId="2E93C908"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Total charge for credit: Total periodic fees or charges payable</w:t>
            </w:r>
          </w:p>
        </w:tc>
        <w:tc>
          <w:tcPr>
            <w:tcW w:w="2126" w:type="dxa"/>
          </w:tcPr>
          <w:p w14:paraId="7693F4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Numeric £</w:t>
            </w:r>
          </w:p>
        </w:tc>
        <w:tc>
          <w:tcPr>
            <w:tcW w:w="3963" w:type="dxa"/>
          </w:tcPr>
          <w:p w14:paraId="250A3C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33259">
              <w:t>Any fees or charges payable by the borrower(s) to the reporting firm as a membership fee, subscription fee or any other fee or charge payable on a periodic basis which are included in the total charge for credit.</w:t>
            </w:r>
          </w:p>
        </w:tc>
      </w:tr>
      <w:tr w:rsidR="00095E11" w14:paraId="23052389"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1D8DA42" w14:textId="77777777" w:rsidR="00095E11" w:rsidRPr="00285A6C" w:rsidRDefault="00095E11" w:rsidP="008D651F">
            <w:pPr>
              <w:pStyle w:val="BodyText"/>
            </w:pPr>
            <w:r w:rsidRPr="00E75377">
              <w:t>111A</w:t>
            </w:r>
          </w:p>
        </w:tc>
        <w:tc>
          <w:tcPr>
            <w:tcW w:w="2410" w:type="dxa"/>
          </w:tcPr>
          <w:p w14:paraId="273A0BD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Total periodic fees or charges payable in an annual period</w:t>
            </w:r>
          </w:p>
        </w:tc>
        <w:tc>
          <w:tcPr>
            <w:tcW w:w="2126" w:type="dxa"/>
          </w:tcPr>
          <w:p w14:paraId="78E506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75377">
              <w:t>Numeric £</w:t>
            </w:r>
          </w:p>
        </w:tc>
        <w:tc>
          <w:tcPr>
            <w:tcW w:w="3963" w:type="dxa"/>
          </w:tcPr>
          <w:p w14:paraId="052FB7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an open-end agreement, the sum of any fees or charges payable by the borrower to the lender as a membership fee, subscription fee or any other fee payable on a periodic basis over the course of an annual period.</w:t>
            </w:r>
          </w:p>
          <w:p w14:paraId="12B0C8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an annual period after any initial promotional period when periodic fees are not due or are payable at a lower amount."</w:t>
            </w:r>
          </w:p>
        </w:tc>
      </w:tr>
      <w:tr w:rsidR="00095E11" w14:paraId="26079F1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7310BE0" w14:textId="77777777" w:rsidR="00095E11" w:rsidRPr="00285A6C" w:rsidRDefault="00095E11" w:rsidP="008D651F">
            <w:pPr>
              <w:pStyle w:val="BodyText"/>
            </w:pPr>
            <w:r w:rsidRPr="0076759B">
              <w:t>112A</w:t>
            </w:r>
          </w:p>
        </w:tc>
        <w:tc>
          <w:tcPr>
            <w:tcW w:w="2410" w:type="dxa"/>
          </w:tcPr>
          <w:p w14:paraId="4FA14054"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Is there an initial promotional period during which regular periodic fees are not charged?</w:t>
            </w:r>
          </w:p>
        </w:tc>
        <w:tc>
          <w:tcPr>
            <w:tcW w:w="2126" w:type="dxa"/>
          </w:tcPr>
          <w:p w14:paraId="782DB9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D43542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6B0125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1E">
              <w:t>Whether there is an initial promotional period during which a membership fee, subscription fee or any other fee payable on a periodic basis is not charged.</w:t>
            </w:r>
          </w:p>
        </w:tc>
      </w:tr>
      <w:tr w:rsidR="00095E11" w14:paraId="16148AD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D6E6928" w14:textId="77777777" w:rsidR="00095E11" w:rsidRPr="00285A6C" w:rsidRDefault="00095E11" w:rsidP="008D651F">
            <w:pPr>
              <w:pStyle w:val="BodyText"/>
            </w:pPr>
            <w:r w:rsidRPr="0076759B">
              <w:t>113A</w:t>
            </w:r>
          </w:p>
        </w:tc>
        <w:tc>
          <w:tcPr>
            <w:tcW w:w="2410" w:type="dxa"/>
          </w:tcPr>
          <w:p w14:paraId="5FC4E16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Total charge for credit: Total interest payable</w:t>
            </w:r>
          </w:p>
        </w:tc>
        <w:tc>
          <w:tcPr>
            <w:tcW w:w="2126" w:type="dxa"/>
          </w:tcPr>
          <w:p w14:paraId="1F08C7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110">
              <w:t>Numeric £</w:t>
            </w:r>
          </w:p>
        </w:tc>
        <w:tc>
          <w:tcPr>
            <w:tcW w:w="3963" w:type="dxa"/>
          </w:tcPr>
          <w:p w14:paraId="2ED756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1541E">
              <w:t>Any interest payable by the borrower(s) to the reporting firm which is included in the total charge for credit.</w:t>
            </w:r>
          </w:p>
        </w:tc>
      </w:tr>
      <w:tr w:rsidR="00095E11" w14:paraId="57224EB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2D1E959F" w14:textId="77777777" w:rsidR="00095E11" w:rsidRPr="00285A6C" w:rsidRDefault="00095E11" w:rsidP="008D651F">
            <w:pPr>
              <w:pStyle w:val="BodyText"/>
            </w:pPr>
            <w:r w:rsidRPr="0076759B">
              <w:t>114A</w:t>
            </w:r>
          </w:p>
        </w:tc>
        <w:tc>
          <w:tcPr>
            <w:tcW w:w="2410" w:type="dxa"/>
          </w:tcPr>
          <w:p w14:paraId="095ECDDB"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6759B">
              <w:t>Total charge for credit: Total other costs included in the total charge for credit</w:t>
            </w:r>
          </w:p>
        </w:tc>
        <w:tc>
          <w:tcPr>
            <w:tcW w:w="2126" w:type="dxa"/>
          </w:tcPr>
          <w:p w14:paraId="150BFCE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71110">
              <w:t>Numeric £</w:t>
            </w:r>
          </w:p>
        </w:tc>
        <w:tc>
          <w:tcPr>
            <w:tcW w:w="3963" w:type="dxa"/>
          </w:tcPr>
          <w:p w14:paraId="07F252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fees or charges payable by the borrower(s) to the reporting firm which are included in the total charge for credit, and have not been reported as one of:</w:t>
            </w:r>
          </w:p>
          <w:p w14:paraId="766272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Total fees or charges payable by the borrower(s) to a credit broker in connection with the agreement;</w:t>
            </w:r>
          </w:p>
          <w:p w14:paraId="39D286B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 Total one-off costs payable to the reporting firm upon entering into the agreement;</w:t>
            </w:r>
          </w:p>
          <w:p w14:paraId="5C87B4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Total periodic fees or charges payable; or</w:t>
            </w:r>
          </w:p>
          <w:p w14:paraId="5D27B39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Total interest payable."</w:t>
            </w:r>
          </w:p>
        </w:tc>
      </w:tr>
      <w:tr w:rsidR="00095E11" w14:paraId="4A0B834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A31F980" w14:textId="77777777" w:rsidR="00095E11" w:rsidRPr="00285A6C" w:rsidRDefault="00095E11" w:rsidP="008D651F">
            <w:pPr>
              <w:pStyle w:val="BodyText"/>
            </w:pPr>
            <w:r w:rsidRPr="005A2C55">
              <w:lastRenderedPageBreak/>
              <w:t>115A</w:t>
            </w:r>
          </w:p>
        </w:tc>
        <w:tc>
          <w:tcPr>
            <w:tcW w:w="2410" w:type="dxa"/>
          </w:tcPr>
          <w:p w14:paraId="4A3D807C"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A2C55">
              <w:t>Can qualifying drawdowns for purchases be repaid with an instalment plan?</w:t>
            </w:r>
          </w:p>
        </w:tc>
        <w:tc>
          <w:tcPr>
            <w:tcW w:w="2126" w:type="dxa"/>
          </w:tcPr>
          <w:p w14:paraId="3476F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All purchases are treated as instalment plans</w:t>
            </w:r>
          </w:p>
          <w:p w14:paraId="541B90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Certain purchases can be repaid as an instalment plan</w:t>
            </w:r>
          </w:p>
          <w:p w14:paraId="4086CE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No purchases can be repaid with an instalment plan"</w:t>
            </w:r>
          </w:p>
        </w:tc>
        <w:tc>
          <w:tcPr>
            <w:tcW w:w="3963" w:type="dxa"/>
          </w:tcPr>
          <w:p w14:paraId="0EB8F93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 instalment plan includes drawdowns for purchases which are repaid with a specified repayment schedule.</w:t>
            </w:r>
          </w:p>
          <w:p w14:paraId="693DDC9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5457C3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5BBAD5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All purchases are treated as instalment plans</w:t>
            </w:r>
          </w:p>
          <w:p w14:paraId="1BF4B3A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All drawdowns for purchases are treated as an instalment plan.</w:t>
            </w:r>
          </w:p>
          <w:p w14:paraId="159CBC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Certain purchases can be repaid as an instalment plan</w:t>
            </w:r>
          </w:p>
          <w:p w14:paraId="38E9E2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When certain qualifying drawdowns for purchases are made, the borrower(s) can choose to treat the drawdown as an instalment plan.</w:t>
            </w:r>
          </w:p>
          <w:p w14:paraId="7FADCD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No purchases can be repaid with an instalment plan</w:t>
            </w:r>
          </w:p>
          <w:p w14:paraId="49A7EB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No drawdowns for purchases can be treated as an instalment plan."</w:t>
            </w:r>
          </w:p>
        </w:tc>
      </w:tr>
      <w:tr w:rsidR="00095E11" w14:paraId="4496C22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6B74D66" w14:textId="77777777" w:rsidR="00095E11" w:rsidRPr="00285A6C" w:rsidRDefault="00095E11" w:rsidP="008D651F">
            <w:pPr>
              <w:pStyle w:val="BodyText"/>
            </w:pPr>
            <w:r w:rsidRPr="005A2C55">
              <w:t>116A</w:t>
            </w:r>
          </w:p>
        </w:tc>
        <w:tc>
          <w:tcPr>
            <w:tcW w:w="2410" w:type="dxa"/>
          </w:tcPr>
          <w:p w14:paraId="31211467"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A2C55">
              <w:t>Does the product include any rewards for making qualifying drawdowns?</w:t>
            </w:r>
          </w:p>
        </w:tc>
        <w:tc>
          <w:tcPr>
            <w:tcW w:w="2126" w:type="dxa"/>
          </w:tcPr>
          <w:p w14:paraId="5D187EC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0FC5279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198D5AC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"Rewards should directly relate to drawdowns for purchases and take the form of cashback or points that can be converted into vouchers.</w:t>
            </w:r>
          </w:p>
          <w:p w14:paraId="5EE116C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C32D15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These rewards should relate to the usage of running-account credit outside of any initial promotional period."</w:t>
            </w:r>
          </w:p>
        </w:tc>
      </w:tr>
      <w:tr w:rsidR="00095E11" w14:paraId="28DECA9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6A395F4" w14:textId="77777777" w:rsidR="00095E11" w:rsidRPr="00285A6C" w:rsidRDefault="00095E11" w:rsidP="008D651F">
            <w:pPr>
              <w:pStyle w:val="BodyText"/>
            </w:pPr>
            <w:r w:rsidRPr="00A32A60">
              <w:t>117A</w:t>
            </w:r>
          </w:p>
        </w:tc>
        <w:tc>
          <w:tcPr>
            <w:tcW w:w="2410" w:type="dxa"/>
          </w:tcPr>
          <w:p w14:paraId="2CBCA388"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32A60">
              <w:t>Type of rewards for borrower(s) to make drawdowns</w:t>
            </w:r>
          </w:p>
        </w:tc>
        <w:tc>
          <w:tcPr>
            <w:tcW w:w="2126" w:type="dxa"/>
          </w:tcPr>
          <w:p w14:paraId="5BDA75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Cashback for purchases</w:t>
            </w:r>
          </w:p>
          <w:p w14:paraId="66E7A65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Cashback for purchases from specified retailers</w:t>
            </w:r>
          </w:p>
          <w:p w14:paraId="5FE59E1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C = Rewards other than cashback for specified retailers</w:t>
            </w:r>
          </w:p>
          <w:p w14:paraId="06EEB89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Any other rewards"</w:t>
            </w:r>
          </w:p>
        </w:tc>
        <w:tc>
          <w:tcPr>
            <w:tcW w:w="3963" w:type="dxa"/>
          </w:tcPr>
          <w:p w14:paraId="0F2B4ED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"Select all options which are included for the regulated credit agreement.</w:t>
            </w:r>
          </w:p>
          <w:p w14:paraId="0B7C88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39A67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158D69E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Cashback for purchases</w:t>
            </w:r>
          </w:p>
          <w:p w14:paraId="6D23DC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A percentage of the value of qualifying drawdowns will be paid to the borrower(s) as a money transfer or as credit on the regulated credit agreement. This option should not be limited to a specified list of retailers.</w:t>
            </w:r>
          </w:p>
          <w:p w14:paraId="13C8DC4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Cashback for purchases from specified retailers</w:t>
            </w:r>
          </w:p>
          <w:p w14:paraId="1BB6A4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percentage of the value of qualifying drawdowns with specified retailers will be paid to the borrower(s) as a money transfer or as credit on the regulated credit agreement. This option should include products which have a higher percentage cashback for a specified list of retailers, even if cashback is also available more generally.</w:t>
            </w:r>
          </w:p>
          <w:p w14:paraId="48C3126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Rewards other than cashback for specified retailers</w:t>
            </w:r>
          </w:p>
          <w:p w14:paraId="7EA6BF4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Points are accrued relating to the value of qualifying drawdowns with specified retailers, which can be converted to vouchers to use at the specified retailers.</w:t>
            </w:r>
          </w:p>
          <w:p w14:paraId="5E0505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Any other rewards</w:t>
            </w:r>
          </w:p>
          <w:p w14:paraId="01A8194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Any other rewards directly relating to drawdowns for purchases, which are not covered by the specified options above."</w:t>
            </w:r>
          </w:p>
        </w:tc>
      </w:tr>
      <w:tr w:rsidR="00095E11" w14:paraId="24C8F07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60F61EC" w14:textId="77777777" w:rsidR="00095E11" w:rsidRPr="00285A6C" w:rsidRDefault="00095E11" w:rsidP="008D651F">
            <w:pPr>
              <w:pStyle w:val="BodyText"/>
            </w:pPr>
            <w:r w:rsidRPr="00162984">
              <w:lastRenderedPageBreak/>
              <w:t>118A</w:t>
            </w:r>
          </w:p>
        </w:tc>
        <w:tc>
          <w:tcPr>
            <w:tcW w:w="2410" w:type="dxa"/>
          </w:tcPr>
          <w:p w14:paraId="172C4FE6"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Regular (non-promotional) percentage fee for non-sterling drawdowns</w:t>
            </w:r>
          </w:p>
        </w:tc>
        <w:tc>
          <w:tcPr>
            <w:tcW w:w="2126" w:type="dxa"/>
          </w:tcPr>
          <w:p w14:paraId="1A01EC6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Numeric %</w:t>
            </w:r>
          </w:p>
        </w:tc>
        <w:tc>
          <w:tcPr>
            <w:tcW w:w="3963" w:type="dxa"/>
          </w:tcPr>
          <w:p w14:paraId="56D621D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which is calculated as a percentage of the value of a drawdown, for non-sterling drawdowns which facilitate payment for goods or services.</w:t>
            </w:r>
          </w:p>
          <w:p w14:paraId="6FDBFF3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65DAD09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promotional percentage fee which may apply for particular qualifying drawdowns, or during a promotional period.</w:t>
            </w:r>
          </w:p>
          <w:p w14:paraId="1682567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13C63A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(eg, 3.49 represents 3.49%, not 349%)."</w:t>
            </w:r>
          </w:p>
        </w:tc>
      </w:tr>
      <w:tr w:rsidR="00095E11" w14:paraId="2B0DA71D"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BBEC2ED" w14:textId="77777777" w:rsidR="00095E11" w:rsidRPr="00285A6C" w:rsidRDefault="00095E11" w:rsidP="008D651F">
            <w:pPr>
              <w:pStyle w:val="BodyText"/>
            </w:pPr>
            <w:r w:rsidRPr="00162984">
              <w:t>119A</w:t>
            </w:r>
          </w:p>
        </w:tc>
        <w:tc>
          <w:tcPr>
            <w:tcW w:w="2410" w:type="dxa"/>
          </w:tcPr>
          <w:p w14:paraId="7048DDE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t xml:space="preserve">Regular (non-promotional) minimum </w:t>
            </w:r>
            <w:r w:rsidRPr="00162984">
              <w:lastRenderedPageBreak/>
              <w:t>fee for non-sterling drawdowns</w:t>
            </w:r>
          </w:p>
        </w:tc>
        <w:tc>
          <w:tcPr>
            <w:tcW w:w="2126" w:type="dxa"/>
          </w:tcPr>
          <w:p w14:paraId="3676D9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162984">
              <w:lastRenderedPageBreak/>
              <w:t>Numeric £</w:t>
            </w:r>
          </w:p>
        </w:tc>
        <w:tc>
          <w:tcPr>
            <w:tcW w:w="3963" w:type="dxa"/>
          </w:tcPr>
          <w:p w14:paraId="08835FB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minimum fee value per drawdown, for any fee charged which is calculated as a percentage of the value of a drawdown, </w:t>
            </w:r>
            <w:r>
              <w:lastRenderedPageBreak/>
              <w:t>for non-sterling drawdowns which facilitate payment for goods or services.</w:t>
            </w:r>
          </w:p>
          <w:p w14:paraId="32FBC34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F7E4AE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minimum fee value which may apply for particular qualifying drawdowns, or during a promotional period."</w:t>
            </w:r>
          </w:p>
        </w:tc>
      </w:tr>
      <w:tr w:rsidR="00095E11" w14:paraId="7593674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5D0D9C7" w14:textId="77777777" w:rsidR="00095E11" w:rsidRPr="00285A6C" w:rsidRDefault="00095E11" w:rsidP="008D651F">
            <w:pPr>
              <w:pStyle w:val="BodyText"/>
            </w:pPr>
            <w:r w:rsidRPr="009B5A48">
              <w:lastRenderedPageBreak/>
              <w:t>120A</w:t>
            </w:r>
          </w:p>
        </w:tc>
        <w:tc>
          <w:tcPr>
            <w:tcW w:w="2410" w:type="dxa"/>
          </w:tcPr>
          <w:p w14:paraId="783F83C0"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Drawdown type</w:t>
            </w:r>
          </w:p>
        </w:tc>
        <w:tc>
          <w:tcPr>
            <w:tcW w:w="2126" w:type="dxa"/>
          </w:tcPr>
          <w:p w14:paraId="37AE62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Purchases</w:t>
            </w:r>
          </w:p>
          <w:p w14:paraId="380584D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Balance transfers</w:t>
            </w:r>
          </w:p>
          <w:p w14:paraId="46C5283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Money transfers</w:t>
            </w:r>
          </w:p>
          <w:p w14:paraId="14A5454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Other cash transactions</w:t>
            </w:r>
          </w:p>
          <w:p w14:paraId="235EEF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drawdown type"</w:t>
            </w:r>
          </w:p>
        </w:tc>
        <w:tc>
          <w:tcPr>
            <w:tcW w:w="3963" w:type="dxa"/>
          </w:tcPr>
          <w:p w14:paraId="0C13615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E8A2A6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Purchases</w:t>
            </w:r>
          </w:p>
          <w:p w14:paraId="7589D5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facilitate payment for goods or services.</w:t>
            </w:r>
          </w:p>
          <w:p w14:paraId="43DF33D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Balance transfers</w:t>
            </w:r>
          </w:p>
          <w:p w14:paraId="64D498F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transfer money to a different account with running-account credit, excluding a current account with an overdraft facility or in respect of which there had been an unarranged overdraft within the meaning of CONC 5C.5.1R(6).</w:t>
            </w:r>
          </w:p>
          <w:p w14:paraId="4AFC4D9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Money transfers</w:t>
            </w:r>
          </w:p>
          <w:p w14:paraId="4C394C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transfer money to a bank account or an electronic money account.</w:t>
            </w:r>
          </w:p>
          <w:p w14:paraId="4D47485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Other cash transactions</w:t>
            </w:r>
          </w:p>
          <w:p w14:paraId="42AE8A4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for cash transactions, excluding balance transfers and money transfers. This should include cash advances, direct debits, travellers’ cheques, foreign currency and any cash substitutes.</w:t>
            </w:r>
          </w:p>
          <w:p w14:paraId="3CFB45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drawdown type</w:t>
            </w:r>
          </w:p>
          <w:p w14:paraId="0E9497E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Drawdowns which do not meet any of the specified options above."</w:t>
            </w:r>
          </w:p>
        </w:tc>
      </w:tr>
      <w:tr w:rsidR="00095E11" w14:paraId="2C346F1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2ED249F" w14:textId="77777777" w:rsidR="00095E11" w:rsidRPr="00285A6C" w:rsidRDefault="00095E11" w:rsidP="008D651F">
            <w:pPr>
              <w:pStyle w:val="BodyText"/>
            </w:pPr>
            <w:r w:rsidRPr="009B5A48">
              <w:t>120B</w:t>
            </w:r>
          </w:p>
        </w:tc>
        <w:tc>
          <w:tcPr>
            <w:tcW w:w="2410" w:type="dxa"/>
          </w:tcPr>
          <w:p w14:paraId="4EA2B2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Is there an initial promotional period for drawdowns?</w:t>
            </w:r>
          </w:p>
        </w:tc>
        <w:tc>
          <w:tcPr>
            <w:tcW w:w="2126" w:type="dxa"/>
          </w:tcPr>
          <w:p w14:paraId="52B69BF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"Y = Yes</w:t>
            </w:r>
          </w:p>
          <w:p w14:paraId="428A2E3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N = No"</w:t>
            </w:r>
          </w:p>
        </w:tc>
        <w:tc>
          <w:tcPr>
            <w:tcW w:w="3963" w:type="dxa"/>
          </w:tcPr>
          <w:p w14:paraId="4A1BEB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D56E8">
              <w:t>An ‘initial promotional period’ means a set initial period of the agreement when no, or reduced, interest or charges are payable by the borrower(s) in respect of a specified drawdown type.</w:t>
            </w:r>
          </w:p>
        </w:tc>
      </w:tr>
      <w:tr w:rsidR="00095E11" w14:paraId="2B5748D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2970EE9" w14:textId="77777777" w:rsidR="00095E11" w:rsidRPr="00285A6C" w:rsidRDefault="00095E11" w:rsidP="008D651F">
            <w:pPr>
              <w:pStyle w:val="BodyText"/>
            </w:pPr>
            <w:r w:rsidRPr="009B5A48">
              <w:t>120C</w:t>
            </w:r>
          </w:p>
        </w:tc>
        <w:tc>
          <w:tcPr>
            <w:tcW w:w="2410" w:type="dxa"/>
          </w:tcPr>
          <w:p w14:paraId="2823F20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9B5A48">
              <w:t>Promotional annual interest rate for drawdowns</w:t>
            </w:r>
          </w:p>
        </w:tc>
        <w:tc>
          <w:tcPr>
            <w:tcW w:w="2126" w:type="dxa"/>
          </w:tcPr>
          <w:p w14:paraId="0608303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0D56E8">
              <w:t>Numeric %</w:t>
            </w:r>
          </w:p>
        </w:tc>
        <w:tc>
          <w:tcPr>
            <w:tcW w:w="3963" w:type="dxa"/>
          </w:tcPr>
          <w:p w14:paraId="032D65C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during the initial promotional period, on qualifying balances.</w:t>
            </w:r>
          </w:p>
          <w:p w14:paraId="7FA629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960C0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(eg, 3.49 represents 3.49%, not 349%)."</w:t>
            </w:r>
          </w:p>
        </w:tc>
      </w:tr>
      <w:tr w:rsidR="00095E11" w14:paraId="25C2838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4E9369EE" w14:textId="77777777" w:rsidR="00095E11" w:rsidRPr="00285A6C" w:rsidRDefault="00095E11" w:rsidP="008D651F">
            <w:pPr>
              <w:pStyle w:val="BodyText"/>
            </w:pPr>
            <w:r w:rsidRPr="00EC69C3">
              <w:lastRenderedPageBreak/>
              <w:t>120D</w:t>
            </w:r>
          </w:p>
        </w:tc>
        <w:tc>
          <w:tcPr>
            <w:tcW w:w="2410" w:type="dxa"/>
          </w:tcPr>
          <w:p w14:paraId="08539DE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percentage fee for drawdowns</w:t>
            </w:r>
          </w:p>
        </w:tc>
        <w:tc>
          <w:tcPr>
            <w:tcW w:w="2126" w:type="dxa"/>
          </w:tcPr>
          <w:p w14:paraId="0ADDD44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7B2673F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during the initial promotional period, which is calculated as a percentage of the value of a qualifying drawdown, for this drawdown type.</w:t>
            </w:r>
          </w:p>
          <w:p w14:paraId="0D3B134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E5FA17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number should be reported as a percentage to 2 decimal places (eg, 3.49 represents 3.49%, not 349%)."</w:t>
            </w:r>
          </w:p>
        </w:tc>
      </w:tr>
      <w:tr w:rsidR="00095E11" w14:paraId="7AE2F9A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23C094A" w14:textId="77777777" w:rsidR="00095E11" w:rsidRPr="00285A6C" w:rsidRDefault="00095E11" w:rsidP="008D651F">
            <w:pPr>
              <w:pStyle w:val="BodyText"/>
            </w:pPr>
            <w:r w:rsidRPr="00EC69C3">
              <w:t>120E</w:t>
            </w:r>
          </w:p>
        </w:tc>
        <w:tc>
          <w:tcPr>
            <w:tcW w:w="2410" w:type="dxa"/>
          </w:tcPr>
          <w:p w14:paraId="443D276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minimum fee per drawdown</w:t>
            </w:r>
          </w:p>
        </w:tc>
        <w:tc>
          <w:tcPr>
            <w:tcW w:w="2126" w:type="dxa"/>
          </w:tcPr>
          <w:p w14:paraId="791DC4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060B4F0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03BB1">
              <w:t>The minimum fee value per qualifying drawdown during the initial promotional period, for a fee charged, which is calculated as a percentage of the value of a drawdown.</w:t>
            </w:r>
          </w:p>
        </w:tc>
      </w:tr>
      <w:tr w:rsidR="00095E11" w14:paraId="6A8AC27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8FA9FE" w14:textId="77777777" w:rsidR="00095E11" w:rsidRPr="00285A6C" w:rsidRDefault="00095E11" w:rsidP="008D651F">
            <w:pPr>
              <w:pStyle w:val="BodyText"/>
            </w:pPr>
            <w:r w:rsidRPr="00EC69C3">
              <w:t>120F</w:t>
            </w:r>
          </w:p>
        </w:tc>
        <w:tc>
          <w:tcPr>
            <w:tcW w:w="2410" w:type="dxa"/>
          </w:tcPr>
          <w:p w14:paraId="5279761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Promotional fixed fee per drawdown</w:t>
            </w:r>
          </w:p>
        </w:tc>
        <w:tc>
          <w:tcPr>
            <w:tcW w:w="2126" w:type="dxa"/>
          </w:tcPr>
          <w:p w14:paraId="18B39A0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EC69C3">
              <w:t>Numeric £</w:t>
            </w:r>
          </w:p>
        </w:tc>
        <w:tc>
          <w:tcPr>
            <w:tcW w:w="3963" w:type="dxa"/>
          </w:tcPr>
          <w:p w14:paraId="3D290AA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03BB1">
              <w:t>The value for any fixed fee charged per qualifying drawdown, during the initial promotional period, for this drawdown type.</w:t>
            </w:r>
          </w:p>
        </w:tc>
      </w:tr>
      <w:tr w:rsidR="00095E11" w14:paraId="72ED717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8545874" w14:textId="77777777" w:rsidR="00095E11" w:rsidRPr="00285A6C" w:rsidRDefault="00095E11" w:rsidP="008D651F">
            <w:pPr>
              <w:pStyle w:val="BodyText"/>
            </w:pPr>
            <w:r w:rsidRPr="0071503B">
              <w:t>120G</w:t>
            </w:r>
          </w:p>
        </w:tc>
        <w:tc>
          <w:tcPr>
            <w:tcW w:w="2410" w:type="dxa"/>
          </w:tcPr>
          <w:p w14:paraId="06D23D93"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Promotional end date for qualifying drawdowns</w:t>
            </w:r>
          </w:p>
        </w:tc>
        <w:tc>
          <w:tcPr>
            <w:tcW w:w="2126" w:type="dxa"/>
          </w:tcPr>
          <w:p w14:paraId="4A90E54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DD/MM/YYYY</w:t>
            </w:r>
          </w:p>
        </w:tc>
        <w:tc>
          <w:tcPr>
            <w:tcW w:w="3963" w:type="dxa"/>
          </w:tcPr>
          <w:p w14:paraId="33B99DF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015B1">
              <w:t>The last date upon which a drawdown can be made to qualify for the initial promotional period.</w:t>
            </w:r>
          </w:p>
        </w:tc>
      </w:tr>
      <w:tr w:rsidR="00095E11" w14:paraId="3D1B739B"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1A266ADA" w14:textId="77777777" w:rsidR="00095E11" w:rsidRPr="00285A6C" w:rsidRDefault="00095E11" w:rsidP="008D651F">
            <w:pPr>
              <w:pStyle w:val="BodyText"/>
            </w:pPr>
            <w:r w:rsidRPr="0071503B">
              <w:t>120H</w:t>
            </w:r>
          </w:p>
        </w:tc>
        <w:tc>
          <w:tcPr>
            <w:tcW w:w="2410" w:type="dxa"/>
          </w:tcPr>
          <w:p w14:paraId="4EDDDC79"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Promotional end date for promotional rate for drawdowns</w:t>
            </w:r>
          </w:p>
        </w:tc>
        <w:tc>
          <w:tcPr>
            <w:tcW w:w="2126" w:type="dxa"/>
          </w:tcPr>
          <w:p w14:paraId="305FFF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DD/MM/YYYY</w:t>
            </w:r>
          </w:p>
        </w:tc>
        <w:tc>
          <w:tcPr>
            <w:tcW w:w="3963" w:type="dxa"/>
          </w:tcPr>
          <w:p w14:paraId="6DD5C6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015B1">
              <w:t>The end date for the initial promotional period, for this drawdown type.</w:t>
            </w:r>
          </w:p>
        </w:tc>
      </w:tr>
      <w:tr w:rsidR="00095E11" w14:paraId="4A0CB506"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12ED274" w14:textId="77777777" w:rsidR="00095E11" w:rsidRPr="00285A6C" w:rsidRDefault="00095E11" w:rsidP="008D651F">
            <w:pPr>
              <w:pStyle w:val="BodyText"/>
            </w:pPr>
            <w:r w:rsidRPr="0071503B">
              <w:t>120I</w:t>
            </w:r>
          </w:p>
        </w:tc>
        <w:tc>
          <w:tcPr>
            <w:tcW w:w="2410" w:type="dxa"/>
          </w:tcPr>
          <w:p w14:paraId="5C4CA17A"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Regular (non-promotional) annual interest rate for drawdowns</w:t>
            </w:r>
          </w:p>
        </w:tc>
        <w:tc>
          <w:tcPr>
            <w:tcW w:w="2126" w:type="dxa"/>
          </w:tcPr>
          <w:p w14:paraId="02DBB06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Numeric %</w:t>
            </w:r>
          </w:p>
        </w:tc>
        <w:tc>
          <w:tcPr>
            <w:tcW w:w="3963" w:type="dxa"/>
          </w:tcPr>
          <w:p w14:paraId="410ADBD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on balances.</w:t>
            </w:r>
          </w:p>
          <w:p w14:paraId="589FEBE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0A2A850B"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promotional rate which may apply for particular qualifying drawdowns, or during a promotional period.</w:t>
            </w:r>
          </w:p>
          <w:p w14:paraId="1C3EB55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CBF82E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lastRenderedPageBreak/>
              <w:t>This number should be reported as a percentage to 2 decimal places (eg, 3.49 represents 3.49%, not 349%)."</w:t>
            </w:r>
          </w:p>
        </w:tc>
      </w:tr>
      <w:tr w:rsidR="00095E11" w14:paraId="1C613AB2"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489855D" w14:textId="77777777" w:rsidR="00095E11" w:rsidRPr="00285A6C" w:rsidRDefault="00095E11" w:rsidP="008D651F">
            <w:pPr>
              <w:pStyle w:val="BodyText"/>
            </w:pPr>
            <w:r w:rsidRPr="0071503B">
              <w:lastRenderedPageBreak/>
              <w:t>120J</w:t>
            </w:r>
          </w:p>
        </w:tc>
        <w:tc>
          <w:tcPr>
            <w:tcW w:w="2410" w:type="dxa"/>
          </w:tcPr>
          <w:p w14:paraId="0ACE26FE" w14:textId="77777777" w:rsidR="00095E11" w:rsidRPr="00285A6C"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Regular (non-promotional) percentage fee for drawdowns</w:t>
            </w:r>
          </w:p>
        </w:tc>
        <w:tc>
          <w:tcPr>
            <w:tcW w:w="2126" w:type="dxa"/>
          </w:tcPr>
          <w:p w14:paraId="21BA88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71503B">
              <w:t>Numeric %</w:t>
            </w:r>
          </w:p>
        </w:tc>
        <w:tc>
          <w:tcPr>
            <w:tcW w:w="3963" w:type="dxa"/>
          </w:tcPr>
          <w:p w14:paraId="0C11D47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percentage value for any fee charged which is calculated as a percentage of the value of a drawdown.</w:t>
            </w:r>
          </w:p>
          <w:p w14:paraId="231072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promotional percentage fee which may apply for particular qualifying drawdowns, or during a promotional period.</w:t>
            </w:r>
          </w:p>
          <w:p w14:paraId="48F93B35" w14:textId="77777777" w:rsidR="00095E11" w:rsidRPr="00414E9F"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414E9F">
              <w:rPr>
                <w:b/>
                <w:bCs/>
              </w:rPr>
              <w:t>This number should be reported as a percentage to 2 decimal places (eg, 3.49 represents 3.49%, not 349%)."</w:t>
            </w:r>
          </w:p>
        </w:tc>
      </w:tr>
      <w:tr w:rsidR="00095E11" w14:paraId="17A615B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157B5B" w14:textId="77777777" w:rsidR="00095E11" w:rsidRPr="0071503B" w:rsidRDefault="00095E11" w:rsidP="008D651F">
            <w:pPr>
              <w:pStyle w:val="BodyText"/>
            </w:pPr>
            <w:r w:rsidRPr="00F54374">
              <w:t>120K</w:t>
            </w:r>
          </w:p>
        </w:tc>
        <w:tc>
          <w:tcPr>
            <w:tcW w:w="2410" w:type="dxa"/>
          </w:tcPr>
          <w:p w14:paraId="282A30D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Regular (non-promotional) minimum fee per drawdown</w:t>
            </w:r>
          </w:p>
        </w:tc>
        <w:tc>
          <w:tcPr>
            <w:tcW w:w="2126" w:type="dxa"/>
          </w:tcPr>
          <w:p w14:paraId="75A09FB0"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Numeric £</w:t>
            </w:r>
          </w:p>
        </w:tc>
        <w:tc>
          <w:tcPr>
            <w:tcW w:w="3963" w:type="dxa"/>
          </w:tcPr>
          <w:p w14:paraId="2E1B1F3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minimum fee value per drawdown, for any fee charged which is calculated as a percentage of the value of a drawdown.</w:t>
            </w:r>
          </w:p>
          <w:p w14:paraId="618A748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minimum fee value which may apply for particular qualifying drawdowns, or during a promotional period."</w:t>
            </w:r>
          </w:p>
        </w:tc>
      </w:tr>
      <w:tr w:rsidR="00095E11" w14:paraId="3E773D94"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99B2AA6" w14:textId="77777777" w:rsidR="00095E11" w:rsidRPr="0071503B" w:rsidRDefault="00095E11" w:rsidP="008D651F">
            <w:pPr>
              <w:pStyle w:val="BodyText"/>
            </w:pPr>
            <w:r w:rsidRPr="00F54374">
              <w:t>120L</w:t>
            </w:r>
          </w:p>
        </w:tc>
        <w:tc>
          <w:tcPr>
            <w:tcW w:w="2410" w:type="dxa"/>
          </w:tcPr>
          <w:p w14:paraId="30C00C1B"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Regular (non-promotional) fixed fee per drawdown</w:t>
            </w:r>
          </w:p>
        </w:tc>
        <w:tc>
          <w:tcPr>
            <w:tcW w:w="2126" w:type="dxa"/>
          </w:tcPr>
          <w:p w14:paraId="529D2D91"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F54374">
              <w:t>Numeric £</w:t>
            </w:r>
          </w:p>
        </w:tc>
        <w:tc>
          <w:tcPr>
            <w:tcW w:w="3963" w:type="dxa"/>
          </w:tcPr>
          <w:p w14:paraId="72E9F1A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value for any fixed fee charged per drawdown.</w:t>
            </w:r>
          </w:p>
          <w:p w14:paraId="13E7CB8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not consider any fixed fee value which may apply for particular qualifying drawdowns, or during a promotional period."</w:t>
            </w:r>
          </w:p>
        </w:tc>
      </w:tr>
      <w:tr w:rsidR="00095E11" w14:paraId="5CCAF3A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F821A33" w14:textId="77777777" w:rsidR="00095E11" w:rsidRPr="0071503B" w:rsidRDefault="00095E11" w:rsidP="008D651F">
            <w:pPr>
              <w:pStyle w:val="BodyText"/>
            </w:pPr>
            <w:r w:rsidRPr="00B13546">
              <w:t>121A</w:t>
            </w:r>
          </w:p>
        </w:tc>
        <w:tc>
          <w:tcPr>
            <w:tcW w:w="2410" w:type="dxa"/>
          </w:tcPr>
          <w:p w14:paraId="3D3402A6"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3546">
              <w:t>Annual interest rate for periodic premium or fee</w:t>
            </w:r>
          </w:p>
        </w:tc>
        <w:tc>
          <w:tcPr>
            <w:tcW w:w="2126" w:type="dxa"/>
          </w:tcPr>
          <w:p w14:paraId="0F56785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B13546">
              <w:t>Numeric %</w:t>
            </w:r>
          </w:p>
        </w:tc>
        <w:tc>
          <w:tcPr>
            <w:tcW w:w="3963" w:type="dxa"/>
          </w:tcPr>
          <w:p w14:paraId="035379E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annual interest rate payable on balances for running-account credit to pay for periodic premiums or fees.</w:t>
            </w:r>
          </w:p>
          <w:p w14:paraId="347738CE" w14:textId="77777777" w:rsidR="00095E11" w:rsidRPr="00F117FD" w:rsidRDefault="00095E11" w:rsidP="008D651F">
            <w:pPr>
              <w:pStyle w:val="BodyText"/>
              <w:cnfStyle w:val="000000000000" w:firstRow="0" w:lastRow="0" w:firstColumn="0" w:lastColumn="0" w:oddVBand="0" w:evenVBand="0" w:oddHBand="0" w:evenHBand="0" w:firstRowFirstColumn="0" w:firstRowLastColumn="0" w:lastRowFirstColumn="0" w:lastRowLastColumn="0"/>
              <w:rPr>
                <w:b/>
                <w:bCs/>
              </w:rPr>
            </w:pPr>
            <w:r w:rsidRPr="00F117FD">
              <w:rPr>
                <w:b/>
                <w:bCs/>
              </w:rPr>
              <w:t>This number should be reported as a percentage to 2 decimal places (eg, 3.49 represents 3.49%, not 349%)."</w:t>
            </w:r>
          </w:p>
        </w:tc>
      </w:tr>
      <w:tr w:rsidR="00095E11" w14:paraId="16C0FC8C"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70F33792" w14:textId="77777777" w:rsidR="00095E11" w:rsidRPr="0071503B" w:rsidRDefault="00095E11" w:rsidP="008D651F">
            <w:pPr>
              <w:pStyle w:val="BodyText"/>
            </w:pPr>
            <w:r w:rsidRPr="00A650F3">
              <w:t>122A</w:t>
            </w:r>
          </w:p>
        </w:tc>
        <w:tc>
          <w:tcPr>
            <w:tcW w:w="2410" w:type="dxa"/>
          </w:tcPr>
          <w:p w14:paraId="3DA7C251"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 late repayment</w:t>
            </w:r>
          </w:p>
        </w:tc>
        <w:tc>
          <w:tcPr>
            <w:tcW w:w="2126" w:type="dxa"/>
          </w:tcPr>
          <w:p w14:paraId="67D67504"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2954014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The value of the charge payable by the borrower(s) if a repayment is not made to the reporting firm by a scheduled date.</w:t>
            </w:r>
          </w:p>
        </w:tc>
      </w:tr>
      <w:tr w:rsidR="00095E11" w14:paraId="477FAE4A"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4A549D9" w14:textId="77777777" w:rsidR="00095E11" w:rsidRPr="0071503B" w:rsidRDefault="00095E11" w:rsidP="008D651F">
            <w:pPr>
              <w:pStyle w:val="BodyText"/>
            </w:pPr>
            <w:r w:rsidRPr="00A650F3">
              <w:t>123A</w:t>
            </w:r>
          </w:p>
        </w:tc>
        <w:tc>
          <w:tcPr>
            <w:tcW w:w="2410" w:type="dxa"/>
          </w:tcPr>
          <w:p w14:paraId="540ECC2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 repayment returned unpaid</w:t>
            </w:r>
          </w:p>
        </w:tc>
        <w:tc>
          <w:tcPr>
            <w:tcW w:w="2126" w:type="dxa"/>
          </w:tcPr>
          <w:p w14:paraId="56BA77C3"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4A9169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 xml:space="preserve">The value of the charge payable by the borrower(s) if an attempted repayment is returned. This includes, but is not limited to, when there </w:t>
            </w:r>
            <w:r w:rsidRPr="005630E9">
              <w:lastRenderedPageBreak/>
              <w:t>are insufficient funds in the borrower(s)’ account, the account is closed or the account is frozen.</w:t>
            </w:r>
          </w:p>
        </w:tc>
      </w:tr>
      <w:tr w:rsidR="00095E11" w14:paraId="745B3713"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084E3842" w14:textId="77777777" w:rsidR="00095E11" w:rsidRPr="0071503B" w:rsidRDefault="00095E11" w:rsidP="008D651F">
            <w:pPr>
              <w:pStyle w:val="BodyText"/>
            </w:pPr>
            <w:r w:rsidRPr="00A650F3">
              <w:lastRenderedPageBreak/>
              <w:t>124A</w:t>
            </w:r>
          </w:p>
        </w:tc>
        <w:tc>
          <w:tcPr>
            <w:tcW w:w="2410" w:type="dxa"/>
          </w:tcPr>
          <w:p w14:paraId="3BD0FA9E"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Penalty charge for agreement balance being over the agreed credit limit</w:t>
            </w:r>
          </w:p>
        </w:tc>
        <w:tc>
          <w:tcPr>
            <w:tcW w:w="2126" w:type="dxa"/>
          </w:tcPr>
          <w:p w14:paraId="5B2B538B"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A650F3">
              <w:t>Numeric £</w:t>
            </w:r>
          </w:p>
        </w:tc>
        <w:tc>
          <w:tcPr>
            <w:tcW w:w="3963" w:type="dxa"/>
          </w:tcPr>
          <w:p w14:paraId="2830D4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630E9">
              <w:t>The value of the charge payable by the borrower(s) if the balance of the regulated credit agreement exceeds the assigned credit limit.</w:t>
            </w:r>
          </w:p>
        </w:tc>
      </w:tr>
      <w:tr w:rsidR="00095E11" w14:paraId="5AB149BF"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A5CD261" w14:textId="77777777" w:rsidR="00095E11" w:rsidRPr="0071503B" w:rsidRDefault="00095E11" w:rsidP="008D651F">
            <w:pPr>
              <w:pStyle w:val="BodyText"/>
            </w:pPr>
            <w:r w:rsidRPr="00D5007F">
              <w:t>125A</w:t>
            </w:r>
          </w:p>
        </w:tc>
        <w:tc>
          <w:tcPr>
            <w:tcW w:w="2410" w:type="dxa"/>
          </w:tcPr>
          <w:p w14:paraId="05FFC47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5007F">
              <w:t>Repayment method arranged</w:t>
            </w:r>
          </w:p>
        </w:tc>
        <w:tc>
          <w:tcPr>
            <w:tcW w:w="2126" w:type="dxa"/>
          </w:tcPr>
          <w:p w14:paraId="4020819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Direct debit</w:t>
            </w:r>
          </w:p>
          <w:p w14:paraId="3A184377"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Standing order</w:t>
            </w:r>
          </w:p>
          <w:p w14:paraId="4FE0FC4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Continuous payment authority</w:t>
            </w:r>
          </w:p>
          <w:p w14:paraId="053A232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Direct from salary via employer</w:t>
            </w:r>
          </w:p>
          <w:p w14:paraId="22636B5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repayment method</w:t>
            </w:r>
          </w:p>
          <w:p w14:paraId="5B195F63"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 Unknown"</w:t>
            </w:r>
          </w:p>
        </w:tc>
        <w:tc>
          <w:tcPr>
            <w:tcW w:w="3963" w:type="dxa"/>
          </w:tcPr>
          <w:p w14:paraId="776D4C0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any repayment method arranged, or in the process of being arranged, for the regulated credit agreement.</w:t>
            </w:r>
          </w:p>
          <w:p w14:paraId="370B8EE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5176EBD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5A429D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Direct debit</w:t>
            </w:r>
          </w:p>
          <w:p w14:paraId="48AD981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Consent has been given for repayments under the regulated credit agreement to be made by direct debit to the reporting firm.</w:t>
            </w:r>
          </w:p>
          <w:p w14:paraId="46B1A96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Standing order</w:t>
            </w:r>
          </w:p>
          <w:p w14:paraId="28BC29C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standing order has been arranged to make repayments under the regulated credit agreement to the reporting firm.</w:t>
            </w:r>
          </w:p>
          <w:p w14:paraId="559BD04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Continuous payment authority</w:t>
            </w:r>
          </w:p>
          <w:p w14:paraId="5592CA0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Consent has been given for a continuous payment authority to make repayments under the regulated credit agreement to the reporting firm.</w:t>
            </w:r>
          </w:p>
          <w:p w14:paraId="7B5C4C6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Direct from salary via employer</w:t>
            </w:r>
          </w:p>
          <w:p w14:paraId="1EEBBC3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Consent has been given for repayments under the regulated credit agreement to be deducted from the borrower(s) salary and transferred to the reporting firm by the borrower(s) employer.</w:t>
            </w:r>
          </w:p>
          <w:p w14:paraId="549FAD9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repayment method</w:t>
            </w:r>
          </w:p>
          <w:p w14:paraId="0CD37B7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repayment method arranged under the regulated credit agreement is not as described by any of the specific options above.</w:t>
            </w:r>
          </w:p>
          <w:p w14:paraId="283500AA"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Z: Unknown</w:t>
            </w:r>
          </w:p>
          <w:p w14:paraId="1467519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 xml:space="preserve">The reporting firm is unable to determine the repayment method. This should </w:t>
            </w:r>
            <w:r>
              <w:lastRenderedPageBreak/>
              <w:t>include when there is no regular repayment method arranged under the regulated credit agreement."</w:t>
            </w:r>
          </w:p>
        </w:tc>
      </w:tr>
      <w:tr w:rsidR="00095E11" w14:paraId="5F21E9EE"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5E66F9F4" w14:textId="77777777" w:rsidR="00095E11" w:rsidRPr="0071503B" w:rsidRDefault="00095E11" w:rsidP="008D651F">
            <w:pPr>
              <w:pStyle w:val="BodyText"/>
            </w:pPr>
            <w:r w:rsidRPr="00D5007F">
              <w:lastRenderedPageBreak/>
              <w:t>126A</w:t>
            </w:r>
          </w:p>
        </w:tc>
        <w:tc>
          <w:tcPr>
            <w:tcW w:w="2410" w:type="dxa"/>
          </w:tcPr>
          <w:p w14:paraId="2F8FF01D"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D5007F">
              <w:t>Frequency of regular repayments or statements</w:t>
            </w:r>
          </w:p>
        </w:tc>
        <w:tc>
          <w:tcPr>
            <w:tcW w:w="2126" w:type="dxa"/>
          </w:tcPr>
          <w:p w14:paraId="3FFB66A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 Single repayment</w:t>
            </w:r>
          </w:p>
          <w:p w14:paraId="2A9DA7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 Weekly</w:t>
            </w:r>
          </w:p>
          <w:p w14:paraId="7D233E0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 Fortnightly</w:t>
            </w:r>
          </w:p>
          <w:p w14:paraId="4C0F030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 Four-weekly</w:t>
            </w:r>
          </w:p>
          <w:p w14:paraId="76F4332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 Monthly</w:t>
            </w:r>
          </w:p>
          <w:p w14:paraId="115C4D6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 Quarterly</w:t>
            </w:r>
          </w:p>
          <w:p w14:paraId="1D12D65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 Annually</w:t>
            </w:r>
          </w:p>
          <w:p w14:paraId="76B4B01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 Other frequency</w:t>
            </w:r>
          </w:p>
          <w:p w14:paraId="0CD4A4A6"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 No regular frequency"</w:t>
            </w:r>
          </w:p>
        </w:tc>
        <w:tc>
          <w:tcPr>
            <w:tcW w:w="3963" w:type="dxa"/>
          </w:tcPr>
          <w:p w14:paraId="54BD27A1"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fixed-sum credit facilities, this should reflect the frequency of repayments set out in the regulated credit agreement.</w:t>
            </w:r>
          </w:p>
          <w:p w14:paraId="77A63595"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3E629D20"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For running-account credit facilities, this should reflect the accounting period to which statements to the borrower(s) are issued.</w:t>
            </w:r>
          </w:p>
          <w:p w14:paraId="6832A22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7984721C"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Enter the relevant code:</w:t>
            </w:r>
          </w:p>
          <w:p w14:paraId="691A8D3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Single repayment</w:t>
            </w:r>
          </w:p>
          <w:p w14:paraId="3AA93AB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A single repayment is scheduled for the total amount payable less any advance payment.</w:t>
            </w:r>
          </w:p>
          <w:p w14:paraId="093F863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B: Weekly</w:t>
            </w:r>
          </w:p>
          <w:p w14:paraId="650C6A6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C: Fortnightly</w:t>
            </w:r>
          </w:p>
          <w:p w14:paraId="285AF8BD"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D: Four-weekly</w:t>
            </w:r>
          </w:p>
          <w:p w14:paraId="45054626"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E: Monthly</w:t>
            </w:r>
          </w:p>
          <w:p w14:paraId="7660F15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F: Quarterly</w:t>
            </w:r>
          </w:p>
          <w:p w14:paraId="0016EEF9"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G: Annually</w:t>
            </w:r>
          </w:p>
          <w:p w14:paraId="0ADA76A4"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W: Other frequency</w:t>
            </w:r>
          </w:p>
          <w:p w14:paraId="7A061D2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 frequency of the regular repayments or accounting periods scheduled under the regulated credit agreement is not as described by any of the specific options above.</w:t>
            </w:r>
          </w:p>
          <w:p w14:paraId="579A96F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X: No regular frequency</w:t>
            </w:r>
          </w:p>
          <w:p w14:paraId="609F6CE8"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There are no regular repayments or accounting periods scheduled under the regulated credit agreement."</w:t>
            </w:r>
          </w:p>
        </w:tc>
      </w:tr>
      <w:tr w:rsidR="00095E11" w14:paraId="183CCCF7"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33182DA6" w14:textId="77777777" w:rsidR="00095E11" w:rsidRPr="0071503B" w:rsidRDefault="00095E11" w:rsidP="008D651F">
            <w:pPr>
              <w:pStyle w:val="BodyText"/>
            </w:pPr>
            <w:r w:rsidRPr="00335867">
              <w:t>127A</w:t>
            </w:r>
          </w:p>
        </w:tc>
        <w:tc>
          <w:tcPr>
            <w:tcW w:w="2410" w:type="dxa"/>
          </w:tcPr>
          <w:p w14:paraId="419BF92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Number of repayments scheduled</w:t>
            </w:r>
          </w:p>
        </w:tc>
        <w:tc>
          <w:tcPr>
            <w:tcW w:w="2126" w:type="dxa"/>
          </w:tcPr>
          <w:p w14:paraId="17B1D0FE"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Numeric</w:t>
            </w:r>
          </w:p>
        </w:tc>
        <w:tc>
          <w:tcPr>
            <w:tcW w:w="3963" w:type="dxa"/>
          </w:tcPr>
          <w:p w14:paraId="1BAB5DD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58376E">
              <w:t>This should reflect the number of repayments set out in the regulated credit agreement.</w:t>
            </w:r>
          </w:p>
        </w:tc>
      </w:tr>
      <w:tr w:rsidR="00095E11" w14:paraId="232482A1" w14:textId="77777777" w:rsidTr="008D651F">
        <w:tc>
          <w:tcPr>
            <w:cnfStyle w:val="001000000000" w:firstRow="0" w:lastRow="0" w:firstColumn="1" w:lastColumn="0" w:oddVBand="0" w:evenVBand="0" w:oddHBand="0" w:evenHBand="0" w:firstRowFirstColumn="0" w:firstRowLastColumn="0" w:lastRowFirstColumn="0" w:lastRowLastColumn="0"/>
            <w:tcW w:w="1129" w:type="dxa"/>
          </w:tcPr>
          <w:p w14:paraId="6F8FE5DC" w14:textId="77777777" w:rsidR="00095E11" w:rsidRPr="0071503B" w:rsidRDefault="00095E11" w:rsidP="008D651F">
            <w:pPr>
              <w:pStyle w:val="BodyText"/>
            </w:pPr>
            <w:r w:rsidRPr="00335867">
              <w:lastRenderedPageBreak/>
              <w:t>128A</w:t>
            </w:r>
          </w:p>
        </w:tc>
        <w:tc>
          <w:tcPr>
            <w:tcW w:w="2410" w:type="dxa"/>
          </w:tcPr>
          <w:p w14:paraId="7E7229B8"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Amount of regular repayment</w:t>
            </w:r>
          </w:p>
        </w:tc>
        <w:tc>
          <w:tcPr>
            <w:tcW w:w="2126" w:type="dxa"/>
          </w:tcPr>
          <w:p w14:paraId="7CB78155" w14:textId="77777777" w:rsidR="00095E11" w:rsidRPr="0071503B" w:rsidRDefault="00095E11" w:rsidP="008D651F">
            <w:pPr>
              <w:pStyle w:val="BodyText"/>
              <w:cnfStyle w:val="000000000000" w:firstRow="0" w:lastRow="0" w:firstColumn="0" w:lastColumn="0" w:oddVBand="0" w:evenVBand="0" w:oddHBand="0" w:evenHBand="0" w:firstRowFirstColumn="0" w:firstRowLastColumn="0" w:lastRowFirstColumn="0" w:lastRowLastColumn="0"/>
            </w:pPr>
            <w:r w:rsidRPr="00335867">
              <w:t>Numeric £</w:t>
            </w:r>
          </w:p>
        </w:tc>
        <w:tc>
          <w:tcPr>
            <w:tcW w:w="3963" w:type="dxa"/>
          </w:tcPr>
          <w:p w14:paraId="26E9A612"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"This should reflect the value of the regular repayments required under the regulated credit agreement.</w:t>
            </w:r>
          </w:p>
          <w:p w14:paraId="6C94D4A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24B016BE"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only the first and/or last repayment scheduled is a different value to all other repayments, these should be discounted.</w:t>
            </w:r>
          </w:p>
          <w:p w14:paraId="1265307F"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p>
          <w:p w14:paraId="4F0237D3" w14:textId="77777777" w:rsidR="00095E11" w:rsidRDefault="00095E11" w:rsidP="008D651F">
            <w:pPr>
              <w:pStyle w:val="BodyText"/>
              <w:cnfStyle w:val="000000000000" w:firstRow="0" w:lastRow="0" w:firstColumn="0" w:lastColumn="0" w:oddVBand="0" w:evenVBand="0" w:oddHBand="0" w:evenHBand="0" w:firstRowFirstColumn="0" w:firstRowLastColumn="0" w:lastRowFirstColumn="0" w:lastRowLastColumn="0"/>
            </w:pPr>
            <w:r>
              <w:t>If there is no regular repayment value, or the repayment values are unknown when the regulated credit agreement starts, report this as 0.00."</w:t>
            </w:r>
          </w:p>
        </w:tc>
      </w:tr>
    </w:tbl>
    <w:p w14:paraId="1B9B2289" w14:textId="77777777" w:rsidR="00095E11" w:rsidRDefault="00095E11" w:rsidP="00095E11">
      <w:pPr>
        <w:pStyle w:val="BodyText"/>
      </w:pPr>
    </w:p>
    <w:p w14:paraId="48F51C73" w14:textId="77777777" w:rsidR="00095E11" w:rsidRPr="00095E11" w:rsidRDefault="00095E11" w:rsidP="00095E11"/>
    <w:p w14:paraId="2D94962B" w14:textId="4F45C0ED" w:rsidR="009C2478" w:rsidRDefault="00095E11" w:rsidP="00FA6DFC">
      <w:pPr>
        <w:pStyle w:val="Heading1"/>
        <w:numPr>
          <w:ilvl w:val="0"/>
          <w:numId w:val="24"/>
        </w:numPr>
      </w:pPr>
      <w:bookmarkStart w:id="9" w:name="_Toc220676487"/>
      <w:r>
        <w:lastRenderedPageBreak/>
        <w:t>Use</w:t>
      </w:r>
      <w:r w:rsidR="00193784">
        <w:t>r</w:t>
      </w:r>
      <w:r>
        <w:t xml:space="preserve"> </w:t>
      </w:r>
      <w:r w:rsidR="00CB3BFD">
        <w:t>Stories</w:t>
      </w:r>
      <w:bookmarkEnd w:id="9"/>
    </w:p>
    <w:p w14:paraId="42FE523B" w14:textId="6BFC0A91" w:rsidR="006E2644" w:rsidRPr="006E2644" w:rsidRDefault="006E2644" w:rsidP="006E2644">
      <w:pPr>
        <w:spacing w:line="300" w:lineRule="atLeast"/>
        <w:rPr>
          <w:rFonts w:asciiTheme="minorHAnsi" w:eastAsia="Times New Roman" w:hAnsiTheme="minorHAnsi" w:cstheme="minorHAnsi"/>
          <w:kern w:val="0"/>
          <w:sz w:val="21"/>
          <w:szCs w:val="21"/>
          <w:lang w:val="en-GB" w:eastAsia="en-GB"/>
          <w14:ligatures w14:val="none"/>
        </w:rPr>
      </w:pPr>
      <w:r w:rsidRPr="006E2644">
        <w:rPr>
          <w:rFonts w:asciiTheme="minorHAnsi" w:eastAsia="Times New Roman" w:hAnsiTheme="minorHAnsi" w:cstheme="minorHAnsi"/>
          <w:kern w:val="0"/>
          <w:sz w:val="21"/>
          <w:szCs w:val="21"/>
          <w:lang w:val="en-GB" w:eastAsia="en-GB"/>
          <w14:ligatures w14:val="none"/>
        </w:rPr>
        <w:t>The following section outlines the user stories from the perspectives of Regulatory Reporting, Business Analysis, and Development.</w:t>
      </w:r>
    </w:p>
    <w:p w14:paraId="13DC462F" w14:textId="77777777" w:rsidR="00247515" w:rsidRDefault="00247515" w:rsidP="00D419B9">
      <w:pPr>
        <w:pStyle w:val="Heading2"/>
      </w:pPr>
      <w:bookmarkStart w:id="10" w:name="_Toc220676488"/>
      <w:r>
        <w:t>Reg Reporting Analyst</w:t>
      </w:r>
      <w:bookmarkEnd w:id="10"/>
    </w:p>
    <w:p w14:paraId="047D3984" w14:textId="77777777" w:rsidR="00247515" w:rsidRDefault="00247515" w:rsidP="00247515">
      <w:pPr>
        <w:pStyle w:val="NTTBodyText"/>
      </w:pPr>
      <w:r>
        <w:t>As a Regulatory Reporting Analyst, I need to receive automatically interpreted regulatory changes so that I can understand impacts quickly and accurately.</w:t>
      </w:r>
    </w:p>
    <w:p w14:paraId="53143885" w14:textId="77777777" w:rsidR="00247515" w:rsidRDefault="00247515" w:rsidP="00247515">
      <w:pPr>
        <w:pStyle w:val="NTTBodyText"/>
      </w:pPr>
      <w:r>
        <w:t>As a Regulatory Reporting Analyst, I need automated data validation so that I can identify data quality issues before report submission.</w:t>
      </w:r>
    </w:p>
    <w:p w14:paraId="49C92FAA" w14:textId="77777777" w:rsidR="00247515" w:rsidRDefault="00247515" w:rsidP="00247515">
      <w:pPr>
        <w:pStyle w:val="NTTBodyText"/>
      </w:pPr>
      <w:r>
        <w:t>As a Regulatory Reporting Analyst, I need a fully traceable audit pack so that I can provide evidence to compliance with the regulators.</w:t>
      </w:r>
    </w:p>
    <w:p w14:paraId="4636756F" w14:textId="77777777" w:rsidR="00247515" w:rsidRDefault="00247515" w:rsidP="00247515">
      <w:pPr>
        <w:pStyle w:val="NTTBodyText"/>
      </w:pPr>
      <w:r>
        <w:t>As a Regulatory Reporting Analyst, I need to generate FCA</w:t>
      </w:r>
      <w:r>
        <w:rPr>
          <w:rFonts w:ascii="Cambria Math" w:hAnsi="Cambria Math" w:cs="Cambria Math"/>
        </w:rPr>
        <w:t>‑</w:t>
      </w:r>
      <w:r>
        <w:t>compliant PSD CSV outputs automatically so that I can submit reports without manual intervention.</w:t>
      </w:r>
    </w:p>
    <w:p w14:paraId="3243F3A6" w14:textId="77777777" w:rsidR="00247515" w:rsidRDefault="00247515" w:rsidP="00247515">
      <w:pPr>
        <w:pStyle w:val="NTTBodyText"/>
      </w:pPr>
      <w:r>
        <w:t>As a Regulatory Reporting Analyst, I need to provide a single unified user interface so that I can access lineage, mappings, controls, workflow, and output files in one place without switching systems.</w:t>
      </w:r>
    </w:p>
    <w:p w14:paraId="73E6F65A" w14:textId="77777777" w:rsidR="00247515" w:rsidRPr="00D419B9" w:rsidRDefault="00247515" w:rsidP="00D419B9">
      <w:pPr>
        <w:pStyle w:val="Heading2"/>
      </w:pPr>
      <w:bookmarkStart w:id="11" w:name="_Toc220676489"/>
      <w:r w:rsidRPr="00D419B9">
        <w:t>Business Analyst</w:t>
      </w:r>
      <w:bookmarkEnd w:id="11"/>
    </w:p>
    <w:p w14:paraId="7E85CCBC" w14:textId="77777777" w:rsidR="00247515" w:rsidRDefault="00247515" w:rsidP="00247515">
      <w:pPr>
        <w:pStyle w:val="NTTBodyText"/>
      </w:pPr>
      <w:r>
        <w:t>As a Business Analyst, I need to see AI</w:t>
      </w:r>
      <w:r>
        <w:rPr>
          <w:rFonts w:ascii="Cambria Math" w:hAnsi="Cambria Math" w:cs="Cambria Math"/>
        </w:rPr>
        <w:t>‑</w:t>
      </w:r>
      <w:r>
        <w:t>generated functional and data requirements so that I can validate and refine them efficiently.</w:t>
      </w:r>
    </w:p>
    <w:p w14:paraId="6E0C33D1" w14:textId="77777777" w:rsidR="00247515" w:rsidRDefault="00247515" w:rsidP="00247515">
      <w:pPr>
        <w:pStyle w:val="NTTBodyText"/>
      </w:pPr>
      <w:r>
        <w:t>As a Business Analyst, I need auto</w:t>
      </w:r>
      <w:r>
        <w:rPr>
          <w:rFonts w:ascii="Cambria Math" w:hAnsi="Cambria Math" w:cs="Cambria Math"/>
        </w:rPr>
        <w:t>‑</w:t>
      </w:r>
      <w:r>
        <w:t>generated data mappings so that I can ensure all PSD elements have complete sourcing.</w:t>
      </w:r>
    </w:p>
    <w:p w14:paraId="652CCBF0" w14:textId="77777777" w:rsidR="00247515" w:rsidRDefault="00247515" w:rsidP="00247515">
      <w:pPr>
        <w:pStyle w:val="NTTBodyText"/>
      </w:pPr>
      <w:r>
        <w:t>As a Business Analyst, I need auto</w:t>
      </w:r>
      <w:r>
        <w:rPr>
          <w:rFonts w:ascii="Cambria Math" w:hAnsi="Cambria Math" w:cs="Cambria Math"/>
        </w:rPr>
        <w:t>‑</w:t>
      </w:r>
      <w:r>
        <w:t>generated test cases so that I can validate system behaviour aligns to FCA rules.</w:t>
      </w:r>
    </w:p>
    <w:p w14:paraId="0298AF80" w14:textId="77777777" w:rsidR="00247515" w:rsidRDefault="00247515" w:rsidP="00247515">
      <w:pPr>
        <w:pStyle w:val="NTTBodyText"/>
      </w:pPr>
      <w:r>
        <w:t>As a Business Analyst, I need to provide a single unified user interface so that I can access requirements, mappings, tests, lineage, and workflow in one place without switching tools.</w:t>
      </w:r>
    </w:p>
    <w:p w14:paraId="369177E6" w14:textId="77777777" w:rsidR="00247515" w:rsidRDefault="00247515" w:rsidP="00D419B9">
      <w:pPr>
        <w:pStyle w:val="Heading2"/>
      </w:pPr>
      <w:bookmarkStart w:id="12" w:name="_Toc220676490"/>
      <w:r>
        <w:t>Developer</w:t>
      </w:r>
      <w:bookmarkEnd w:id="12"/>
    </w:p>
    <w:p w14:paraId="05B18774" w14:textId="77777777" w:rsidR="00247515" w:rsidRDefault="00247515" w:rsidP="00247515">
      <w:pPr>
        <w:pStyle w:val="NTTBodyText"/>
      </w:pPr>
      <w:r>
        <w:t>As a Developer, I need a structured regulatory rule schema (JSON/Graph format) consumed from Gaia so that Kano can reliably generate requirements, ontology updates, mappings, and test cases.</w:t>
      </w:r>
    </w:p>
    <w:p w14:paraId="06A62FE8" w14:textId="77777777" w:rsidR="00247515" w:rsidRDefault="00247515" w:rsidP="00247515">
      <w:pPr>
        <w:pStyle w:val="NTTBodyText"/>
      </w:pPr>
      <w:r>
        <w:t>As a Developer, I need a Versioned rule set so that changes from the FCA/PRA generate new versions without overwriting historical logic.</w:t>
      </w:r>
    </w:p>
    <w:p w14:paraId="308884B0" w14:textId="77777777" w:rsidR="00247515" w:rsidRDefault="00247515" w:rsidP="00247515">
      <w:pPr>
        <w:pStyle w:val="NTTBodyText"/>
      </w:pPr>
      <w:r>
        <w:t>As a Developer, I need to schedule or trigger ingestion workflows via automation so that the platform can support daily/weekly/monthly regulatory refresh cycles.</w:t>
      </w:r>
    </w:p>
    <w:p w14:paraId="005730A1" w14:textId="77777777" w:rsidR="00247515" w:rsidRDefault="00247515" w:rsidP="00247515">
      <w:pPr>
        <w:pStyle w:val="NTTBodyText"/>
      </w:pPr>
      <w:r>
        <w:t>As a Developer, I need a structured regulatory rule schema from Gaia (e.g., JSON/graph) so that Kano can consistently interpret, transform, and version regulatory updates.</w:t>
      </w:r>
    </w:p>
    <w:p w14:paraId="2BF1380D" w14:textId="77777777" w:rsidR="00247515" w:rsidRDefault="00247515" w:rsidP="00247515">
      <w:pPr>
        <w:pStyle w:val="NTTBodyText"/>
      </w:pPr>
      <w:r>
        <w:t>As a Developer, I Need a deterministic pipeline for mapping execution so that the PSD CSV output is reproducible and testable</w:t>
      </w:r>
    </w:p>
    <w:p w14:paraId="600020F7" w14:textId="77777777" w:rsidR="00247515" w:rsidRDefault="00247515" w:rsidP="00247515">
      <w:pPr>
        <w:pStyle w:val="NTTBodyText"/>
      </w:pPr>
      <w:r>
        <w:t>As a Developer, I Need Kano to produce auto-generated test cases in a machine readable format (e.g., JSON) so that I can integrate them into automated test suites.</w:t>
      </w:r>
    </w:p>
    <w:p w14:paraId="7FFD8E93" w14:textId="77777777" w:rsidR="00247515" w:rsidRDefault="00247515" w:rsidP="00247515">
      <w:pPr>
        <w:pStyle w:val="NTTBodyText"/>
      </w:pPr>
      <w:r>
        <w:lastRenderedPageBreak/>
        <w:t>As a Developer, I Need a unified test runner API so Axet can display results and the pipeline can stop promotions if tests fail.</w:t>
      </w:r>
    </w:p>
    <w:p w14:paraId="3D539E5B" w14:textId="77777777" w:rsidR="00247515" w:rsidRDefault="00247515" w:rsidP="00247515">
      <w:pPr>
        <w:pStyle w:val="NTTBodyText"/>
      </w:pPr>
      <w:r>
        <w:t>As a developer, I Need a reusable output framework so that future FCA report types (COREP, FINREP, Pillar 2) follow the same pattern.</w:t>
      </w:r>
    </w:p>
    <w:p w14:paraId="6858EC79" w14:textId="4BEED3C3" w:rsidR="00F34816" w:rsidRDefault="00247515" w:rsidP="00247515">
      <w:pPr>
        <w:pStyle w:val="NTTBodyText"/>
      </w:pPr>
      <w:r>
        <w:t>As a developer I need Full telemetry across the pipeline, Structured logging formats (JSON) for downstream ingestion and full audit logs</w:t>
      </w:r>
    </w:p>
    <w:p w14:paraId="16C01A84" w14:textId="77777777" w:rsidR="00CB3BFD" w:rsidRDefault="00CB3BFD" w:rsidP="00247515">
      <w:pPr>
        <w:pStyle w:val="NTTBodyText"/>
      </w:pPr>
    </w:p>
    <w:p w14:paraId="55D11130" w14:textId="77777777" w:rsidR="001C3847" w:rsidRDefault="001C3847" w:rsidP="00247515">
      <w:pPr>
        <w:pStyle w:val="NTTBodyText"/>
      </w:pPr>
    </w:p>
    <w:p w14:paraId="2DBDA67D" w14:textId="77777777" w:rsidR="001C3847" w:rsidRDefault="001C3847" w:rsidP="00247515">
      <w:pPr>
        <w:pStyle w:val="NTTBodyText"/>
      </w:pPr>
    </w:p>
    <w:p w14:paraId="236CD195" w14:textId="1661403F" w:rsidR="001C3847" w:rsidRDefault="001C3847" w:rsidP="001C3847">
      <w:pPr>
        <w:pStyle w:val="AppendixHeading1"/>
      </w:pPr>
      <w:bookmarkStart w:id="13" w:name="_Toc220676491"/>
      <w:r>
        <w:lastRenderedPageBreak/>
        <w:t>Supporting Documents</w:t>
      </w:r>
      <w:bookmarkEnd w:id="13"/>
    </w:p>
    <w:p w14:paraId="682B7FA0" w14:textId="18475E58" w:rsidR="001C3847" w:rsidRPr="001C3847" w:rsidRDefault="001C3847" w:rsidP="001C3847">
      <w:pPr>
        <w:rPr>
          <w:rFonts w:asciiTheme="majorHAnsi" w:eastAsia="Times New Roman" w:hAnsiTheme="majorHAnsi" w:cs="Arial"/>
          <w:b/>
          <w:bCs/>
          <w:iCs/>
          <w:color w:val="2E404D" w:themeColor="text1"/>
          <w:kern w:val="24"/>
          <w:sz w:val="28"/>
          <w:szCs w:val="22"/>
          <w:lang w:val="en-GB"/>
          <w14:ligatures w14:val="none"/>
        </w:rPr>
      </w:pPr>
    </w:p>
    <w:p w14:paraId="79127F3C" w14:textId="24DFFE54" w:rsidR="00E96FF8" w:rsidRPr="001C3847" w:rsidRDefault="00E96FF8" w:rsidP="00E96FF8">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17" w:history="1">
        <w:r w:rsidRPr="001C3847">
          <w:rPr>
            <w:rFonts w:eastAsia="Times New Roman" w:cs="Arial"/>
            <w:color w:val="005B96" w:themeColor="hyperlink"/>
            <w:kern w:val="20"/>
            <w:szCs w:val="20"/>
            <w:u w:val="single"/>
            <w:lang w:val="en-GB"/>
            <w14:ligatures w14:val="none"/>
          </w:rPr>
          <w:t>https://www.fca.org.uk/publication/consumer-credit-information/credit-agreement-psd-data-elements.xlsx</w:t>
        </w:r>
      </w:hyperlink>
      <w:r>
        <w:rPr>
          <w:rFonts w:eastAsia="Times New Roman" w:cs="Arial"/>
          <w:color w:val="2E404D" w:themeColor="text1"/>
          <w:kern w:val="20"/>
          <w:szCs w:val="20"/>
          <w:lang w:val="en-GB"/>
          <w14:ligatures w14:val="none"/>
        </w:rPr>
        <w:br/>
        <w:t>Master copy of Data Requirements</w:t>
      </w:r>
      <w:r w:rsidR="00236C49">
        <w:rPr>
          <w:rFonts w:eastAsia="Times New Roman" w:cs="Arial"/>
          <w:color w:val="2E404D" w:themeColor="text1"/>
          <w:kern w:val="20"/>
          <w:szCs w:val="20"/>
          <w:lang w:val="en-GB"/>
          <w14:ligatures w14:val="none"/>
        </w:rPr>
        <w:t>/Rules</w:t>
      </w:r>
      <w:r>
        <w:rPr>
          <w:rFonts w:eastAsia="Times New Roman" w:cs="Arial"/>
          <w:color w:val="2E404D" w:themeColor="text1"/>
          <w:kern w:val="20"/>
          <w:szCs w:val="20"/>
          <w:lang w:val="en-GB"/>
          <w14:ligatures w14:val="none"/>
        </w:rPr>
        <w:t xml:space="preserve"> used to extract the PSD008 Use Case above.</w:t>
      </w:r>
    </w:p>
    <w:p w14:paraId="55A81875" w14:textId="77777777" w:rsidR="00E96FF8" w:rsidRPr="001C3847" w:rsidRDefault="00E96FF8" w:rsidP="00E96FF8">
      <w:pPr>
        <w:rPr>
          <w:lang w:val="en-GB"/>
        </w:rPr>
      </w:pPr>
    </w:p>
    <w:p w14:paraId="01DBD700" w14:textId="77777777" w:rsidR="007D6683" w:rsidRDefault="001C3847" w:rsidP="001C3847">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18" w:history="1">
        <w:r w:rsidRPr="001C3847">
          <w:rPr>
            <w:rFonts w:eastAsia="Times New Roman" w:cs="Arial"/>
            <w:color w:val="005B96" w:themeColor="hyperlink"/>
            <w:kern w:val="20"/>
            <w:szCs w:val="20"/>
            <w:u w:val="single"/>
            <w14:ligatures w14:val="none"/>
          </w:rPr>
          <w:t>Product sales data reporting | FCA</w:t>
        </w:r>
      </w:hyperlink>
      <w:r w:rsidR="00E46A56">
        <w:rPr>
          <w:rFonts w:eastAsia="Times New Roman" w:cs="Arial"/>
          <w:color w:val="2E404D" w:themeColor="text1"/>
          <w:kern w:val="20"/>
          <w:szCs w:val="20"/>
          <w:lang w:val="en-GB"/>
          <w14:ligatures w14:val="none"/>
        </w:rPr>
        <w:br/>
        <w:t>FCA Site listing all PSD Reports</w:t>
      </w:r>
    </w:p>
    <w:p w14:paraId="4B52262C" w14:textId="6CA5C3FD" w:rsidR="007D6683" w:rsidRDefault="00D626D6" w:rsidP="007D6683">
      <w:pPr>
        <w:pStyle w:val="ListParagraph"/>
        <w:numPr>
          <w:ilvl w:val="0"/>
          <w:numId w:val="0"/>
        </w:numPr>
        <w:ind w:left="426"/>
        <w:rPr>
          <w:rFonts w:eastAsia="Times New Roman" w:cs="Arial"/>
          <w:kern w:val="20"/>
          <w:szCs w:val="20"/>
          <w:lang w:val="en-GB"/>
          <w14:ligatures w14:val="none"/>
        </w:rPr>
      </w:pPr>
      <w:r w:rsidRPr="00D626D6">
        <w:rPr>
          <w:rFonts w:eastAsia="Times New Roman" w:cs="Arial"/>
          <w:kern w:val="20"/>
          <w:szCs w:val="20"/>
          <w:lang w:val="en-GB"/>
          <w14:ligatures w14:val="none"/>
        </w:rPr>
        <w:t>SUP 16.11 Product Sales, Performance and Back-book Data Reporting</w:t>
      </w:r>
      <w:r>
        <w:rPr>
          <w:rFonts w:eastAsia="Times New Roman" w:cs="Arial"/>
          <w:kern w:val="20"/>
          <w:szCs w:val="20"/>
          <w:lang w:val="en-GB"/>
          <w14:ligatures w14:val="none"/>
        </w:rPr>
        <w:t>:</w:t>
      </w:r>
      <w:r>
        <w:rPr>
          <w:rFonts w:eastAsia="Times New Roman" w:cs="Arial"/>
          <w:kern w:val="20"/>
          <w:szCs w:val="20"/>
          <w:lang w:val="en-GB"/>
          <w14:ligatures w14:val="none"/>
        </w:rPr>
        <w:br/>
      </w:r>
      <w:hyperlink r:id="rId19" w:history="1">
        <w:r w:rsidR="00526CAD" w:rsidRPr="00526CAD">
          <w:rPr>
            <w:rStyle w:val="Hyperlink"/>
            <w:rFonts w:eastAsia="Times New Roman" w:cs="Arial"/>
            <w:kern w:val="20"/>
            <w:szCs w:val="20"/>
            <w14:ligatures w14:val="none"/>
          </w:rPr>
          <w:t>FCA Handbook - SUP 16.11 Product Sales, Performance and Back-book Data Reporting</w:t>
        </w:r>
      </w:hyperlink>
    </w:p>
    <w:p w14:paraId="5A501E0F" w14:textId="77777777" w:rsidR="007D6683" w:rsidRDefault="007D6683" w:rsidP="007D6683">
      <w:pPr>
        <w:pStyle w:val="ListParagraph"/>
        <w:numPr>
          <w:ilvl w:val="0"/>
          <w:numId w:val="0"/>
        </w:numPr>
        <w:ind w:left="426"/>
        <w:rPr>
          <w:rFonts w:eastAsia="Times New Roman" w:cs="Arial"/>
          <w:kern w:val="20"/>
          <w:szCs w:val="20"/>
          <w:lang w:val="en-GB"/>
          <w14:ligatures w14:val="none"/>
        </w:rPr>
      </w:pPr>
    </w:p>
    <w:p w14:paraId="591B6C3F" w14:textId="5A6741BB" w:rsidR="007D6683" w:rsidRDefault="00316AA3" w:rsidP="007D6683">
      <w:pPr>
        <w:pStyle w:val="ListParagraph"/>
        <w:numPr>
          <w:ilvl w:val="0"/>
          <w:numId w:val="0"/>
        </w:numPr>
        <w:ind w:left="426"/>
        <w:rPr>
          <w:rFonts w:eastAsia="Times New Roman" w:cs="Arial"/>
          <w:kern w:val="20"/>
          <w:szCs w:val="20"/>
          <w:lang w:val="en-GB"/>
          <w14:ligatures w14:val="none"/>
        </w:rPr>
      </w:pPr>
      <w:hyperlink r:id="rId20" w:history="1">
        <w:r w:rsidRPr="00316AA3">
          <w:rPr>
            <w:rStyle w:val="Hyperlink"/>
            <w:rFonts w:eastAsia="Times New Roman" w:cs="Arial"/>
            <w:kern w:val="20"/>
            <w:szCs w:val="20"/>
            <w14:ligatures w14:val="none"/>
          </w:rPr>
          <w:t>Product sales data: help text and FAQs | FCA</w:t>
        </w:r>
      </w:hyperlink>
      <w:r w:rsidR="00652117">
        <w:br/>
      </w:r>
      <w:r w:rsidR="00652117">
        <w:br/>
      </w:r>
      <w:r w:rsidR="00652117" w:rsidRPr="00652117">
        <w:rPr>
          <w:rFonts w:eastAsia="Times New Roman" w:cs="Arial"/>
          <w:kern w:val="20"/>
          <w:szCs w:val="20"/>
          <w14:ligatures w14:val="none"/>
        </w:rPr>
        <w:t>Find out how to submit PSD items in our </w:t>
      </w:r>
      <w:hyperlink r:id="rId21" w:tooltip="FCA explains RegData: Submitting and managing Product Sales Data (PSD)" w:history="1">
        <w:r w:rsidR="00652117" w:rsidRPr="00652117">
          <w:rPr>
            <w:rStyle w:val="Hyperlink"/>
            <w:rFonts w:eastAsia="Times New Roman" w:cs="Arial"/>
            <w:kern w:val="20"/>
            <w:szCs w:val="20"/>
            <w14:ligatures w14:val="none"/>
          </w:rPr>
          <w:t>RegData He</w:t>
        </w:r>
        <w:r w:rsidR="00652117" w:rsidRPr="00652117">
          <w:rPr>
            <w:rStyle w:val="Hyperlink"/>
            <w:rFonts w:eastAsia="Times New Roman" w:cs="Arial"/>
            <w:kern w:val="20"/>
            <w:szCs w:val="20"/>
            <w14:ligatures w14:val="none"/>
          </w:rPr>
          <w:t>l</w:t>
        </w:r>
        <w:r w:rsidR="00652117" w:rsidRPr="00652117">
          <w:rPr>
            <w:rStyle w:val="Hyperlink"/>
            <w:rFonts w:eastAsia="Times New Roman" w:cs="Arial"/>
            <w:kern w:val="20"/>
            <w:szCs w:val="20"/>
            <w14:ligatures w14:val="none"/>
          </w:rPr>
          <w:t>p pages</w:t>
        </w:r>
      </w:hyperlink>
    </w:p>
    <w:p w14:paraId="5A3CD146" w14:textId="77777777" w:rsidR="00316AA3" w:rsidRDefault="00316AA3" w:rsidP="007D6683">
      <w:pPr>
        <w:pStyle w:val="ListParagraph"/>
        <w:numPr>
          <w:ilvl w:val="0"/>
          <w:numId w:val="0"/>
        </w:numPr>
        <w:ind w:left="426"/>
        <w:rPr>
          <w:rFonts w:eastAsia="Times New Roman" w:cs="Arial"/>
          <w:kern w:val="20"/>
          <w:szCs w:val="20"/>
          <w:lang w:val="en-GB"/>
          <w14:ligatures w14:val="none"/>
        </w:rPr>
      </w:pPr>
    </w:p>
    <w:p w14:paraId="0749DF1D" w14:textId="38ECBDCB" w:rsidR="00EB7BE4" w:rsidRPr="007D6683" w:rsidRDefault="007D6683" w:rsidP="007D6683">
      <w:pPr>
        <w:pStyle w:val="ListParagraph"/>
        <w:numPr>
          <w:ilvl w:val="0"/>
          <w:numId w:val="0"/>
        </w:numPr>
        <w:ind w:left="426"/>
        <w:rPr>
          <w:rFonts w:eastAsia="Times New Roman" w:cs="Arial"/>
          <w:kern w:val="20"/>
          <w:szCs w:val="20"/>
          <w:lang w:val="en-GB"/>
          <w14:ligatures w14:val="none"/>
        </w:rPr>
      </w:pPr>
      <w:r>
        <w:rPr>
          <w:rFonts w:eastAsia="Times New Roman" w:cs="Arial"/>
          <w:kern w:val="20"/>
          <w:szCs w:val="20"/>
          <w:lang w:val="en-GB"/>
          <w14:ligatures w14:val="none"/>
        </w:rPr>
        <w:t>Additional Supporting Documents:</w:t>
      </w:r>
    </w:p>
    <w:p w14:paraId="4DB5B414" w14:textId="0022AFF5" w:rsidR="00873734" w:rsidRPr="00873734" w:rsidRDefault="00873734" w:rsidP="001C3847">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22" w:history="1">
        <w:r w:rsidRPr="00873734">
          <w:rPr>
            <w:rStyle w:val="Hyperlink"/>
            <w:rFonts w:eastAsia="Times New Roman" w:cs="Arial"/>
            <w:kern w:val="20"/>
            <w:szCs w:val="20"/>
            <w14:ligatures w14:val="none"/>
          </w:rPr>
          <w:t>FCA Handbook</w:t>
        </w:r>
      </w:hyperlink>
      <w:r>
        <w:rPr>
          <w:rFonts w:eastAsia="Times New Roman" w:cs="Arial"/>
          <w:color w:val="2E404D" w:themeColor="text1"/>
          <w:kern w:val="20"/>
          <w:szCs w:val="20"/>
          <w:lang w:val="en-GB"/>
          <w14:ligatures w14:val="none"/>
        </w:rPr>
        <w:br/>
      </w:r>
    </w:p>
    <w:p w14:paraId="06ED4F9E" w14:textId="5C3739EA" w:rsidR="00A360E4" w:rsidRDefault="00A44CA8" w:rsidP="001C3847">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23" w:anchor="/layout/resources" w:history="1">
        <w:r w:rsidRPr="00A44CA8">
          <w:rPr>
            <w:rStyle w:val="Hyperlink"/>
            <w:rFonts w:eastAsia="Times New Roman" w:cs="Arial"/>
            <w:kern w:val="20"/>
            <w:szCs w:val="20"/>
            <w14:ligatures w14:val="none"/>
          </w:rPr>
          <w:t>FCA RegData : Resources</w:t>
        </w:r>
      </w:hyperlink>
      <w:r>
        <w:rPr>
          <w:rFonts w:eastAsia="Times New Roman" w:cs="Arial"/>
          <w:color w:val="2E404D" w:themeColor="text1"/>
          <w:kern w:val="20"/>
          <w:szCs w:val="20"/>
          <w:lang w:val="en-GB"/>
          <w14:ligatures w14:val="none"/>
        </w:rPr>
        <w:br/>
      </w:r>
      <w:r w:rsidR="00EB7BE4">
        <w:rPr>
          <w:rFonts w:eastAsia="Times New Roman" w:cs="Arial"/>
          <w:color w:val="2E404D" w:themeColor="text1"/>
          <w:kern w:val="20"/>
          <w:szCs w:val="20"/>
          <w:lang w:val="en-GB"/>
          <w14:ligatures w14:val="none"/>
        </w:rPr>
        <w:t xml:space="preserve">FCA Site Data Reference </w:t>
      </w:r>
      <w:r>
        <w:rPr>
          <w:rFonts w:eastAsia="Times New Roman" w:cs="Arial"/>
          <w:color w:val="2E404D" w:themeColor="text1"/>
          <w:kern w:val="20"/>
          <w:szCs w:val="20"/>
          <w:lang w:val="en-GB"/>
          <w14:ligatures w14:val="none"/>
        </w:rPr>
        <w:t xml:space="preserve">&amp; Technical </w:t>
      </w:r>
      <w:r w:rsidR="00EB7BE4">
        <w:rPr>
          <w:rFonts w:eastAsia="Times New Roman" w:cs="Arial"/>
          <w:color w:val="2E404D" w:themeColor="text1"/>
          <w:kern w:val="20"/>
          <w:szCs w:val="20"/>
          <w:lang w:val="en-GB"/>
          <w14:ligatures w14:val="none"/>
        </w:rPr>
        <w:t>Guides</w:t>
      </w:r>
      <w:r w:rsidR="00927624">
        <w:rPr>
          <w:rFonts w:eastAsia="Times New Roman" w:cs="Arial"/>
          <w:color w:val="2E404D" w:themeColor="text1"/>
          <w:kern w:val="20"/>
          <w:szCs w:val="20"/>
          <w:lang w:val="en-GB"/>
          <w14:ligatures w14:val="none"/>
        </w:rPr>
        <w:br/>
      </w:r>
    </w:p>
    <w:p w14:paraId="68947889" w14:textId="2234F030" w:rsidR="007D4B3C" w:rsidRPr="007D4B3C" w:rsidRDefault="002809BA" w:rsidP="00D410FB">
      <w:pPr>
        <w:numPr>
          <w:ilvl w:val="0"/>
          <w:numId w:val="14"/>
        </w:numPr>
        <w:spacing w:before="160" w:after="160"/>
        <w:ind w:left="397" w:hanging="397"/>
        <w:contextualSpacing/>
        <w:rPr>
          <w:rFonts w:eastAsia="Times New Roman" w:cs="Arial"/>
          <w:color w:val="2E404D" w:themeColor="text1"/>
          <w:kern w:val="20"/>
          <w:szCs w:val="20"/>
          <w:lang w:val="en-GB"/>
          <w14:ligatures w14:val="none"/>
        </w:rPr>
      </w:pPr>
      <w:hyperlink r:id="rId24" w:history="1">
        <w:r w:rsidRPr="007D4B3C">
          <w:rPr>
            <w:rStyle w:val="Hyperlink"/>
            <w:rFonts w:eastAsia="Times New Roman" w:cs="Arial"/>
            <w:kern w:val="20"/>
            <w:szCs w:val="20"/>
            <w14:ligatures w14:val="none"/>
          </w:rPr>
          <w:t>COREP and FINREP reporting | FCA</w:t>
        </w:r>
      </w:hyperlink>
      <w:r w:rsidRPr="007D4B3C">
        <w:rPr>
          <w:rFonts w:eastAsia="Times New Roman" w:cs="Arial"/>
          <w:color w:val="2E404D" w:themeColor="text1"/>
          <w:kern w:val="20"/>
          <w:szCs w:val="20"/>
          <w:lang w:val="en-GB"/>
          <w14:ligatures w14:val="none"/>
        </w:rPr>
        <w:br/>
      </w:r>
      <w:r w:rsidR="00A360E4" w:rsidRPr="007D4B3C">
        <w:rPr>
          <w:rFonts w:eastAsia="Times New Roman" w:cs="Arial"/>
          <w:color w:val="2E404D" w:themeColor="text1"/>
          <w:kern w:val="20"/>
          <w:szCs w:val="20"/>
          <w:lang w:val="en-GB"/>
          <w14:ligatures w14:val="none"/>
        </w:rPr>
        <w:t>COREP &amp; FINREP Reporting</w:t>
      </w:r>
      <w:r w:rsidR="00137472" w:rsidRPr="007D4B3C">
        <w:rPr>
          <w:rFonts w:eastAsia="Times New Roman" w:cs="Arial"/>
          <w:color w:val="2E404D" w:themeColor="text1"/>
          <w:kern w:val="20"/>
          <w:szCs w:val="20"/>
          <w:lang w:val="en-GB"/>
          <w14:ligatures w14:val="none"/>
        </w:rPr>
        <w:br/>
        <w:t>Taxonomy implementations</w:t>
      </w:r>
      <w:r w:rsidR="007D4B3C">
        <w:rPr>
          <w:rFonts w:eastAsia="Times New Roman" w:cs="Arial"/>
          <w:color w:val="2E404D" w:themeColor="text1"/>
          <w:kern w:val="20"/>
          <w:szCs w:val="20"/>
          <w:lang w:val="en-GB"/>
          <w14:ligatures w14:val="none"/>
        </w:rPr>
        <w:t xml:space="preserve"> </w:t>
      </w:r>
      <w:r w:rsidR="007D4B3C" w:rsidRPr="007D4B3C">
        <w:rPr>
          <w:rFonts w:eastAsia="Times New Roman" w:cs="Arial"/>
          <w:color w:val="2E404D" w:themeColor="text1"/>
          <w:kern w:val="20"/>
          <w:szCs w:val="20"/>
          <w:lang w:val="en-GB"/>
          <w14:ligatures w14:val="none"/>
        </w:rPr>
        <w:t xml:space="preserve">Finalised in </w:t>
      </w:r>
      <w:hyperlink r:id="rId25" w:history="1">
        <w:r w:rsidR="007D4B3C" w:rsidRPr="007D4B3C">
          <w:rPr>
            <w:rStyle w:val="Hyperlink"/>
            <w:rFonts w:eastAsia="Times New Roman" w:cs="Arial"/>
            <w:kern w:val="20"/>
            <w:szCs w:val="20"/>
            <w:lang w:val="en-GB"/>
            <w14:ligatures w14:val="none"/>
          </w:rPr>
          <w:t>https://www.bankofengland.co.uk/prudential-regulation/publication/2021/october/implementation-of-basel-standards</w:t>
        </w:r>
      </w:hyperlink>
    </w:p>
    <w:p w14:paraId="43960E39" w14:textId="7E7A0DCD" w:rsidR="00991A89" w:rsidRDefault="00991A89" w:rsidP="007D4B3C">
      <w:pPr>
        <w:spacing w:before="160" w:after="160"/>
        <w:ind w:left="397"/>
        <w:contextualSpacing/>
        <w:rPr>
          <w:rFonts w:eastAsia="Times New Roman" w:cs="Arial"/>
          <w:color w:val="2E404D" w:themeColor="text1"/>
          <w:kern w:val="20"/>
          <w:szCs w:val="20"/>
          <w:lang w:val="en-GB"/>
          <w14:ligatures w14:val="none"/>
        </w:rPr>
      </w:pPr>
      <w:r w:rsidRPr="00991A89">
        <w:rPr>
          <w:rFonts w:eastAsia="Times New Roman" w:cs="Arial"/>
          <w:color w:val="2E404D" w:themeColor="text1"/>
          <w:kern w:val="20"/>
          <w:szCs w:val="20"/>
          <w:lang w:val="en-GB"/>
          <w14:ligatures w14:val="none"/>
        </w:rPr>
        <w:t>EBA validation rules and filing rules</w:t>
      </w:r>
      <w:r>
        <w:rPr>
          <w:rFonts w:eastAsia="Times New Roman" w:cs="Arial"/>
          <w:color w:val="2E404D" w:themeColor="text1"/>
          <w:kern w:val="20"/>
          <w:szCs w:val="20"/>
          <w:lang w:val="en-GB"/>
          <w14:ligatures w14:val="none"/>
        </w:rPr>
        <w:t xml:space="preserve">: </w:t>
      </w:r>
      <w:hyperlink r:id="rId26" w:history="1">
        <w:r w:rsidRPr="00BF5FD9">
          <w:rPr>
            <w:rStyle w:val="Hyperlink"/>
            <w:rFonts w:eastAsia="Times New Roman" w:cs="Arial"/>
            <w:kern w:val="20"/>
            <w:szCs w:val="20"/>
            <w:lang w:val="en-GB"/>
            <w14:ligatures w14:val="none"/>
          </w:rPr>
          <w:t>https://www.eba.europa.eu/risk-analysis-and-data/reporting-frameworks</w:t>
        </w:r>
      </w:hyperlink>
    </w:p>
    <w:p w14:paraId="58396D2C" w14:textId="09036DF8" w:rsidR="0081400E" w:rsidRDefault="0081400E" w:rsidP="007D4B3C">
      <w:pPr>
        <w:spacing w:before="160" w:after="160"/>
        <w:ind w:left="397"/>
        <w:contextualSpacing/>
      </w:pPr>
      <w:r w:rsidRPr="0081400E">
        <w:rPr>
          <w:rFonts w:eastAsia="Times New Roman" w:cs="Arial"/>
          <w:color w:val="2E404D" w:themeColor="text1"/>
          <w:kern w:val="20"/>
          <w:szCs w:val="20"/>
          <w:lang w:val="en-GB"/>
          <w14:ligatures w14:val="none"/>
        </w:rPr>
        <w:t>Taxonomy entry point mapping to RegData</w:t>
      </w:r>
      <w:r>
        <w:rPr>
          <w:rFonts w:eastAsia="Times New Roman" w:cs="Arial"/>
          <w:color w:val="2E404D" w:themeColor="text1"/>
          <w:kern w:val="20"/>
          <w:szCs w:val="20"/>
          <w:lang w:val="en-GB"/>
          <w14:ligatures w14:val="none"/>
        </w:rPr>
        <w:t xml:space="preserve">: </w:t>
      </w:r>
      <w:hyperlink r:id="rId27" w:history="1">
        <w:r w:rsidRPr="00BF5FD9">
          <w:rPr>
            <w:rStyle w:val="Hyperlink"/>
            <w:rFonts w:eastAsia="Times New Roman" w:cs="Arial"/>
            <w:kern w:val="20"/>
            <w:szCs w:val="20"/>
            <w:lang w:val="en-GB"/>
            <w14:ligatures w14:val="none"/>
          </w:rPr>
          <w:t>https://www.fca.org.uk/sites/default/files/regdata-taxonomy-entry-point-mapping.xlsx</w:t>
        </w:r>
      </w:hyperlink>
    </w:p>
    <w:p w14:paraId="02162018" w14:textId="16B54445" w:rsidR="001C3847" w:rsidRPr="001C3847" w:rsidRDefault="001C3847" w:rsidP="00103C1E">
      <w:pPr>
        <w:spacing w:before="160" w:after="160"/>
        <w:contextualSpacing/>
        <w:rPr>
          <w:rFonts w:eastAsia="Times New Roman" w:cs="Arial"/>
          <w:color w:val="2E404D" w:themeColor="text1"/>
          <w:kern w:val="20"/>
          <w:szCs w:val="20"/>
          <w:lang w:val="en-GB"/>
          <w14:ligatures w14:val="none"/>
        </w:rPr>
      </w:pPr>
    </w:p>
    <w:p w14:paraId="0925CF74" w14:textId="66115415" w:rsidR="007C7444" w:rsidRPr="007C7444" w:rsidRDefault="00103C1E" w:rsidP="00E96FF8">
      <w:pPr>
        <w:numPr>
          <w:ilvl w:val="0"/>
          <w:numId w:val="14"/>
        </w:numPr>
        <w:spacing w:before="160" w:after="160"/>
        <w:ind w:left="397" w:hanging="397"/>
        <w:contextualSpacing/>
        <w:rPr>
          <w:lang w:val="en-GB"/>
        </w:rPr>
      </w:pPr>
      <w:hyperlink r:id="rId28" w:history="1">
        <w:r w:rsidRPr="00103C1E">
          <w:rPr>
            <w:rStyle w:val="Hyperlink"/>
          </w:rPr>
          <w:t>Regulatory reporting and disclosure - banking sector | Bank of England</w:t>
        </w:r>
      </w:hyperlink>
      <w:r>
        <w:br/>
        <w:t>I</w:t>
      </w:r>
      <w:r w:rsidRPr="00103C1E">
        <w:t>nformation on PRA and RFB data items.</w:t>
      </w:r>
      <w:r w:rsidR="007C7444">
        <w:br/>
      </w:r>
    </w:p>
    <w:p w14:paraId="4A399D55" w14:textId="2B3531CF" w:rsidR="002A3B1C" w:rsidRPr="002A3B1C" w:rsidRDefault="002A3B1C" w:rsidP="00E96FF8">
      <w:pPr>
        <w:numPr>
          <w:ilvl w:val="0"/>
          <w:numId w:val="14"/>
        </w:numPr>
        <w:spacing w:before="160" w:after="160"/>
        <w:ind w:left="397" w:hanging="397"/>
        <w:contextualSpacing/>
        <w:rPr>
          <w:lang w:val="en-GB"/>
        </w:rPr>
      </w:pPr>
      <w:hyperlink r:id="rId29" w:history="1">
        <w:r w:rsidRPr="002A3B1C">
          <w:rPr>
            <w:rStyle w:val="Hyperlink"/>
          </w:rPr>
          <w:t>Banks, building societies and investment firms | Bank of England</w:t>
        </w:r>
      </w:hyperlink>
      <w:r w:rsidR="007C7444">
        <w:br/>
      </w:r>
      <w:r w:rsidR="007C7444" w:rsidRPr="007C7444">
        <w:t>Banks, building societies and investment firms</w:t>
      </w:r>
      <w:r>
        <w:t>:</w:t>
      </w:r>
      <w:r>
        <w:br/>
      </w:r>
      <w:hyperlink r:id="rId30" w:history="1">
        <w:r w:rsidRPr="00056BD8">
          <w:rPr>
            <w:rStyle w:val="Hyperlink"/>
          </w:rPr>
          <w:t>http://www.prarulebook.co.uk/</w:t>
        </w:r>
      </w:hyperlink>
    </w:p>
    <w:p w14:paraId="57F34980" w14:textId="77777777" w:rsidR="009A0D85" w:rsidRDefault="009A0D85" w:rsidP="002A3B1C">
      <w:pPr>
        <w:spacing w:before="160" w:after="160"/>
        <w:ind w:left="397"/>
        <w:contextualSpacing/>
      </w:pPr>
      <w:hyperlink r:id="rId31" w:history="1">
        <w:r w:rsidRPr="009A0D85">
          <w:rPr>
            <w:rStyle w:val="Hyperlink"/>
          </w:rPr>
          <w:t>Reporting | Bank of England</w:t>
        </w:r>
      </w:hyperlink>
    </w:p>
    <w:p w14:paraId="0A0C7915" w14:textId="3EA89EDA" w:rsidR="009D15CA" w:rsidRPr="002A3899" w:rsidRDefault="00066060" w:rsidP="002A3899">
      <w:pPr>
        <w:spacing w:before="160" w:after="160"/>
        <w:ind w:left="397"/>
        <w:contextualSpacing/>
      </w:pPr>
      <w:hyperlink r:id="rId32" w:history="1">
        <w:r w:rsidRPr="00066060">
          <w:rPr>
            <w:rStyle w:val="Hyperlink"/>
          </w:rPr>
          <w:t>Regulatory Reporting | Prudential Regulation Authority Handbook &amp; Rulebook</w:t>
        </w:r>
      </w:hyperlink>
      <w:r w:rsidR="009D15CA">
        <w:br/>
      </w:r>
    </w:p>
    <w:p w14:paraId="7A0F3880" w14:textId="42B738D7" w:rsidR="00275613" w:rsidRPr="00275613" w:rsidRDefault="001C3847" w:rsidP="00E96FF8">
      <w:pPr>
        <w:numPr>
          <w:ilvl w:val="0"/>
          <w:numId w:val="14"/>
        </w:numPr>
        <w:spacing w:before="160" w:after="160"/>
        <w:ind w:left="397" w:hanging="397"/>
        <w:contextualSpacing/>
        <w:rPr>
          <w:lang w:val="en-GB"/>
        </w:rPr>
      </w:pPr>
      <w:hyperlink r:id="rId33" w:history="1">
        <w:r w:rsidRPr="001C3847">
          <w:rPr>
            <w:rFonts w:eastAsia="Times New Roman" w:cs="Arial"/>
            <w:color w:val="005B96" w:themeColor="hyperlink"/>
            <w:kern w:val="20"/>
            <w:szCs w:val="20"/>
            <w:u w:val="single"/>
            <w14:ligatures w14:val="none"/>
          </w:rPr>
          <w:t>UK Mortgage Product Dataset</w:t>
        </w:r>
      </w:hyperlink>
      <w:r w:rsidR="006F7816">
        <w:rPr>
          <w:rFonts w:eastAsia="Times New Roman" w:cs="Arial"/>
          <w:color w:val="2E404D" w:themeColor="text1"/>
          <w:kern w:val="20"/>
          <w:szCs w:val="20"/>
          <w:lang w:val="en-GB"/>
          <w14:ligatures w14:val="none"/>
        </w:rPr>
        <w:br/>
      </w:r>
      <w:r w:rsidR="00E96FF8">
        <w:rPr>
          <w:rFonts w:eastAsia="Times New Roman" w:cs="Arial"/>
          <w:color w:val="2E404D" w:themeColor="text1"/>
          <w:kern w:val="20"/>
          <w:szCs w:val="20"/>
          <w:lang w:val="en-GB"/>
          <w14:ligatures w14:val="none"/>
        </w:rPr>
        <w:t xml:space="preserve">UK </w:t>
      </w:r>
      <w:r w:rsidR="006F7816">
        <w:rPr>
          <w:rFonts w:eastAsia="Times New Roman" w:cs="Arial"/>
          <w:color w:val="2E404D" w:themeColor="text1"/>
          <w:kern w:val="20"/>
          <w:szCs w:val="20"/>
          <w:lang w:val="en-GB"/>
          <w14:ligatures w14:val="none"/>
        </w:rPr>
        <w:t xml:space="preserve">Mortgage </w:t>
      </w:r>
      <w:r w:rsidR="00E96FF8">
        <w:rPr>
          <w:rFonts w:eastAsia="Times New Roman" w:cs="Arial"/>
          <w:color w:val="2E404D" w:themeColor="text1"/>
          <w:kern w:val="20"/>
          <w:szCs w:val="20"/>
          <w:lang w:val="en-GB"/>
          <w14:ligatures w14:val="none"/>
        </w:rPr>
        <w:t xml:space="preserve">Data on </w:t>
      </w:r>
      <w:r w:rsidR="006F7816">
        <w:rPr>
          <w:rFonts w:eastAsia="Times New Roman" w:cs="Arial"/>
          <w:color w:val="2E404D" w:themeColor="text1"/>
          <w:kern w:val="20"/>
          <w:szCs w:val="20"/>
          <w:lang w:val="en-GB"/>
          <w14:ligatures w14:val="none"/>
        </w:rPr>
        <w:t>Kaggle</w:t>
      </w:r>
      <w:r w:rsidR="00E96FF8">
        <w:rPr>
          <w:rFonts w:eastAsia="Times New Roman" w:cs="Arial"/>
          <w:color w:val="2E404D" w:themeColor="text1"/>
          <w:kern w:val="20"/>
          <w:szCs w:val="20"/>
          <w:lang w:val="en-GB"/>
          <w14:ligatures w14:val="none"/>
        </w:rPr>
        <w:t xml:space="preserve"> as example – many more Datasets available there</w:t>
      </w:r>
      <w:r w:rsidR="00275613">
        <w:rPr>
          <w:rFonts w:eastAsia="Times New Roman" w:cs="Arial"/>
          <w:color w:val="2E404D" w:themeColor="text1"/>
          <w:kern w:val="20"/>
          <w:szCs w:val="20"/>
          <w:lang w:val="en-GB"/>
          <w14:ligatures w14:val="none"/>
        </w:rPr>
        <w:br/>
      </w:r>
    </w:p>
    <w:p w14:paraId="0DFF11D5" w14:textId="38F6A528" w:rsidR="001C3847" w:rsidRPr="001C3847" w:rsidRDefault="006B173B" w:rsidP="00E96FF8">
      <w:pPr>
        <w:numPr>
          <w:ilvl w:val="0"/>
          <w:numId w:val="14"/>
        </w:numPr>
        <w:spacing w:before="160" w:after="160"/>
        <w:ind w:left="397" w:hanging="397"/>
        <w:contextualSpacing/>
        <w:rPr>
          <w:lang w:val="en-GB"/>
        </w:rPr>
      </w:pPr>
      <w:hyperlink r:id="rId34" w:history="1">
        <w:r w:rsidRPr="006B173B">
          <w:rPr>
            <w:rStyle w:val="Hyperlink"/>
            <w:rFonts w:eastAsia="Times New Roman" w:cs="Arial"/>
            <w:kern w:val="20"/>
            <w:szCs w:val="20"/>
            <w14:ligatures w14:val="none"/>
          </w:rPr>
          <w:t>Find open data - data.gov.uk</w:t>
        </w:r>
      </w:hyperlink>
      <w:r w:rsidR="00275613">
        <w:rPr>
          <w:rFonts w:eastAsia="Times New Roman" w:cs="Arial"/>
          <w:color w:val="2E404D" w:themeColor="text1"/>
          <w:kern w:val="20"/>
          <w:szCs w:val="20"/>
          <w:lang w:val="en-GB"/>
          <w14:ligatures w14:val="none"/>
        </w:rPr>
        <w:br/>
        <w:t>Open site</w:t>
      </w:r>
      <w:r w:rsidR="00363AEA">
        <w:rPr>
          <w:rFonts w:eastAsia="Times New Roman" w:cs="Arial"/>
          <w:color w:val="2E404D" w:themeColor="text1"/>
          <w:kern w:val="20"/>
          <w:szCs w:val="20"/>
          <w:lang w:val="en-GB"/>
          <w14:ligatures w14:val="none"/>
        </w:rPr>
        <w:t>, including FCA Data,</w:t>
      </w:r>
      <w:r w:rsidR="00275613">
        <w:rPr>
          <w:rFonts w:eastAsia="Times New Roman" w:cs="Arial"/>
          <w:color w:val="2E404D" w:themeColor="text1"/>
          <w:kern w:val="20"/>
          <w:szCs w:val="20"/>
          <w:lang w:val="en-GB"/>
          <w14:ligatures w14:val="none"/>
        </w:rPr>
        <w:t xml:space="preserve"> containing many Datasets which may be of use</w:t>
      </w:r>
      <w:r w:rsidR="00E96FF8">
        <w:rPr>
          <w:rFonts w:eastAsia="Times New Roman" w:cs="Arial"/>
          <w:color w:val="2E404D" w:themeColor="text1"/>
          <w:kern w:val="20"/>
          <w:szCs w:val="20"/>
          <w:lang w:val="en-GB"/>
          <w14:ligatures w14:val="none"/>
        </w:rPr>
        <w:br/>
      </w:r>
    </w:p>
    <w:sectPr w:rsidR="001C3847" w:rsidRPr="001C3847" w:rsidSect="00762711">
      <w:headerReference w:type="default" r:id="rId35"/>
      <w:footerReference w:type="default" r:id="rId36"/>
      <w:headerReference w:type="first" r:id="rId37"/>
      <w:footerReference w:type="first" r:id="rId38"/>
      <w:pgSz w:w="11906" w:h="16838"/>
      <w:pgMar w:top="1609" w:right="1134" w:bottom="1134" w:left="1134" w:header="709" w:footer="4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13AA9" w14:textId="77777777" w:rsidR="008E3269" w:rsidRDefault="008E3269" w:rsidP="004F71FC">
      <w:r>
        <w:separator/>
      </w:r>
    </w:p>
    <w:p w14:paraId="5D742010" w14:textId="77777777" w:rsidR="008E3269" w:rsidRDefault="008E3269"/>
  </w:endnote>
  <w:endnote w:type="continuationSeparator" w:id="0">
    <w:p w14:paraId="30216C78" w14:textId="77777777" w:rsidR="008E3269" w:rsidRDefault="008E3269" w:rsidP="004F71FC">
      <w:r>
        <w:continuationSeparator/>
      </w:r>
    </w:p>
    <w:p w14:paraId="0D4B036D" w14:textId="77777777" w:rsidR="008E3269" w:rsidRDefault="008E32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26DF" w14:textId="77777777" w:rsidR="00762711" w:rsidRDefault="00762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E8B" w14:textId="5C1DC18B" w:rsidR="000433E6" w:rsidRDefault="00380132" w:rsidP="00824EC5">
    <w:pPr>
      <w:pStyle w:val="Footer"/>
      <w:tabs>
        <w:tab w:val="clear" w:pos="9026"/>
        <w:tab w:val="right" w:pos="9575"/>
      </w:tabs>
    </w:pPr>
    <w:r w:rsidRPr="001C5D50">
      <w:rPr>
        <w:rFonts w:hint="eastAsia"/>
        <w:bCs/>
        <w:lang w:val="en-GB"/>
      </w:rPr>
      <w:t>©</w:t>
    </w:r>
    <w:r>
      <w:rPr>
        <w:bCs/>
        <w:lang w:val="en-GB"/>
      </w:rPr>
      <w:t xml:space="preserve"> 2023</w:t>
    </w:r>
    <w:r w:rsidRPr="001C5D50">
      <w:rPr>
        <w:bCs/>
        <w:lang w:val="en-GB"/>
      </w:rPr>
      <w:t xml:space="preserve"> </w:t>
    </w:r>
    <w:sdt>
      <w:sdtPr>
        <w:rPr>
          <w:bCs/>
          <w:lang w:val="en-GB"/>
        </w:rPr>
        <w:alias w:val="Company"/>
        <w:tag w:val=""/>
        <w:id w:val="-1979137449"/>
        <w:placeholder>
          <w:docPart w:val="F9B3FD16871F4C54ACF12EFE83A2BD4C"/>
        </w:placeholder>
        <w:dataBinding w:prefixMappings="xmlns:ns0='http://schemas.openxmlformats.org/officeDocument/2006/extended-properties' " w:xpath="/ns0:Properties[1]/ns0:Company[1]" w:storeItemID="{6668398D-A668-4E3E-A5EB-62B293D839F1}"/>
        <w:text/>
      </w:sdtPr>
      <w:sdtContent>
        <w:r w:rsidR="00762711">
          <w:rPr>
            <w:bCs/>
            <w:lang w:val="en-GB"/>
          </w:rPr>
          <w:t>NTT DATA, Inc.</w:t>
        </w:r>
      </w:sdtContent>
    </w:sdt>
    <w:r w:rsidRPr="001C5D50">
      <w:rPr>
        <w:b/>
        <w:bCs/>
        <w:lang w:val="en-GB"/>
      </w:rPr>
      <w:t xml:space="preserve"> </w:t>
    </w:r>
    <w:r>
      <w:rPr>
        <w:noProof/>
      </w:rPr>
      <mc:AlternateContent>
        <mc:Choice Requires="wps">
          <w:drawing>
            <wp:anchor distT="45720" distB="45720" distL="114300" distR="114300" simplePos="0" relativeHeight="251694080" behindDoc="0" locked="0" layoutInCell="1" allowOverlap="1" wp14:anchorId="09E117FC" wp14:editId="1B61D5FF">
              <wp:simplePos x="0" y="0"/>
              <wp:positionH relativeFrom="margin">
                <wp:align>right</wp:align>
              </wp:positionH>
              <wp:positionV relativeFrom="paragraph">
                <wp:posOffset>5715</wp:posOffset>
              </wp:positionV>
              <wp:extent cx="804545" cy="160020"/>
              <wp:effectExtent l="0" t="0" r="0" b="0"/>
              <wp:wrapSquare wrapText="bothSides"/>
              <wp:docPr id="1448290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9E117FC" id="_x0000_t202" coordsize="21600,21600" o:spt="202" path="m,l,21600r21600,l21600,xe">
              <v:stroke joinstyle="miter"/>
              <v:path gradientshapeok="t" o:connecttype="rect"/>
            </v:shapetype>
            <v:shape id="Text Box 2" o:spid="_x0000_s1026" type="#_x0000_t202" style="position:absolute;margin-left:12.15pt;margin-top:.45pt;width:63.35pt;height:12.6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" stroked="f">
              <v:textbox style="mso-fit-shape-to-text:t" inset="0,0,0,0">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E39D" w14:textId="089CB0C7" w:rsidR="00824EC5" w:rsidRDefault="00824EC5" w:rsidP="00824EC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E9B6" w14:textId="5E4E05D8" w:rsidR="00762711"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96128" behindDoc="0" locked="0" layoutInCell="1" allowOverlap="1" wp14:anchorId="53D51667" wp14:editId="30C95E7B">
              <wp:simplePos x="0" y="0"/>
              <wp:positionH relativeFrom="margin">
                <wp:align>right</wp:align>
              </wp:positionH>
              <wp:positionV relativeFrom="paragraph">
                <wp:posOffset>4445</wp:posOffset>
              </wp:positionV>
              <wp:extent cx="804545" cy="160020"/>
              <wp:effectExtent l="0" t="0" r="0" b="0"/>
              <wp:wrapSquare wrapText="bothSides"/>
              <wp:docPr id="321570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3D51667" id="_x0000_t202" coordsize="21600,21600" o:spt="202" path="m,l,21600r21600,l21600,xe">
              <v:stroke joinstyle="miter"/>
              <v:path gradientshapeok="t" o:connecttype="rect"/>
            </v:shapetype>
            <v:shape id="_x0000_s1027" type="#_x0000_t202" style="position:absolute;margin-left:12.15pt;margin-top:.35pt;width:63.35pt;height:12.6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" stroked="f">
              <v:textbox style="mso-fit-shape-to-text:t" inset="0,0,0,0">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Pr="001C5D50">
      <w:rPr>
        <w:rFonts w:hint="eastAsia"/>
        <w:bCs/>
        <w:lang w:val="en-GB"/>
      </w:rPr>
      <w:t>©</w:t>
    </w:r>
    <w:r>
      <w:rPr>
        <w:bCs/>
        <w:lang w:val="en-GB"/>
      </w:rPr>
      <w:t xml:space="preserve"> 202</w:t>
    </w:r>
    <w:r w:rsidR="005B0B72">
      <w:rPr>
        <w:bCs/>
        <w:lang w:val="en-GB"/>
      </w:rPr>
      <w:t>6</w:t>
    </w:r>
    <w:r w:rsidRPr="001C5D50">
      <w:rPr>
        <w:bCs/>
        <w:lang w:val="en-GB"/>
      </w:rPr>
      <w:t xml:space="preserve"> </w:t>
    </w:r>
    <w:sdt>
      <w:sdtPr>
        <w:rPr>
          <w:bCs/>
          <w:lang w:val="en-GB"/>
        </w:rPr>
        <w:alias w:val="Company"/>
        <w:tag w:val=""/>
        <w:id w:val="-1607030622"/>
        <w:placeholder>
          <w:docPart w:val="7E69470399464888BD163DC6228BD769"/>
        </w:placeholder>
        <w:dataBinding w:prefixMappings="xmlns:ns0='http://schemas.openxmlformats.org/officeDocument/2006/extended-properties' " w:xpath="/ns0:Properties[1]/ns0:Company[1]" w:storeItemID="{6668398D-A668-4E3E-A5EB-62B293D839F1}"/>
        <w:text/>
      </w:sdtPr>
      <w:sdtContent>
        <w:r>
          <w:rPr>
            <w:bCs/>
            <w:lang w:val="en-GB"/>
          </w:rPr>
          <w:t>NTT DATA, Inc.</w:t>
        </w:r>
      </w:sdtContent>
    </w:sdt>
    <w:r>
      <w:rPr>
        <w:bCs/>
        <w:lang w:val="en-G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E498" w14:textId="59A54981" w:rsidR="00C12906"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83840" behindDoc="0" locked="0" layoutInCell="1" allowOverlap="1" wp14:anchorId="123C0B25" wp14:editId="269D6182">
              <wp:simplePos x="0" y="0"/>
              <wp:positionH relativeFrom="margin">
                <wp:align>right</wp:align>
              </wp:positionH>
              <wp:positionV relativeFrom="paragraph">
                <wp:posOffset>4445</wp:posOffset>
              </wp:positionV>
              <wp:extent cx="804545" cy="1600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3C0B25" id="_x0000_t202" coordsize="21600,21600" o:spt="202" path="m,l,21600r21600,l21600,xe">
              <v:stroke joinstyle="miter"/>
              <v:path gradientshapeok="t" o:connecttype="rect"/>
            </v:shapetype>
            <v:shape id="_x0000_s1028" type="#_x0000_t202" style="position:absolute;margin-left:12.15pt;margin-top:.35pt;width:63.35pt;height:12.6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" stroked="f">
              <v:textbox style="mso-fit-shape-to-text:t" inset="0,0,0,0">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001C5D50" w:rsidRPr="001C5D50">
      <w:rPr>
        <w:rFonts w:hint="eastAsia"/>
        <w:bCs/>
        <w:lang w:val="en-GB"/>
      </w:rPr>
      <w:t>©</w:t>
    </w:r>
    <w:r w:rsidR="001C5D50">
      <w:rPr>
        <w:bCs/>
        <w:lang w:val="en-GB"/>
      </w:rPr>
      <w:t xml:space="preserve"> 202</w:t>
    </w:r>
    <w:r w:rsidR="005B0B72">
      <w:rPr>
        <w:bCs/>
        <w:lang w:val="en-GB"/>
      </w:rPr>
      <w:t>6</w:t>
    </w:r>
    <w:r w:rsidR="001C5D50" w:rsidRPr="001C5D50">
      <w:rPr>
        <w:bCs/>
        <w:lang w:val="en-GB"/>
      </w:rPr>
      <w:t xml:space="preserve"> </w:t>
    </w:r>
    <w:sdt>
      <w:sdtPr>
        <w:rPr>
          <w:bCs/>
          <w:lang w:val="en-GB"/>
        </w:rPr>
        <w:alias w:val="Company"/>
        <w:tag w:val=""/>
        <w:id w:val="1613089459"/>
        <w:placeholder>
          <w:docPart w:val="07F13BF82FC6447CAC9D511CF9723222"/>
        </w:placeholder>
        <w:dataBinding w:prefixMappings="xmlns:ns0='http://schemas.openxmlformats.org/officeDocument/2006/extended-properties' " w:xpath="/ns0:Properties[1]/ns0:Company[1]" w:storeItemID="{6668398D-A668-4E3E-A5EB-62B293D839F1}"/>
        <w:text/>
      </w:sdtPr>
      <w:sdtContent>
        <w:r w:rsidR="001C17FF">
          <w:rPr>
            <w:bCs/>
            <w:lang w:val="en-GB"/>
          </w:rPr>
          <w:t>NTT DATA, Inc.</w:t>
        </w:r>
      </w:sdtContent>
    </w:sdt>
    <w:r w:rsidR="001C17FF">
      <w:rPr>
        <w:bCs/>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62AB" w14:textId="77777777" w:rsidR="008E3269" w:rsidRDefault="008E3269" w:rsidP="004F71FC">
      <w:r>
        <w:separator/>
      </w:r>
    </w:p>
    <w:p w14:paraId="43AE0C9E" w14:textId="77777777" w:rsidR="008E3269" w:rsidRDefault="008E3269"/>
  </w:footnote>
  <w:footnote w:type="continuationSeparator" w:id="0">
    <w:p w14:paraId="79D44DBC" w14:textId="77777777" w:rsidR="008E3269" w:rsidRDefault="008E3269" w:rsidP="004F71FC">
      <w:r>
        <w:continuationSeparator/>
      </w:r>
    </w:p>
    <w:p w14:paraId="60B71B88" w14:textId="77777777" w:rsidR="008E3269" w:rsidRDefault="008E32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94F3" w14:textId="77777777" w:rsidR="00762711" w:rsidRDefault="00762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21457527"/>
      <w:lock w:val="sdtContentLocked"/>
      <w:placeholder>
        <w:docPart w:val="DefaultPlaceholder_-1854013440"/>
      </w:placeholder>
    </w:sdtPr>
    <w:sdtContent>
      <w:p w14:paraId="41D7D7DE" w14:textId="122363C8" w:rsidR="00196899" w:rsidRDefault="00063F40" w:rsidP="00B35478">
        <w:pPr>
          <w:pStyle w:val="Header"/>
          <w:tabs>
            <w:tab w:val="clear" w:pos="9026"/>
          </w:tabs>
        </w:pPr>
        <w:r w:rsidRPr="0085122C">
          <w:rPr>
            <w:noProof/>
          </w:rPr>
          <w:drawing>
            <wp:anchor distT="0" distB="0" distL="114300" distR="114300" simplePos="0" relativeHeight="251658240" behindDoc="0" locked="0" layoutInCell="1" allowOverlap="1" wp14:anchorId="66275B9A" wp14:editId="3CB2A46F">
              <wp:simplePos x="0" y="0"/>
              <wp:positionH relativeFrom="margin">
                <wp:align>right</wp:align>
              </wp:positionH>
              <wp:positionV relativeFrom="paragraph">
                <wp:posOffset>-635</wp:posOffset>
              </wp:positionV>
              <wp:extent cx="1223645" cy="249555"/>
              <wp:effectExtent l="0" t="0" r="0" b="0"/>
              <wp:wrapNone/>
              <wp:docPr id="701481139" name="Graphic 701481139">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sidR="00B449AE">
          <w:rPr>
            <w:noProof/>
          </w:rPr>
          <w:fldChar w:fldCharType="begin"/>
        </w:r>
        <w:r w:rsidR="00B449AE">
          <w:rPr>
            <w:noProof/>
          </w:rPr>
          <w:instrText xml:space="preserve"> STYLEREF  Title  \* MERGEFORMAT </w:instrText>
        </w:r>
        <w:r w:rsidR="00B449AE">
          <w:rPr>
            <w:noProof/>
          </w:rPr>
          <w:fldChar w:fldCharType="separate"/>
        </w:r>
        <w:r w:rsidR="005675A2">
          <w:rPr>
            <w:noProof/>
          </w:rPr>
          <w:t>Document title</w:t>
        </w:r>
        <w:r w:rsidR="00B449AE">
          <w:rPr>
            <w:noProof/>
          </w:rPr>
          <w:fldChar w:fldCharType="end"/>
        </w:r>
      </w:p>
    </w:sdtContent>
  </w:sdt>
  <w:p w14:paraId="3787521C" w14:textId="11A5001F" w:rsidR="004F71FC" w:rsidRDefault="004F71FC">
    <w:pPr>
      <w:pStyle w:val="Header"/>
    </w:pPr>
  </w:p>
  <w:p w14:paraId="012B70FF" w14:textId="77777777" w:rsidR="003D63E9" w:rsidRDefault="003D63E9">
    <w:pPr>
      <w:pStyle w:val="Header"/>
    </w:pPr>
  </w:p>
  <w:p w14:paraId="1C8485DD" w14:textId="77777777" w:rsidR="00FE77FD" w:rsidRDefault="00FE77FD" w:rsidP="00F6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66124AD8" w:rsidR="006C3ED2" w:rsidRDefault="0088676D" w:rsidP="00420B06">
    <w:pPr>
      <w:pStyle w:val="Header"/>
    </w:pPr>
    <w:r>
      <w:rPr>
        <w:noProof/>
      </w:rPr>
      <w:drawing>
        <wp:anchor distT="0" distB="0" distL="114300" distR="114300" simplePos="0" relativeHeight="251659264" behindDoc="1" locked="0" layoutInCell="1" allowOverlap="1" wp14:anchorId="04DD549F" wp14:editId="3802B4E8">
          <wp:simplePos x="0" y="0"/>
          <wp:positionH relativeFrom="margin">
            <wp:align>left</wp:align>
          </wp:positionH>
          <wp:positionV relativeFrom="paragraph">
            <wp:posOffset>219710</wp:posOffset>
          </wp:positionV>
          <wp:extent cx="1823577" cy="396000"/>
          <wp:effectExtent l="0" t="0" r="5715" b="4445"/>
          <wp:wrapNone/>
          <wp:docPr id="589847318" name="Picture 589847318"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text on a black background&#10;&#10;Description automatically generated"/>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823577" cy="39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55687943"/>
      <w:lock w:val="sdtContentLocked"/>
      <w:placeholder>
        <w:docPart w:val="95B71A9760304E7D856A924CBB85946C"/>
      </w:placeholder>
    </w:sdtPr>
    <w:sdtContent>
      <w:p w14:paraId="1BD9CB79" w14:textId="67AE46DA" w:rsidR="005675A2" w:rsidRDefault="005675A2" w:rsidP="00B35478">
        <w:pPr>
          <w:pStyle w:val="Header"/>
          <w:tabs>
            <w:tab w:val="clear" w:pos="9026"/>
          </w:tabs>
        </w:pPr>
        <w:r w:rsidRPr="0085122C">
          <w:rPr>
            <w:noProof/>
          </w:rPr>
          <w:drawing>
            <wp:anchor distT="0" distB="0" distL="114300" distR="114300" simplePos="0" relativeHeight="251689984" behindDoc="0" locked="0" layoutInCell="1" allowOverlap="1" wp14:anchorId="56C108D9" wp14:editId="467D403A">
              <wp:simplePos x="0" y="0"/>
              <wp:positionH relativeFrom="margin">
                <wp:align>right</wp:align>
              </wp:positionH>
              <wp:positionV relativeFrom="paragraph">
                <wp:posOffset>-635</wp:posOffset>
              </wp:positionV>
              <wp:extent cx="1223645" cy="249555"/>
              <wp:effectExtent l="0" t="0" r="0" b="0"/>
              <wp:wrapNone/>
              <wp:docPr id="2054829698" name="Graphic 2054829698">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Pr>
            <w:noProof/>
          </w:rPr>
          <w:fldChar w:fldCharType="begin"/>
        </w:r>
        <w:r>
          <w:rPr>
            <w:noProof/>
          </w:rPr>
          <w:instrText xml:space="preserve"> STYLEREF  Title  \* MERGEFORMAT </w:instrText>
        </w:r>
        <w:r>
          <w:rPr>
            <w:noProof/>
          </w:rPr>
          <w:fldChar w:fldCharType="separate"/>
        </w:r>
        <w:r w:rsidR="00652117">
          <w:rPr>
            <w:noProof/>
          </w:rPr>
          <w:t>FCA PSD Reporting</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7087" w14:textId="06B0DE9D" w:rsidR="00F72BF4" w:rsidRPr="005675A2" w:rsidRDefault="00000000" w:rsidP="005675A2">
    <w:pPr>
      <w:pStyle w:val="Header"/>
      <w:rPr>
        <w:noProof/>
      </w:rPr>
    </w:pPr>
    <w:sdt>
      <w:sdtPr>
        <w:rPr>
          <w:noProof/>
        </w:rPr>
        <w:alias w:val="Title"/>
        <w:tag w:val="Title"/>
        <w:id w:val="1361085401"/>
        <w:placeholder>
          <w:docPart w:val="7CEF6F5123C545DEAF3672169BE6A63D"/>
        </w:placeholder>
      </w:sdtPr>
      <w:sdtContent>
        <w:r w:rsidR="00F72BF4" w:rsidRPr="005675A2">
          <w:rPr>
            <w:noProof/>
          </w:rPr>
          <w:fldChar w:fldCharType="begin"/>
        </w:r>
        <w:r w:rsidR="00F72BF4" w:rsidRPr="005675A2">
          <w:rPr>
            <w:noProof/>
          </w:rPr>
          <w:instrText xml:space="preserve"> STYLEREF  Title  \* MERGEFORMAT </w:instrText>
        </w:r>
        <w:r w:rsidR="00F72BF4" w:rsidRPr="005675A2">
          <w:rPr>
            <w:noProof/>
          </w:rPr>
          <w:fldChar w:fldCharType="separate"/>
        </w:r>
        <w:r w:rsidR="00652117">
          <w:rPr>
            <w:noProof/>
          </w:rPr>
          <w:t>FCA PSD Reporting</w:t>
        </w:r>
        <w:r w:rsidR="00F72BF4" w:rsidRPr="005675A2">
          <w:rPr>
            <w:noProof/>
          </w:rPr>
          <w:fldChar w:fldCharType="end"/>
        </w:r>
      </w:sdtContent>
    </w:sdt>
    <w:r w:rsidR="00F72BF4" w:rsidRPr="005675A2">
      <w:rPr>
        <w:noProof/>
      </w:rPr>
      <w:drawing>
        <wp:anchor distT="0" distB="0" distL="114300" distR="114300" simplePos="0" relativeHeight="251692032" behindDoc="1" locked="0" layoutInCell="1" allowOverlap="1" wp14:anchorId="54019EBE" wp14:editId="5D33C599">
          <wp:simplePos x="0" y="0"/>
          <wp:positionH relativeFrom="margin">
            <wp:align>right</wp:align>
          </wp:positionH>
          <wp:positionV relativeFrom="paragraph">
            <wp:posOffset>-635</wp:posOffset>
          </wp:positionV>
          <wp:extent cx="1147375" cy="234000"/>
          <wp:effectExtent l="0" t="0" r="0" b="0"/>
          <wp:wrapNone/>
          <wp:docPr id="645083175" name="Graphic 645083175">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7375" cy="234000"/>
                  </a:xfrm>
                  <a:prstGeom prst="rect">
                    <a:avLst/>
                  </a:prstGeom>
                </pic:spPr>
              </pic:pic>
            </a:graphicData>
          </a:graphic>
          <wp14:sizeRelH relativeFrom="margin">
            <wp14:pctWidth>0</wp14:pctWidth>
          </wp14:sizeRelH>
          <wp14:sizeRelV relativeFrom="margin">
            <wp14:pctHeight>0</wp14:pctHeight>
          </wp14:sizeRelV>
        </wp:anchor>
      </w:drawing>
    </w:r>
  </w:p>
  <w:p w14:paraId="184A9573" w14:textId="4D3E5A8D" w:rsidR="005675A2" w:rsidRPr="00F72BF4" w:rsidRDefault="005675A2" w:rsidP="00F72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906"/>
    <w:multiLevelType w:val="multilevel"/>
    <w:tmpl w:val="C6FAF8C8"/>
    <w:styleLink w:val="NTTHeadingsList"/>
    <w:lvl w:ilvl="0">
      <w:start w:val="1"/>
      <w:numFmt w:val="decimal"/>
      <w:lvlText w:val="%1."/>
      <w:lvlJc w:val="left"/>
      <w:pPr>
        <w:tabs>
          <w:tab w:val="num" w:pos="850"/>
        </w:tabs>
        <w:ind w:left="850" w:hanging="850"/>
      </w:pPr>
      <w:rPr>
        <w:rFonts w:ascii="Arial Bold" w:hAnsi="Arial Bold" w:cs="Arial" w:hint="default"/>
        <w:b/>
        <w:i w:val="0"/>
        <w:caps w:val="0"/>
        <w:strike w:val="0"/>
        <w:dstrike w:val="0"/>
        <w:vanish w:val="0"/>
        <w:color w:val="0072BC"/>
        <w:spacing w:val="10"/>
        <w:kern w:val="32"/>
        <w:sz w:val="32"/>
        <w:u w:val="none"/>
        <w:effect w:val="none"/>
        <w:vertAlign w:val="baseline"/>
      </w:rPr>
    </w:lvl>
    <w:lvl w:ilvl="1">
      <w:start w:val="1"/>
      <w:numFmt w:val="decimal"/>
      <w:lvlText w:val="%1.%2."/>
      <w:lvlJc w:val="left"/>
      <w:pPr>
        <w:tabs>
          <w:tab w:val="num" w:pos="850"/>
        </w:tabs>
        <w:ind w:left="850" w:hanging="850"/>
      </w:pPr>
      <w:rPr>
        <w:rFonts w:ascii="Arial Bold" w:hAnsi="Arial Bold" w:cs="Arial" w:hint="default"/>
        <w:b/>
        <w:i w:val="0"/>
        <w:caps w:val="0"/>
        <w:strike w:val="0"/>
        <w:dstrike w:val="0"/>
        <w:vanish w:val="0"/>
        <w:color w:val="0072BC"/>
        <w:spacing w:val="10"/>
        <w:sz w:val="24"/>
        <w:u w:val="none"/>
        <w:effect w:val="none"/>
        <w:vertAlign w:val="baseline"/>
      </w:rPr>
    </w:lvl>
    <w:lvl w:ilvl="2">
      <w:start w:val="1"/>
      <w:numFmt w:val="decimal"/>
      <w:lvlText w:val="%1.%2.%3"/>
      <w:lvlJc w:val="left"/>
      <w:pPr>
        <w:tabs>
          <w:tab w:val="num" w:pos="850"/>
        </w:tabs>
        <w:ind w:left="850" w:hanging="850"/>
      </w:pPr>
      <w:rPr>
        <w:rFonts w:ascii="Arial Bold" w:hAnsi="Arial Bold" w:cs="Arial" w:hint="default"/>
        <w:b/>
        <w:i w:val="0"/>
        <w:caps w:val="0"/>
        <w:strike w:val="0"/>
        <w:dstrike w:val="0"/>
        <w:vanish w:val="0"/>
        <w:color w:val="000000"/>
        <w:spacing w:val="10"/>
        <w:sz w:val="22"/>
        <w:u w:val="none"/>
        <w:effect w:val="none"/>
        <w:vertAlign w:val="baseline"/>
      </w:r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1" w15:restartNumberingAfterBreak="0">
    <w:nsid w:val="0AD12B3D"/>
    <w:multiLevelType w:val="multilevel"/>
    <w:tmpl w:val="691E06E2"/>
    <w:lvl w:ilvl="0">
      <w:start w:val="1"/>
      <w:numFmt w:val="bullet"/>
      <w:pStyle w:val="NTTBlueTableBoldBullet"/>
      <w:lvlText w:val="●"/>
      <w:lvlJc w:val="left"/>
      <w:pPr>
        <w:ind w:left="284" w:hanging="284"/>
      </w:pPr>
      <w:rPr>
        <w:rFonts w:ascii="Arial Bold" w:hAnsi="Arial Bold" w:hint="default"/>
        <w:b/>
        <w:i w:val="0"/>
        <w:color w:val="0072BC"/>
        <w:sz w:val="18"/>
      </w:rPr>
    </w:lvl>
    <w:lvl w:ilvl="1">
      <w:start w:val="1"/>
      <w:numFmt w:val="bullet"/>
      <w:lvlText w:val="●"/>
      <w:lvlJc w:val="left"/>
      <w:pPr>
        <w:ind w:left="284" w:hanging="284"/>
      </w:pPr>
      <w:rPr>
        <w:rFonts w:ascii="Arial" w:hAnsi="Arial" w:hint="default"/>
        <w:color w:val="000000"/>
      </w:rPr>
    </w:lvl>
    <w:lvl w:ilvl="2">
      <w:start w:val="1"/>
      <w:numFmt w:val="bullet"/>
      <w:pStyle w:val="NTTRedTableBoldBullet"/>
      <w:lvlText w:val="●"/>
      <w:lvlJc w:val="left"/>
      <w:pPr>
        <w:ind w:left="284" w:hanging="284"/>
      </w:pPr>
      <w:rPr>
        <w:rFonts w:ascii="Arial" w:hAnsi="Arial" w:hint="default"/>
        <w:color w:val="E42600"/>
      </w:rPr>
    </w:lvl>
    <w:lvl w:ilvl="3">
      <w:start w:val="1"/>
      <w:numFmt w:val="bullet"/>
      <w:pStyle w:val="NTTTableBoldBullet"/>
      <w:lvlText w:val="●"/>
      <w:lvlJc w:val="left"/>
      <w:pPr>
        <w:ind w:left="284" w:hanging="284"/>
      </w:pPr>
      <w:rPr>
        <w:rFonts w:ascii="Arial" w:hAnsi="Arial" w:hint="default"/>
        <w:color w:val="2E404D" w:themeColor="text1"/>
      </w:rPr>
    </w:lvl>
    <w:lvl w:ilvl="4">
      <w:start w:val="1"/>
      <w:numFmt w:val="bullet"/>
      <w:lvlText w:val="●"/>
      <w:lvlJc w:val="left"/>
      <w:pPr>
        <w:ind w:left="284" w:hanging="284"/>
      </w:pPr>
      <w:rPr>
        <w:rFonts w:ascii="Arial" w:hAnsi="Arial" w:hint="default"/>
        <w:color w:val="000000"/>
      </w:rPr>
    </w:lvl>
    <w:lvl w:ilvl="5">
      <w:start w:val="1"/>
      <w:numFmt w:val="bullet"/>
      <w:lvlText w:val="●"/>
      <w:lvlJc w:val="left"/>
      <w:pPr>
        <w:ind w:left="284" w:hanging="284"/>
      </w:pPr>
      <w:rPr>
        <w:rFonts w:ascii="Arial" w:hAnsi="Arial" w:hint="default"/>
        <w:color w:val="000000"/>
      </w:rPr>
    </w:lvl>
    <w:lvl w:ilvl="6">
      <w:start w:val="1"/>
      <w:numFmt w:val="bullet"/>
      <w:lvlText w:val="●"/>
      <w:lvlJc w:val="left"/>
      <w:pPr>
        <w:ind w:left="284" w:hanging="284"/>
      </w:pPr>
      <w:rPr>
        <w:rFonts w:ascii="Arial" w:hAnsi="Arial" w:hint="default"/>
        <w:color w:val="000000"/>
      </w:rPr>
    </w:lvl>
    <w:lvl w:ilvl="7">
      <w:start w:val="1"/>
      <w:numFmt w:val="bullet"/>
      <w:lvlText w:val="●"/>
      <w:lvlJc w:val="left"/>
      <w:pPr>
        <w:ind w:left="284" w:hanging="284"/>
      </w:pPr>
      <w:rPr>
        <w:rFonts w:ascii="Arial" w:hAnsi="Arial" w:hint="default"/>
        <w:color w:val="000000"/>
      </w:rPr>
    </w:lvl>
    <w:lvl w:ilvl="8">
      <w:start w:val="1"/>
      <w:numFmt w:val="bullet"/>
      <w:lvlText w:val="●"/>
      <w:lvlJc w:val="left"/>
      <w:pPr>
        <w:ind w:left="284" w:hanging="284"/>
      </w:pPr>
      <w:rPr>
        <w:rFonts w:ascii="Arial" w:hAnsi="Arial" w:hint="default"/>
        <w:color w:val="000000"/>
      </w:rPr>
    </w:lvl>
  </w:abstractNum>
  <w:abstractNum w:abstractNumId="2" w15:restartNumberingAfterBreak="0">
    <w:nsid w:val="0E631A21"/>
    <w:multiLevelType w:val="multilevel"/>
    <w:tmpl w:val="6A385020"/>
    <w:lvl w:ilvl="0">
      <w:start w:val="1"/>
      <w:numFmt w:val="upperLetter"/>
      <w:pStyle w:val="NTTAttachment"/>
      <w:lvlText w:val="Attachment %1"/>
      <w:lvlJc w:val="left"/>
      <w:pPr>
        <w:tabs>
          <w:tab w:val="num" w:pos="850"/>
        </w:tabs>
        <w:ind w:left="850" w:hanging="850"/>
      </w:pPr>
    </w:lvl>
    <w:lvl w:ilvl="1">
      <w:start w:val="1"/>
      <w:numFmt w:val="decimal"/>
      <w:lvlText w:val="%2"/>
      <w:lvlJc w:val="left"/>
      <w:pPr>
        <w:tabs>
          <w:tab w:val="num" w:pos="850"/>
        </w:tabs>
        <w:ind w:left="850" w:hanging="850"/>
      </w:pPr>
    </w:lvl>
    <w:lvl w:ilvl="2">
      <w:start w:val="1"/>
      <w:numFmt w:val="decimal"/>
      <w:lvlText w:val="%2.%3"/>
      <w:lvlJc w:val="left"/>
      <w:pPr>
        <w:tabs>
          <w:tab w:val="num" w:pos="850"/>
        </w:tabs>
        <w:ind w:left="850" w:hanging="850"/>
      </w:pPr>
    </w:lvl>
    <w:lvl w:ilvl="3">
      <w:start w:val="1"/>
      <w:numFmt w:val="decimal"/>
      <w:lvlText w:val="%2.%3.%4"/>
      <w:lvlJc w:val="left"/>
      <w:pPr>
        <w:tabs>
          <w:tab w:val="num" w:pos="850"/>
        </w:tabs>
        <w:ind w:left="850" w:hanging="850"/>
      </w:pPr>
    </w:lvl>
    <w:lvl w:ilvl="4">
      <w:start w:val="1"/>
      <w:numFmt w:val="lowerLetter"/>
      <w:lvlText w:val="(%5)"/>
      <w:lvlJc w:val="left"/>
      <w:pPr>
        <w:tabs>
          <w:tab w:val="num" w:pos="850"/>
        </w:tabs>
        <w:ind w:left="850" w:hanging="850"/>
      </w:pPr>
    </w:lvl>
    <w:lvl w:ilvl="5">
      <w:start w:val="1"/>
      <w:numFmt w:val="lowerRoman"/>
      <w:lvlText w:val="(%6)"/>
      <w:lvlJc w:val="left"/>
      <w:pPr>
        <w:tabs>
          <w:tab w:val="num" w:pos="850"/>
        </w:tabs>
        <w:ind w:left="850" w:hanging="850"/>
      </w:pPr>
    </w:lvl>
    <w:lvl w:ilvl="6">
      <w:start w:val="1"/>
      <w:numFmt w:val="upperLetter"/>
      <w:lvlText w:val="(%7)"/>
      <w:lvlJc w:val="left"/>
      <w:pPr>
        <w:tabs>
          <w:tab w:val="num" w:pos="850"/>
        </w:tabs>
        <w:ind w:left="850" w:hanging="850"/>
      </w:pPr>
    </w:lvl>
    <w:lvl w:ilvl="7">
      <w:start w:val="1"/>
      <w:numFmt w:val="none"/>
      <w:suff w:val="nothing"/>
      <w:lvlText w:val=""/>
      <w:lvlJc w:val="left"/>
      <w:pPr>
        <w:ind w:left="2880" w:hanging="360"/>
      </w:pPr>
    </w:lvl>
    <w:lvl w:ilvl="8">
      <w:start w:val="1"/>
      <w:numFmt w:val="none"/>
      <w:suff w:val="nothing"/>
      <w:lvlText w:val=""/>
      <w:lvlJc w:val="left"/>
      <w:pPr>
        <w:ind w:left="3240" w:hanging="360"/>
      </w:pPr>
    </w:lvl>
  </w:abstractNum>
  <w:abstractNum w:abstractNumId="3" w15:restartNumberingAfterBreak="0">
    <w:nsid w:val="0F4A33FA"/>
    <w:multiLevelType w:val="hybridMultilevel"/>
    <w:tmpl w:val="7E26013A"/>
    <w:lvl w:ilvl="0" w:tplc="4D0A0EF6">
      <w:start w:val="1"/>
      <w:numFmt w:val="upperLetter"/>
      <w:pStyle w:val="NTTLegal6"/>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1ED32C1"/>
    <w:multiLevelType w:val="multilevel"/>
    <w:tmpl w:val="39107888"/>
    <w:numStyleLink w:val="NTTBlueBulletList"/>
  </w:abstractNum>
  <w:abstractNum w:abstractNumId="5" w15:restartNumberingAfterBreak="0">
    <w:nsid w:val="277D2AE3"/>
    <w:multiLevelType w:val="multilevel"/>
    <w:tmpl w:val="39107888"/>
    <w:styleLink w:val="NTTBlueBulletList"/>
    <w:lvl w:ilvl="0">
      <w:start w:val="1"/>
      <w:numFmt w:val="bullet"/>
      <w:pStyle w:val="NTTBlueBullet1"/>
      <w:lvlText w:val="●"/>
      <w:lvlJc w:val="left"/>
      <w:pPr>
        <w:tabs>
          <w:tab w:val="num" w:pos="1134"/>
        </w:tabs>
        <w:ind w:left="1134" w:hanging="283"/>
      </w:pPr>
      <w:rPr>
        <w:rFonts w:ascii="Arial" w:hAnsi="Arial" w:hint="default"/>
        <w:b w:val="0"/>
        <w:i w:val="0"/>
        <w:color w:val="0072BC"/>
        <w:spacing w:val="8"/>
        <w:kern w:val="20"/>
        <w:sz w:val="20"/>
      </w:rPr>
    </w:lvl>
    <w:lvl w:ilvl="1">
      <w:start w:val="1"/>
      <w:numFmt w:val="bullet"/>
      <w:pStyle w:val="NTTBlueBullet2"/>
      <w:lvlText w:val="○"/>
      <w:lvlJc w:val="left"/>
      <w:pPr>
        <w:tabs>
          <w:tab w:val="num" w:pos="1418"/>
        </w:tabs>
        <w:ind w:left="1418" w:hanging="284"/>
      </w:pPr>
      <w:rPr>
        <w:rFonts w:ascii="Arial" w:hAnsi="Arial" w:cs="Times New Roman" w:hint="default"/>
        <w:b w:val="0"/>
        <w:i w:val="0"/>
        <w:color w:val="0072BC"/>
        <w:sz w:val="20"/>
      </w:rPr>
    </w:lvl>
    <w:lvl w:ilvl="2">
      <w:start w:val="1"/>
      <w:numFmt w:val="bullet"/>
      <w:pStyle w:val="NTTBlueBullet3"/>
      <w:lvlText w:val="-"/>
      <w:lvlJc w:val="left"/>
      <w:pPr>
        <w:tabs>
          <w:tab w:val="num" w:pos="1701"/>
        </w:tabs>
        <w:ind w:left="1701" w:hanging="283"/>
      </w:pPr>
      <w:rPr>
        <w:rFonts w:ascii="Arial Bold" w:hAnsi="Arial Bold" w:cs="Times New Roman" w:hint="default"/>
        <w:b/>
        <w:i w:val="0"/>
        <w:color w:val="0072BC"/>
        <w:sz w:val="20"/>
      </w:rPr>
    </w:lvl>
    <w:lvl w:ilvl="3">
      <w:start w:val="1"/>
      <w:numFmt w:val="decimal"/>
      <w:pStyle w:val="NTTBlueBullet4"/>
      <w:lvlText w:val="%4."/>
      <w:lvlJc w:val="left"/>
      <w:pPr>
        <w:tabs>
          <w:tab w:val="num" w:pos="1418"/>
        </w:tabs>
        <w:ind w:left="1418" w:hanging="567"/>
      </w:pPr>
      <w:rPr>
        <w:rFonts w:ascii="Arial" w:hAnsi="Arial" w:hint="default"/>
        <w:b w:val="0"/>
        <w:i w:val="0"/>
        <w:color w:val="0072BC"/>
        <w:spacing w:val="0"/>
        <w:sz w:val="20"/>
        <w:szCs w:val="20"/>
      </w:rPr>
    </w:lvl>
    <w:lvl w:ilvl="4">
      <w:start w:val="1"/>
      <w:numFmt w:val="decimal"/>
      <w:pStyle w:val="NTTBlueBullet5"/>
      <w:lvlText w:val="%4.%5."/>
      <w:lvlJc w:val="left"/>
      <w:pPr>
        <w:tabs>
          <w:tab w:val="num" w:pos="1418"/>
        </w:tabs>
        <w:ind w:left="1418" w:hanging="567"/>
      </w:pPr>
      <w:rPr>
        <w:rFonts w:ascii="Arial" w:hAnsi="Arial" w:hint="default"/>
        <w:b w:val="0"/>
        <w:i w:val="0"/>
        <w:color w:val="0072BC"/>
        <w:spacing w:val="0"/>
        <w:sz w:val="20"/>
        <w:szCs w:val="20"/>
      </w:rPr>
    </w:lvl>
    <w:lvl w:ilvl="5">
      <w:start w:val="1"/>
      <w:numFmt w:val="decimal"/>
      <w:pStyle w:val="NTTBlueBullet6"/>
      <w:lvlText w:val="%4.%5.%6."/>
      <w:lvlJc w:val="left"/>
      <w:pPr>
        <w:tabs>
          <w:tab w:val="num" w:pos="1418"/>
        </w:tabs>
        <w:ind w:left="1418" w:hanging="567"/>
      </w:pPr>
      <w:rPr>
        <w:rFonts w:ascii="Arial" w:hAnsi="Arial" w:hint="default"/>
        <w:b w:val="0"/>
        <w:i w:val="0"/>
        <w:color w:val="0072BC"/>
        <w:spacing w:val="0"/>
        <w:sz w:val="20"/>
        <w:szCs w:val="20"/>
      </w:rPr>
    </w:lvl>
    <w:lvl w:ilvl="6">
      <w:start w:val="1"/>
      <w:numFmt w:val="decimal"/>
      <w:pStyle w:val="NTTBlueBullet7"/>
      <w:lvlText w:val="%7."/>
      <w:lvlJc w:val="left"/>
      <w:pPr>
        <w:tabs>
          <w:tab w:val="num" w:pos="1418"/>
        </w:tabs>
        <w:ind w:left="1418" w:hanging="567"/>
      </w:pPr>
      <w:rPr>
        <w:rFonts w:ascii="Arial" w:hAnsi="Arial" w:hint="default"/>
        <w:b w:val="0"/>
        <w:i w:val="0"/>
        <w:color w:val="0072BC"/>
        <w:sz w:val="20"/>
        <w:szCs w:val="20"/>
      </w:rPr>
    </w:lvl>
    <w:lvl w:ilvl="7">
      <w:start w:val="1"/>
      <w:numFmt w:val="lowerLetter"/>
      <w:pStyle w:val="NTTBlueBullet8"/>
      <w:lvlText w:val="%8."/>
      <w:lvlJc w:val="left"/>
      <w:pPr>
        <w:tabs>
          <w:tab w:val="num" w:pos="1985"/>
        </w:tabs>
        <w:ind w:left="1985" w:hanging="567"/>
      </w:pPr>
      <w:rPr>
        <w:rFonts w:ascii="Arial" w:hAnsi="Arial" w:hint="default"/>
        <w:b w:val="0"/>
        <w:i w:val="0"/>
        <w:color w:val="0072BC"/>
        <w:sz w:val="20"/>
        <w:szCs w:val="20"/>
      </w:rPr>
    </w:lvl>
    <w:lvl w:ilvl="8">
      <w:start w:val="1"/>
      <w:numFmt w:val="lowerRoman"/>
      <w:pStyle w:val="NTTBlueBullet9"/>
      <w:lvlText w:val="%9."/>
      <w:lvlJc w:val="left"/>
      <w:pPr>
        <w:tabs>
          <w:tab w:val="num" w:pos="2552"/>
        </w:tabs>
        <w:ind w:left="2552" w:hanging="567"/>
      </w:pPr>
      <w:rPr>
        <w:rFonts w:ascii="Arial" w:hAnsi="Arial" w:hint="default"/>
        <w:b w:val="0"/>
        <w:i w:val="0"/>
        <w:color w:val="0072BC"/>
        <w:sz w:val="20"/>
        <w:szCs w:val="20"/>
      </w:rPr>
    </w:lvl>
  </w:abstractNum>
  <w:abstractNum w:abstractNumId="6" w15:restartNumberingAfterBreak="0">
    <w:nsid w:val="28864DF7"/>
    <w:multiLevelType w:val="multilevel"/>
    <w:tmpl w:val="771046AA"/>
    <w:numStyleLink w:val="NTTBlueTableBulletList"/>
  </w:abstractNum>
  <w:abstractNum w:abstractNumId="7" w15:restartNumberingAfterBreak="0">
    <w:nsid w:val="2B587E8C"/>
    <w:multiLevelType w:val="multilevel"/>
    <w:tmpl w:val="680CEBF8"/>
    <w:lvl w:ilvl="0">
      <w:start w:val="1"/>
      <w:numFmt w:val="decimal"/>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8" w15:restartNumberingAfterBreak="0">
    <w:nsid w:val="2C451A45"/>
    <w:multiLevelType w:val="hybridMultilevel"/>
    <w:tmpl w:val="EA0696DC"/>
    <w:lvl w:ilvl="0" w:tplc="EC98416C">
      <w:start w:val="1"/>
      <w:numFmt w:val="decimal"/>
      <w:pStyle w:val="ListParagraph"/>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322165AD"/>
    <w:multiLevelType w:val="multilevel"/>
    <w:tmpl w:val="5DF88DE2"/>
    <w:styleLink w:val="NTTAppendixList"/>
    <w:lvl w:ilvl="0">
      <w:start w:val="1"/>
      <w:numFmt w:val="upperLetter"/>
      <w:pStyle w:val="AppendixHeading1"/>
      <w:lvlText w:val="Appendix %1"/>
      <w:lvlJc w:val="left"/>
      <w:pPr>
        <w:ind w:left="360" w:hanging="360"/>
      </w:pPr>
      <w:rPr>
        <w:rFonts w:ascii="Georgia" w:hAnsi="Georgia" w:cs="Arial" w:hint="default"/>
        <w:color w:val="0072BC" w:themeColor="accent2"/>
        <w:kern w:val="20"/>
      </w:rPr>
    </w:lvl>
    <w:lvl w:ilvl="1">
      <w:start w:val="1"/>
      <w:numFmt w:val="decimal"/>
      <w:pStyle w:val="AppendixHeading2"/>
      <w:lvlText w:val="Appendix %1.%2"/>
      <w:lvlJc w:val="left"/>
      <w:pPr>
        <w:ind w:left="0" w:firstLine="0"/>
      </w:pPr>
      <w:rPr>
        <w:rFonts w:ascii="Arial" w:hAnsi="Arial" w:hint="default"/>
        <w:color w:val="2E404D" w:themeColor="text1"/>
      </w:rPr>
    </w:lvl>
    <w:lvl w:ilvl="2">
      <w:start w:val="1"/>
      <w:numFmt w:val="decimal"/>
      <w:pStyle w:val="AppendixHeading3"/>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23E26EB"/>
    <w:multiLevelType w:val="multilevel"/>
    <w:tmpl w:val="8C6CA74E"/>
    <w:styleLink w:val="NTTRedBulletList"/>
    <w:lvl w:ilvl="0">
      <w:start w:val="1"/>
      <w:numFmt w:val="bullet"/>
      <w:lvlText w:val="●"/>
      <w:lvlJc w:val="left"/>
      <w:pPr>
        <w:tabs>
          <w:tab w:val="num" w:pos="1134"/>
        </w:tabs>
        <w:ind w:left="1134" w:hanging="283"/>
      </w:pPr>
      <w:rPr>
        <w:rFonts w:ascii="Arial" w:hAnsi="Arial"/>
        <w:b w:val="0"/>
        <w:i w:val="0"/>
        <w:color w:val="E42600"/>
        <w:spacing w:val="0"/>
        <w:kern w:val="20"/>
        <w:sz w:val="20"/>
        <w:szCs w:val="20"/>
      </w:rPr>
    </w:lvl>
    <w:lvl w:ilvl="1">
      <w:start w:val="1"/>
      <w:numFmt w:val="bullet"/>
      <w:lvlText w:val="○"/>
      <w:lvlJc w:val="left"/>
      <w:pPr>
        <w:tabs>
          <w:tab w:val="num" w:pos="1418"/>
        </w:tabs>
        <w:ind w:left="1418" w:hanging="284"/>
      </w:pPr>
      <w:rPr>
        <w:rFonts w:ascii="Arial" w:hAnsi="Arial" w:cs="Times New Roman" w:hint="default"/>
        <w:b w:val="0"/>
        <w:i w:val="0"/>
        <w:color w:val="FF0000"/>
        <w:spacing w:val="-20"/>
        <w:sz w:val="20"/>
        <w:szCs w:val="20"/>
      </w:rPr>
    </w:lvl>
    <w:lvl w:ilvl="2">
      <w:start w:val="1"/>
      <w:numFmt w:val="bullet"/>
      <w:lvlText w:val="-"/>
      <w:lvlJc w:val="left"/>
      <w:pPr>
        <w:tabs>
          <w:tab w:val="num" w:pos="1701"/>
        </w:tabs>
        <w:ind w:left="1701" w:hanging="283"/>
      </w:pPr>
      <w:rPr>
        <w:rFonts w:ascii="Arial" w:hAnsi="Arial" w:hint="default"/>
        <w:b w:val="0"/>
        <w:i w:val="0"/>
        <w:color w:val="FF0000"/>
        <w:spacing w:val="-20"/>
        <w:sz w:val="20"/>
        <w:szCs w:val="20"/>
      </w:rPr>
    </w:lvl>
    <w:lvl w:ilvl="3">
      <w:start w:val="1"/>
      <w:numFmt w:val="decimal"/>
      <w:lvlText w:val="%4."/>
      <w:lvlJc w:val="left"/>
      <w:pPr>
        <w:tabs>
          <w:tab w:val="num" w:pos="1418"/>
        </w:tabs>
        <w:ind w:left="1418" w:hanging="567"/>
      </w:pPr>
      <w:rPr>
        <w:rFonts w:ascii="Arial" w:hAnsi="Arial" w:hint="default"/>
        <w:b w:val="0"/>
        <w:i w:val="0"/>
        <w:color w:val="FF0000"/>
        <w:spacing w:val="0"/>
        <w:sz w:val="20"/>
        <w:szCs w:val="20"/>
      </w:rPr>
    </w:lvl>
    <w:lvl w:ilvl="4">
      <w:start w:val="1"/>
      <w:numFmt w:val="decimal"/>
      <w:lvlText w:val="%4.%5."/>
      <w:lvlJc w:val="left"/>
      <w:pPr>
        <w:tabs>
          <w:tab w:val="num" w:pos="1418"/>
        </w:tabs>
        <w:ind w:left="1418" w:hanging="567"/>
      </w:pPr>
      <w:rPr>
        <w:rFonts w:ascii="Arial" w:hAnsi="Arial" w:hint="default"/>
        <w:b w:val="0"/>
        <w:i w:val="0"/>
        <w:color w:val="FF0000"/>
        <w:spacing w:val="0"/>
        <w:sz w:val="20"/>
        <w:szCs w:val="20"/>
      </w:rPr>
    </w:lvl>
    <w:lvl w:ilvl="5">
      <w:start w:val="1"/>
      <w:numFmt w:val="decimal"/>
      <w:lvlText w:val="%4.%5.%6."/>
      <w:lvlJc w:val="left"/>
      <w:pPr>
        <w:tabs>
          <w:tab w:val="num" w:pos="1418"/>
        </w:tabs>
        <w:ind w:left="1418" w:hanging="567"/>
      </w:pPr>
      <w:rPr>
        <w:rFonts w:ascii="Arial" w:hAnsi="Arial" w:hint="default"/>
        <w:b w:val="0"/>
        <w:i w:val="0"/>
        <w:color w:val="FF0000"/>
        <w:spacing w:val="0"/>
        <w:sz w:val="20"/>
        <w:szCs w:val="20"/>
      </w:rPr>
    </w:lvl>
    <w:lvl w:ilvl="6">
      <w:start w:val="1"/>
      <w:numFmt w:val="decimal"/>
      <w:lvlText w:val="%7."/>
      <w:lvlJc w:val="left"/>
      <w:pPr>
        <w:tabs>
          <w:tab w:val="num" w:pos="1418"/>
        </w:tabs>
        <w:ind w:left="1418" w:hanging="567"/>
      </w:pPr>
      <w:rPr>
        <w:rFonts w:ascii="Arial" w:hAnsi="Arial" w:hint="default"/>
        <w:b w:val="0"/>
        <w:i w:val="0"/>
        <w:color w:val="FF0000"/>
        <w:spacing w:val="-20"/>
        <w:sz w:val="20"/>
        <w:szCs w:val="20"/>
      </w:rPr>
    </w:lvl>
    <w:lvl w:ilvl="7">
      <w:start w:val="1"/>
      <w:numFmt w:val="lowerLetter"/>
      <w:lvlText w:val="%8."/>
      <w:lvlJc w:val="left"/>
      <w:pPr>
        <w:tabs>
          <w:tab w:val="num" w:pos="1985"/>
        </w:tabs>
        <w:ind w:left="1985" w:hanging="567"/>
      </w:pPr>
      <w:rPr>
        <w:rFonts w:ascii="Arial" w:hAnsi="Arial" w:hint="default"/>
        <w:b w:val="0"/>
        <w:i w:val="0"/>
        <w:color w:val="FF0000"/>
        <w:spacing w:val="-20"/>
        <w:sz w:val="20"/>
        <w:szCs w:val="20"/>
      </w:rPr>
    </w:lvl>
    <w:lvl w:ilvl="8">
      <w:start w:val="1"/>
      <w:numFmt w:val="lowerRoman"/>
      <w:lvlText w:val="%9."/>
      <w:lvlJc w:val="left"/>
      <w:pPr>
        <w:tabs>
          <w:tab w:val="num" w:pos="2552"/>
        </w:tabs>
        <w:ind w:left="2552" w:hanging="567"/>
      </w:pPr>
      <w:rPr>
        <w:rFonts w:ascii="Arial" w:hAnsi="Arial" w:hint="default"/>
        <w:b w:val="0"/>
        <w:i w:val="0"/>
        <w:color w:val="FF0000"/>
        <w:spacing w:val="-20"/>
        <w:sz w:val="20"/>
        <w:szCs w:val="20"/>
      </w:rPr>
    </w:lvl>
  </w:abstractNum>
  <w:abstractNum w:abstractNumId="11" w15:restartNumberingAfterBreak="0">
    <w:nsid w:val="32A47F3E"/>
    <w:multiLevelType w:val="multilevel"/>
    <w:tmpl w:val="169263BC"/>
    <w:styleLink w:val="NTTBulletList"/>
    <w:lvl w:ilvl="0">
      <w:start w:val="1"/>
      <w:numFmt w:val="bullet"/>
      <w:pStyle w:val="NTTBullet1"/>
      <w:lvlText w:val="●"/>
      <w:lvlJc w:val="left"/>
      <w:pPr>
        <w:tabs>
          <w:tab w:val="num" w:pos="1134"/>
        </w:tabs>
        <w:ind w:left="1134" w:hanging="283"/>
      </w:pPr>
      <w:rPr>
        <w:rFonts w:ascii="Arial" w:hAnsi="Arial" w:hint="default"/>
        <w:b w:val="0"/>
        <w:i w:val="0"/>
        <w:color w:val="000000"/>
        <w:spacing w:val="8"/>
        <w:kern w:val="20"/>
        <w:sz w:val="20"/>
      </w:rPr>
    </w:lvl>
    <w:lvl w:ilvl="1">
      <w:start w:val="1"/>
      <w:numFmt w:val="bullet"/>
      <w:pStyle w:val="NTTBullet2"/>
      <w:lvlText w:val="○"/>
      <w:lvlJc w:val="left"/>
      <w:pPr>
        <w:tabs>
          <w:tab w:val="num" w:pos="1418"/>
        </w:tabs>
        <w:ind w:left="1418" w:hanging="284"/>
      </w:pPr>
      <w:rPr>
        <w:rFonts w:ascii="Times New Roman" w:hAnsi="Times New Roman" w:cs="Times New Roman" w:hint="default"/>
        <w:b w:val="0"/>
        <w:i w:val="0"/>
        <w:color w:val="000000"/>
        <w:sz w:val="20"/>
      </w:rPr>
    </w:lvl>
    <w:lvl w:ilvl="2">
      <w:start w:val="1"/>
      <w:numFmt w:val="bullet"/>
      <w:pStyle w:val="NTTBullet3"/>
      <w:lvlText w:val="-"/>
      <w:lvlJc w:val="left"/>
      <w:pPr>
        <w:tabs>
          <w:tab w:val="num" w:pos="1701"/>
        </w:tabs>
        <w:ind w:left="1701" w:hanging="283"/>
      </w:pPr>
      <w:rPr>
        <w:rFonts w:ascii="Times New Roman" w:hAnsi="Times New Roman" w:cs="Times New Roman" w:hint="default"/>
        <w:b/>
        <w:i w:val="0"/>
        <w:color w:val="000000"/>
        <w:sz w:val="20"/>
      </w:rPr>
    </w:lvl>
    <w:lvl w:ilvl="3">
      <w:start w:val="1"/>
      <w:numFmt w:val="decimal"/>
      <w:pStyle w:val="NTTBullet4"/>
      <w:lvlText w:val="%4."/>
      <w:lvlJc w:val="left"/>
      <w:pPr>
        <w:tabs>
          <w:tab w:val="num" w:pos="1418"/>
        </w:tabs>
        <w:ind w:left="1418" w:hanging="567"/>
      </w:pPr>
      <w:rPr>
        <w:rFonts w:ascii="Arial" w:hAnsi="Arial" w:hint="default"/>
        <w:b w:val="0"/>
        <w:i w:val="0"/>
        <w:color w:val="000000"/>
        <w:spacing w:val="0"/>
        <w:sz w:val="20"/>
        <w:szCs w:val="20"/>
      </w:rPr>
    </w:lvl>
    <w:lvl w:ilvl="4">
      <w:start w:val="1"/>
      <w:numFmt w:val="decimal"/>
      <w:pStyle w:val="NTTBullet5"/>
      <w:lvlText w:val="%4.%5."/>
      <w:lvlJc w:val="left"/>
      <w:pPr>
        <w:tabs>
          <w:tab w:val="num" w:pos="1418"/>
        </w:tabs>
        <w:ind w:left="1418" w:hanging="567"/>
      </w:pPr>
      <w:rPr>
        <w:rFonts w:ascii="Arial" w:hAnsi="Arial" w:hint="default"/>
        <w:b w:val="0"/>
        <w:i w:val="0"/>
        <w:color w:val="000000"/>
        <w:spacing w:val="0"/>
        <w:sz w:val="20"/>
        <w:szCs w:val="20"/>
      </w:rPr>
    </w:lvl>
    <w:lvl w:ilvl="5">
      <w:start w:val="1"/>
      <w:numFmt w:val="decimal"/>
      <w:pStyle w:val="NTTBullet6"/>
      <w:lvlText w:val="%4.%5.%6."/>
      <w:lvlJc w:val="left"/>
      <w:pPr>
        <w:tabs>
          <w:tab w:val="num" w:pos="1418"/>
        </w:tabs>
        <w:ind w:left="1418" w:hanging="567"/>
      </w:pPr>
      <w:rPr>
        <w:rFonts w:ascii="Arial" w:hAnsi="Arial" w:hint="default"/>
        <w:b w:val="0"/>
        <w:i w:val="0"/>
        <w:color w:val="000000"/>
        <w:spacing w:val="0"/>
        <w:sz w:val="20"/>
        <w:szCs w:val="20"/>
      </w:rPr>
    </w:lvl>
    <w:lvl w:ilvl="6">
      <w:start w:val="1"/>
      <w:numFmt w:val="decimal"/>
      <w:pStyle w:val="NTTBullet7"/>
      <w:lvlText w:val="%7."/>
      <w:lvlJc w:val="left"/>
      <w:pPr>
        <w:tabs>
          <w:tab w:val="num" w:pos="1418"/>
        </w:tabs>
        <w:ind w:left="1418" w:hanging="567"/>
      </w:pPr>
      <w:rPr>
        <w:rFonts w:ascii="Arial" w:hAnsi="Arial" w:hint="default"/>
        <w:b w:val="0"/>
        <w:i w:val="0"/>
        <w:color w:val="000000"/>
        <w:sz w:val="20"/>
        <w:szCs w:val="20"/>
      </w:rPr>
    </w:lvl>
    <w:lvl w:ilvl="7">
      <w:start w:val="1"/>
      <w:numFmt w:val="lowerLetter"/>
      <w:pStyle w:val="NTTBullet8"/>
      <w:lvlText w:val="%8."/>
      <w:lvlJc w:val="left"/>
      <w:pPr>
        <w:tabs>
          <w:tab w:val="num" w:pos="1985"/>
        </w:tabs>
        <w:ind w:left="1985" w:hanging="567"/>
      </w:pPr>
      <w:rPr>
        <w:rFonts w:ascii="Arial" w:hAnsi="Arial" w:hint="default"/>
        <w:b w:val="0"/>
        <w:i w:val="0"/>
        <w:color w:val="000000"/>
        <w:sz w:val="20"/>
        <w:szCs w:val="20"/>
      </w:rPr>
    </w:lvl>
    <w:lvl w:ilvl="8">
      <w:start w:val="1"/>
      <w:numFmt w:val="lowerRoman"/>
      <w:pStyle w:val="NTTBullet9"/>
      <w:lvlText w:val="%9."/>
      <w:lvlJc w:val="left"/>
      <w:pPr>
        <w:tabs>
          <w:tab w:val="num" w:pos="2552"/>
        </w:tabs>
        <w:ind w:left="2552" w:hanging="567"/>
      </w:pPr>
      <w:rPr>
        <w:rFonts w:ascii="Arial" w:hAnsi="Arial" w:hint="default"/>
        <w:b w:val="0"/>
        <w:i w:val="0"/>
        <w:color w:val="000000"/>
        <w:sz w:val="20"/>
        <w:szCs w:val="20"/>
      </w:rPr>
    </w:lvl>
  </w:abstractNum>
  <w:abstractNum w:abstractNumId="12" w15:restartNumberingAfterBreak="0">
    <w:nsid w:val="474B42B1"/>
    <w:multiLevelType w:val="multilevel"/>
    <w:tmpl w:val="2E501B8C"/>
    <w:styleLink w:val="NTTRedTableBulletList"/>
    <w:lvl w:ilvl="0">
      <w:start w:val="1"/>
      <w:numFmt w:val="bullet"/>
      <w:lvlText w:val="●"/>
      <w:lvlJc w:val="left"/>
      <w:pPr>
        <w:tabs>
          <w:tab w:val="num" w:pos="284"/>
        </w:tabs>
        <w:ind w:left="284" w:hanging="284"/>
      </w:pPr>
      <w:rPr>
        <w:rFonts w:ascii="Arial" w:hAnsi="Arial"/>
        <w:b w:val="0"/>
        <w:i w:val="0"/>
        <w:color w:val="E42600"/>
        <w:spacing w:val="0"/>
        <w:kern w:val="18"/>
        <w:sz w:val="18"/>
      </w:rPr>
    </w:lvl>
    <w:lvl w:ilvl="1">
      <w:start w:val="1"/>
      <w:numFmt w:val="bullet"/>
      <w:lvlText w:val="○"/>
      <w:lvlJc w:val="left"/>
      <w:pPr>
        <w:tabs>
          <w:tab w:val="num" w:pos="567"/>
        </w:tabs>
        <w:ind w:left="567" w:hanging="283"/>
      </w:pPr>
      <w:rPr>
        <w:rFonts w:ascii="Arial" w:hAnsi="Arial" w:cs="Times New Roman" w:hint="default"/>
        <w:b w:val="0"/>
        <w:i w:val="0"/>
        <w:color w:val="FF0000"/>
        <w:spacing w:val="-20"/>
        <w:sz w:val="18"/>
      </w:rPr>
    </w:lvl>
    <w:lvl w:ilvl="2">
      <w:start w:val="1"/>
      <w:numFmt w:val="bullet"/>
      <w:lvlText w:val="-"/>
      <w:lvlJc w:val="left"/>
      <w:pPr>
        <w:tabs>
          <w:tab w:val="num" w:pos="851"/>
        </w:tabs>
        <w:ind w:left="851" w:hanging="284"/>
      </w:pPr>
      <w:rPr>
        <w:rFonts w:ascii="Arial" w:hAnsi="Arial" w:cs="Times New Roman" w:hint="default"/>
        <w:b w:val="0"/>
        <w:i w:val="0"/>
        <w:color w:val="FF0000"/>
        <w:spacing w:val="-20"/>
        <w:sz w:val="18"/>
      </w:rPr>
    </w:lvl>
    <w:lvl w:ilvl="3">
      <w:start w:val="1"/>
      <w:numFmt w:val="decimal"/>
      <w:lvlText w:val="%4."/>
      <w:lvlJc w:val="left"/>
      <w:pPr>
        <w:tabs>
          <w:tab w:val="num" w:pos="567"/>
        </w:tabs>
        <w:ind w:left="567" w:hanging="567"/>
      </w:pPr>
      <w:rPr>
        <w:rFonts w:ascii="Arial" w:hAnsi="Arial" w:hint="default"/>
        <w:b w:val="0"/>
        <w:i w:val="0"/>
        <w:color w:val="FF0000"/>
        <w:spacing w:val="0"/>
        <w:sz w:val="18"/>
        <w:szCs w:val="18"/>
      </w:rPr>
    </w:lvl>
    <w:lvl w:ilvl="4">
      <w:start w:val="1"/>
      <w:numFmt w:val="decimal"/>
      <w:lvlText w:val="%4.%5."/>
      <w:lvlJc w:val="left"/>
      <w:pPr>
        <w:tabs>
          <w:tab w:val="num" w:pos="567"/>
        </w:tabs>
        <w:ind w:left="567" w:hanging="567"/>
      </w:pPr>
      <w:rPr>
        <w:rFonts w:ascii="Arial" w:hAnsi="Arial" w:hint="default"/>
        <w:b w:val="0"/>
        <w:i w:val="0"/>
        <w:color w:val="FF0000"/>
        <w:sz w:val="18"/>
        <w:szCs w:val="18"/>
      </w:rPr>
    </w:lvl>
    <w:lvl w:ilvl="5">
      <w:start w:val="1"/>
      <w:numFmt w:val="decimal"/>
      <w:lvlText w:val="%4.%5.%6."/>
      <w:lvlJc w:val="left"/>
      <w:pPr>
        <w:tabs>
          <w:tab w:val="num" w:pos="567"/>
        </w:tabs>
        <w:ind w:left="567" w:hanging="567"/>
      </w:pPr>
      <w:rPr>
        <w:rFonts w:ascii="Arial" w:hAnsi="Arial" w:hint="default"/>
        <w:b w:val="0"/>
        <w:i w:val="0"/>
        <w:color w:val="FF0000"/>
        <w:sz w:val="18"/>
        <w:szCs w:val="18"/>
      </w:rPr>
    </w:lvl>
    <w:lvl w:ilvl="6">
      <w:start w:val="1"/>
      <w:numFmt w:val="decimal"/>
      <w:lvlText w:val="%7."/>
      <w:lvlJc w:val="left"/>
      <w:pPr>
        <w:tabs>
          <w:tab w:val="num" w:pos="567"/>
        </w:tabs>
        <w:ind w:left="567" w:hanging="567"/>
      </w:pPr>
      <w:rPr>
        <w:rFonts w:ascii="Arial" w:hAnsi="Arial" w:hint="default"/>
        <w:b w:val="0"/>
        <w:i w:val="0"/>
        <w:color w:val="FF0000"/>
        <w:sz w:val="18"/>
        <w:szCs w:val="18"/>
      </w:rPr>
    </w:lvl>
    <w:lvl w:ilvl="7">
      <w:start w:val="1"/>
      <w:numFmt w:val="lowerLetter"/>
      <w:lvlText w:val="%8."/>
      <w:lvlJc w:val="left"/>
      <w:pPr>
        <w:tabs>
          <w:tab w:val="num" w:pos="1134"/>
        </w:tabs>
        <w:ind w:left="1134" w:hanging="567"/>
      </w:pPr>
      <w:rPr>
        <w:rFonts w:ascii="Arial" w:hAnsi="Arial" w:hint="default"/>
        <w:b w:val="0"/>
        <w:i w:val="0"/>
        <w:color w:val="FF0000"/>
        <w:sz w:val="18"/>
        <w:szCs w:val="18"/>
      </w:rPr>
    </w:lvl>
    <w:lvl w:ilvl="8">
      <w:start w:val="1"/>
      <w:numFmt w:val="lowerRoman"/>
      <w:lvlText w:val="%9."/>
      <w:lvlJc w:val="left"/>
      <w:pPr>
        <w:tabs>
          <w:tab w:val="num" w:pos="1701"/>
        </w:tabs>
        <w:ind w:left="1701" w:hanging="567"/>
      </w:pPr>
      <w:rPr>
        <w:rFonts w:ascii="Arial" w:hAnsi="Arial" w:hint="default"/>
        <w:b w:val="0"/>
        <w:i w:val="0"/>
        <w:color w:val="FF0000"/>
        <w:sz w:val="18"/>
        <w:szCs w:val="18"/>
      </w:rPr>
    </w:lvl>
  </w:abstractNum>
  <w:abstractNum w:abstractNumId="13" w15:restartNumberingAfterBreak="0">
    <w:nsid w:val="4A2B0949"/>
    <w:multiLevelType w:val="multilevel"/>
    <w:tmpl w:val="7D4A1AC0"/>
    <w:styleLink w:val="NTTBoldBulletList"/>
    <w:lvl w:ilvl="0">
      <w:start w:val="1"/>
      <w:numFmt w:val="bullet"/>
      <w:lvlText w:val="●"/>
      <w:lvlJc w:val="left"/>
      <w:pPr>
        <w:tabs>
          <w:tab w:val="num" w:pos="851"/>
        </w:tabs>
        <w:ind w:left="1134" w:hanging="283"/>
      </w:pPr>
      <w:rPr>
        <w:rFonts w:ascii="Arial" w:hAnsi="Arial" w:hint="default"/>
        <w:b w:val="0"/>
        <w:i w:val="0"/>
        <w:color w:val="000000"/>
        <w:spacing w:val="8"/>
        <w:kern w:val="20"/>
        <w:sz w:val="20"/>
      </w:rPr>
    </w:lvl>
    <w:lvl w:ilvl="1">
      <w:start w:val="1"/>
      <w:numFmt w:val="bullet"/>
      <w:pStyle w:val="NTTBlueBoldBullet"/>
      <w:lvlText w:val="●"/>
      <w:lvlJc w:val="left"/>
      <w:pPr>
        <w:tabs>
          <w:tab w:val="num" w:pos="851"/>
        </w:tabs>
        <w:ind w:left="1134" w:hanging="283"/>
      </w:pPr>
      <w:rPr>
        <w:rFonts w:ascii="Arial" w:hAnsi="Arial" w:hint="default"/>
        <w:color w:val="0072BC"/>
        <w:sz w:val="18"/>
      </w:rPr>
    </w:lvl>
    <w:lvl w:ilvl="2">
      <w:start w:val="1"/>
      <w:numFmt w:val="bullet"/>
      <w:pStyle w:val="NTTBoldBullet"/>
      <w:lvlText w:val="●"/>
      <w:lvlJc w:val="left"/>
      <w:pPr>
        <w:tabs>
          <w:tab w:val="num" w:pos="851"/>
        </w:tabs>
        <w:ind w:left="1134" w:hanging="283"/>
      </w:pPr>
      <w:rPr>
        <w:rFonts w:ascii="Arial" w:hAnsi="Arial" w:hint="default"/>
        <w:color w:val="000000"/>
        <w:sz w:val="20"/>
      </w:rPr>
    </w:lvl>
    <w:lvl w:ilvl="3">
      <w:start w:val="1"/>
      <w:numFmt w:val="bullet"/>
      <w:pStyle w:val="NTTRedBoldBullet"/>
      <w:lvlText w:val="●"/>
      <w:lvlJc w:val="left"/>
      <w:pPr>
        <w:ind w:left="1134" w:hanging="283"/>
      </w:pPr>
      <w:rPr>
        <w:rFonts w:ascii="Arial" w:hAnsi="Arial" w:hint="default"/>
        <w:color w:val="FF0000"/>
        <w:sz w:val="18"/>
      </w:rPr>
    </w:lvl>
    <w:lvl w:ilvl="4">
      <w:start w:val="1"/>
      <w:numFmt w:val="bullet"/>
      <w:lvlText w:val="●"/>
      <w:lvlJc w:val="left"/>
      <w:pPr>
        <w:ind w:left="284" w:hanging="284"/>
      </w:pPr>
      <w:rPr>
        <w:rFonts w:ascii="Arial" w:hAnsi="Arial" w:hint="default"/>
        <w:color w:val="000000"/>
        <w:sz w:val="20"/>
      </w:rPr>
    </w:lvl>
    <w:lvl w:ilvl="5">
      <w:start w:val="1"/>
      <w:numFmt w:val="bullet"/>
      <w:pStyle w:val="NTTFlushBlueBoldBullet"/>
      <w:lvlText w:val="●"/>
      <w:lvlJc w:val="left"/>
      <w:pPr>
        <w:ind w:left="284" w:hanging="284"/>
      </w:pPr>
      <w:rPr>
        <w:rFonts w:ascii="Arial" w:hAnsi="Arial" w:hint="default"/>
        <w:color w:val="0072BC"/>
        <w:sz w:val="18"/>
      </w:rPr>
    </w:lvl>
    <w:lvl w:ilvl="6">
      <w:start w:val="1"/>
      <w:numFmt w:val="bullet"/>
      <w:lvlRestart w:val="0"/>
      <w:pStyle w:val="NTTFlushBoldBullet"/>
      <w:lvlText w:val="●"/>
      <w:lvlJc w:val="left"/>
      <w:pPr>
        <w:ind w:left="284" w:hanging="284"/>
      </w:pPr>
      <w:rPr>
        <w:rFonts w:ascii="Arial" w:hAnsi="Arial" w:hint="default"/>
        <w:color w:val="000000"/>
        <w:sz w:val="20"/>
      </w:rPr>
    </w:lvl>
    <w:lvl w:ilvl="7">
      <w:start w:val="1"/>
      <w:numFmt w:val="bullet"/>
      <w:lvlText w:val="●"/>
      <w:lvlJc w:val="left"/>
      <w:pPr>
        <w:ind w:left="284" w:hanging="284"/>
      </w:pPr>
      <w:rPr>
        <w:rFonts w:ascii="Arial" w:hAnsi="Arial" w:hint="default"/>
        <w:color w:val="auto"/>
        <w:sz w:val="20"/>
      </w:rPr>
    </w:lvl>
    <w:lvl w:ilvl="8">
      <w:start w:val="1"/>
      <w:numFmt w:val="bullet"/>
      <w:lvlText w:val="●"/>
      <w:lvlJc w:val="left"/>
      <w:pPr>
        <w:ind w:left="284" w:hanging="284"/>
      </w:pPr>
      <w:rPr>
        <w:rFonts w:ascii="Arial" w:hAnsi="Arial" w:hint="default"/>
        <w:color w:val="auto"/>
        <w:sz w:val="18"/>
      </w:rPr>
    </w:lvl>
  </w:abstractNum>
  <w:abstractNum w:abstractNumId="14" w15:restartNumberingAfterBreak="0">
    <w:nsid w:val="4F194436"/>
    <w:multiLevelType w:val="multilevel"/>
    <w:tmpl w:val="C832ACC0"/>
    <w:lvl w:ilvl="0">
      <w:start w:val="1"/>
      <w:numFmt w:val="decimal"/>
      <w:pStyle w:val="Legalnumbering1"/>
      <w:lvlText w:val="%1."/>
      <w:lvlJc w:val="left"/>
      <w:pPr>
        <w:ind w:left="851" w:hanging="851"/>
      </w:pPr>
      <w:rPr>
        <w:rFonts w:hint="default"/>
      </w:rPr>
    </w:lvl>
    <w:lvl w:ilvl="1">
      <w:start w:val="1"/>
      <w:numFmt w:val="decimal"/>
      <w:pStyle w:val="Legalnumbering2"/>
      <w:lvlText w:val="%1.%2."/>
      <w:lvlJc w:val="left"/>
      <w:pPr>
        <w:ind w:left="851" w:hanging="851"/>
      </w:pPr>
      <w:rPr>
        <w:rFonts w:hint="default"/>
      </w:rPr>
    </w:lvl>
    <w:lvl w:ilvl="2">
      <w:start w:val="1"/>
      <w:numFmt w:val="decimal"/>
      <w:pStyle w:val="Legalnumbering3"/>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lowerRoman"/>
      <w:lvlText w:val="%5."/>
      <w:lvlJc w:val="left"/>
      <w:pPr>
        <w:ind w:left="851" w:hanging="851"/>
      </w:pPr>
      <w:rPr>
        <w:rFonts w:hint="default"/>
      </w:rPr>
    </w:lvl>
    <w:lvl w:ilvl="5">
      <w:start w:val="1"/>
      <w:numFmt w:val="upperLetter"/>
      <w:lvlText w:val="%6."/>
      <w:lvlJc w:val="left"/>
      <w:pPr>
        <w:ind w:left="851" w:hanging="85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B192594"/>
    <w:multiLevelType w:val="multilevel"/>
    <w:tmpl w:val="6456C98A"/>
    <w:styleLink w:val="NTTFlushBlueBulletList"/>
    <w:lvl w:ilvl="0">
      <w:start w:val="1"/>
      <w:numFmt w:val="bullet"/>
      <w:pStyle w:val="NTTFlushBlueBullet1"/>
      <w:lvlText w:val="●"/>
      <w:lvlJc w:val="left"/>
      <w:pPr>
        <w:ind w:left="284" w:hanging="284"/>
      </w:pPr>
      <w:rPr>
        <w:rFonts w:ascii="Arial" w:hAnsi="Arial" w:hint="default"/>
        <w:b w:val="0"/>
        <w:i w:val="0"/>
        <w:color w:val="0072BC"/>
        <w:kern w:val="20"/>
        <w:sz w:val="20"/>
      </w:rPr>
    </w:lvl>
    <w:lvl w:ilvl="1">
      <w:start w:val="1"/>
      <w:numFmt w:val="bullet"/>
      <w:pStyle w:val="NTTFlushBlueBullet2"/>
      <w:lvlText w:val="○"/>
      <w:lvlJc w:val="left"/>
      <w:pPr>
        <w:ind w:left="567" w:hanging="283"/>
      </w:pPr>
      <w:rPr>
        <w:rFonts w:ascii="Times New Roman" w:hAnsi="Times New Roman" w:cs="Times New Roman" w:hint="default"/>
        <w:color w:val="0072BC"/>
      </w:rPr>
    </w:lvl>
    <w:lvl w:ilvl="2">
      <w:start w:val="1"/>
      <w:numFmt w:val="bullet"/>
      <w:pStyle w:val="NTTFlushBlueBullet3"/>
      <w:lvlText w:val="-"/>
      <w:lvlJc w:val="left"/>
      <w:pPr>
        <w:ind w:left="851" w:hanging="284"/>
      </w:pPr>
      <w:rPr>
        <w:rFonts w:ascii="Times New Roman" w:hAnsi="Times New Roman" w:cs="Times New Roman" w:hint="default"/>
        <w:color w:val="0072BC"/>
      </w:rPr>
    </w:lvl>
    <w:lvl w:ilvl="3">
      <w:start w:val="1"/>
      <w:numFmt w:val="decimal"/>
      <w:pStyle w:val="NTTFlushBlueBullet4"/>
      <w:isLgl/>
      <w:lvlText w:val="%4."/>
      <w:lvlJc w:val="left"/>
      <w:pPr>
        <w:ind w:left="567" w:hanging="567"/>
      </w:pPr>
      <w:rPr>
        <w:rFonts w:hint="default"/>
        <w:color w:val="0072BC"/>
      </w:rPr>
    </w:lvl>
    <w:lvl w:ilvl="4">
      <w:start w:val="1"/>
      <w:numFmt w:val="decimal"/>
      <w:pStyle w:val="NTTFlushBlueBullet5"/>
      <w:isLgl/>
      <w:lvlText w:val="%4.%5"/>
      <w:lvlJc w:val="left"/>
      <w:pPr>
        <w:ind w:left="567" w:hanging="567"/>
      </w:pPr>
      <w:rPr>
        <w:rFonts w:hint="default"/>
        <w:color w:val="0072BC"/>
      </w:rPr>
    </w:lvl>
    <w:lvl w:ilvl="5">
      <w:start w:val="1"/>
      <w:numFmt w:val="decimal"/>
      <w:pStyle w:val="NTTFlushBlueBullet6"/>
      <w:isLgl/>
      <w:lvlText w:val="%4.%5.%6"/>
      <w:lvlJc w:val="left"/>
      <w:pPr>
        <w:ind w:left="567" w:hanging="567"/>
      </w:pPr>
      <w:rPr>
        <w:rFonts w:hint="default"/>
        <w:color w:val="0072BC"/>
      </w:rPr>
    </w:lvl>
    <w:lvl w:ilvl="6">
      <w:start w:val="1"/>
      <w:numFmt w:val="decimal"/>
      <w:lvlRestart w:val="0"/>
      <w:pStyle w:val="NTTFlushBlueBullet7"/>
      <w:lvlText w:val="%7."/>
      <w:lvlJc w:val="left"/>
      <w:pPr>
        <w:ind w:left="567" w:hanging="567"/>
      </w:pPr>
      <w:rPr>
        <w:rFonts w:ascii="Arial" w:hAnsi="Arial" w:hint="default"/>
        <w:b w:val="0"/>
        <w:i w:val="0"/>
        <w:color w:val="0072BC"/>
        <w:sz w:val="20"/>
      </w:rPr>
    </w:lvl>
    <w:lvl w:ilvl="7">
      <w:start w:val="1"/>
      <w:numFmt w:val="lowerLetter"/>
      <w:pStyle w:val="NTTFlushBlueBullet8"/>
      <w:lvlText w:val="%8."/>
      <w:lvlJc w:val="left"/>
      <w:pPr>
        <w:ind w:left="1134" w:hanging="567"/>
      </w:pPr>
      <w:rPr>
        <w:rFonts w:ascii="Arial" w:hAnsi="Arial" w:hint="default"/>
        <w:b w:val="0"/>
        <w:i w:val="0"/>
        <w:color w:val="0072BC"/>
        <w:sz w:val="20"/>
      </w:rPr>
    </w:lvl>
    <w:lvl w:ilvl="8">
      <w:start w:val="1"/>
      <w:numFmt w:val="lowerRoman"/>
      <w:pStyle w:val="NTTFlushBlueBullet9"/>
      <w:lvlText w:val="%9."/>
      <w:lvlJc w:val="left"/>
      <w:pPr>
        <w:ind w:left="1701" w:hanging="567"/>
      </w:pPr>
      <w:rPr>
        <w:rFonts w:ascii="Arial" w:hAnsi="Arial" w:hint="default"/>
        <w:b w:val="0"/>
        <w:i w:val="0"/>
        <w:color w:val="0072BC"/>
        <w:sz w:val="20"/>
      </w:rPr>
    </w:lvl>
  </w:abstractNum>
  <w:abstractNum w:abstractNumId="16" w15:restartNumberingAfterBreak="0">
    <w:nsid w:val="5EA35D47"/>
    <w:multiLevelType w:val="multilevel"/>
    <w:tmpl w:val="6D02664C"/>
    <w:styleLink w:val="NTTTableBulletList"/>
    <w:lvl w:ilvl="0">
      <w:start w:val="1"/>
      <w:numFmt w:val="bullet"/>
      <w:lvlText w:val="●"/>
      <w:lvlJc w:val="left"/>
      <w:pPr>
        <w:tabs>
          <w:tab w:val="num" w:pos="284"/>
        </w:tabs>
        <w:ind w:left="284" w:hanging="284"/>
      </w:pPr>
      <w:rPr>
        <w:rFonts w:ascii="Arial" w:hAnsi="Arial" w:hint="default"/>
        <w:color w:val="000000"/>
        <w:spacing w:val="8"/>
        <w:kern w:val="18"/>
        <w:sz w:val="18"/>
        <w:szCs w:val="20"/>
      </w:rPr>
    </w:lvl>
    <w:lvl w:ilvl="1">
      <w:start w:val="1"/>
      <w:numFmt w:val="bullet"/>
      <w:pStyle w:val="NTTTableBullet2"/>
      <w:lvlText w:val="○"/>
      <w:lvlJc w:val="left"/>
      <w:pPr>
        <w:tabs>
          <w:tab w:val="num" w:pos="567"/>
        </w:tabs>
        <w:ind w:left="567" w:hanging="283"/>
      </w:pPr>
      <w:rPr>
        <w:rFonts w:ascii="Arial" w:hAnsi="Arial" w:cs="Times New Roman" w:hint="default"/>
        <w:b w:val="0"/>
        <w:i w:val="0"/>
        <w:color w:val="000000"/>
        <w:sz w:val="18"/>
      </w:rPr>
    </w:lvl>
    <w:lvl w:ilvl="2">
      <w:start w:val="1"/>
      <w:numFmt w:val="bullet"/>
      <w:pStyle w:val="NTTTableBullet3"/>
      <w:lvlText w:val="-"/>
      <w:lvlJc w:val="left"/>
      <w:pPr>
        <w:tabs>
          <w:tab w:val="num" w:pos="851"/>
        </w:tabs>
        <w:ind w:left="851" w:hanging="284"/>
      </w:pPr>
      <w:rPr>
        <w:rFonts w:ascii="Arial" w:hAnsi="Arial" w:cs="Times New Roman" w:hint="default"/>
        <w:b w:val="0"/>
        <w:i w:val="0"/>
        <w:color w:val="000000"/>
        <w:sz w:val="18"/>
      </w:rPr>
    </w:lvl>
    <w:lvl w:ilvl="3">
      <w:start w:val="1"/>
      <w:numFmt w:val="decimal"/>
      <w:lvlText w:val="%4."/>
      <w:lvlJc w:val="left"/>
      <w:pPr>
        <w:tabs>
          <w:tab w:val="num" w:pos="567"/>
        </w:tabs>
        <w:ind w:left="567" w:hanging="567"/>
      </w:pPr>
      <w:rPr>
        <w:rFonts w:ascii="Arial" w:hAnsi="Arial" w:hint="default"/>
        <w:b w:val="0"/>
        <w:i w:val="0"/>
        <w:color w:val="000000"/>
        <w:spacing w:val="-20"/>
        <w:sz w:val="18"/>
        <w:szCs w:val="18"/>
      </w:rPr>
    </w:lvl>
    <w:lvl w:ilvl="4">
      <w:start w:val="1"/>
      <w:numFmt w:val="decimal"/>
      <w:lvlText w:val="%4.%5."/>
      <w:lvlJc w:val="left"/>
      <w:pPr>
        <w:tabs>
          <w:tab w:val="num" w:pos="567"/>
        </w:tabs>
        <w:ind w:left="567" w:hanging="567"/>
      </w:pPr>
      <w:rPr>
        <w:rFonts w:ascii="Arial" w:hAnsi="Arial" w:hint="default"/>
        <w:b w:val="0"/>
        <w:i w:val="0"/>
        <w:color w:val="000000"/>
        <w:spacing w:val="-20"/>
        <w:sz w:val="18"/>
        <w:szCs w:val="18"/>
      </w:rPr>
    </w:lvl>
    <w:lvl w:ilvl="5">
      <w:start w:val="1"/>
      <w:numFmt w:val="decimal"/>
      <w:lvlText w:val="%4.%5.%6."/>
      <w:lvlJc w:val="left"/>
      <w:pPr>
        <w:tabs>
          <w:tab w:val="num" w:pos="567"/>
        </w:tabs>
        <w:ind w:left="567" w:hanging="567"/>
      </w:pPr>
      <w:rPr>
        <w:rFonts w:ascii="Arial" w:hAnsi="Arial" w:hint="default"/>
        <w:b w:val="0"/>
        <w:i w:val="0"/>
        <w:color w:val="000000"/>
        <w:spacing w:val="-20"/>
        <w:sz w:val="18"/>
        <w:szCs w:val="18"/>
      </w:rPr>
    </w:lvl>
    <w:lvl w:ilvl="6">
      <w:start w:val="1"/>
      <w:numFmt w:val="decimal"/>
      <w:lvlText w:val="%7."/>
      <w:lvlJc w:val="left"/>
      <w:pPr>
        <w:tabs>
          <w:tab w:val="num" w:pos="567"/>
        </w:tabs>
        <w:ind w:left="567" w:hanging="567"/>
      </w:pPr>
      <w:rPr>
        <w:rFonts w:ascii="Arial" w:hAnsi="Arial" w:hint="default"/>
        <w:b w:val="0"/>
        <w:i w:val="0"/>
        <w:color w:val="000000"/>
        <w:sz w:val="18"/>
        <w:szCs w:val="18"/>
      </w:rPr>
    </w:lvl>
    <w:lvl w:ilvl="7">
      <w:start w:val="1"/>
      <w:numFmt w:val="lowerLetter"/>
      <w:pStyle w:val="NTTTableBullet8"/>
      <w:lvlText w:val="%8."/>
      <w:lvlJc w:val="left"/>
      <w:pPr>
        <w:tabs>
          <w:tab w:val="num" w:pos="1134"/>
        </w:tabs>
        <w:ind w:left="1134" w:hanging="567"/>
      </w:pPr>
      <w:rPr>
        <w:rFonts w:ascii="Arial" w:hAnsi="Arial" w:hint="default"/>
        <w:b w:val="0"/>
        <w:i w:val="0"/>
        <w:color w:val="000000"/>
        <w:sz w:val="18"/>
        <w:szCs w:val="18"/>
      </w:rPr>
    </w:lvl>
    <w:lvl w:ilvl="8">
      <w:start w:val="1"/>
      <w:numFmt w:val="lowerRoman"/>
      <w:pStyle w:val="NTTTableBullet9"/>
      <w:lvlText w:val="%9."/>
      <w:lvlJc w:val="left"/>
      <w:pPr>
        <w:tabs>
          <w:tab w:val="num" w:pos="1701"/>
        </w:tabs>
        <w:ind w:left="1701" w:hanging="567"/>
      </w:pPr>
      <w:rPr>
        <w:rFonts w:ascii="Arial" w:hAnsi="Arial" w:hint="default"/>
        <w:b w:val="0"/>
        <w:i w:val="0"/>
        <w:color w:val="000000"/>
        <w:sz w:val="18"/>
        <w:szCs w:val="18"/>
      </w:rPr>
    </w:lvl>
  </w:abstractNum>
  <w:abstractNum w:abstractNumId="17" w15:restartNumberingAfterBreak="0">
    <w:nsid w:val="64A85724"/>
    <w:multiLevelType w:val="multilevel"/>
    <w:tmpl w:val="771046AA"/>
    <w:styleLink w:val="NTTBlueTableBulletList"/>
    <w:lvl w:ilvl="0">
      <w:start w:val="1"/>
      <w:numFmt w:val="bullet"/>
      <w:pStyle w:val="NTTBlueTableBullet1"/>
      <w:lvlText w:val="●"/>
      <w:lvlJc w:val="left"/>
      <w:pPr>
        <w:tabs>
          <w:tab w:val="num" w:pos="283"/>
        </w:tabs>
        <w:ind w:left="283" w:hanging="283"/>
      </w:pPr>
      <w:rPr>
        <w:rFonts w:ascii="Arial" w:hAnsi="Arial" w:hint="default"/>
        <w:color w:val="0072BC"/>
        <w:spacing w:val="8"/>
        <w:kern w:val="18"/>
        <w:sz w:val="18"/>
        <w:szCs w:val="20"/>
      </w:rPr>
    </w:lvl>
    <w:lvl w:ilvl="1">
      <w:start w:val="1"/>
      <w:numFmt w:val="bullet"/>
      <w:pStyle w:val="NTTBlueTableBullet2"/>
      <w:lvlText w:val="○"/>
      <w:lvlJc w:val="left"/>
      <w:pPr>
        <w:tabs>
          <w:tab w:val="num" w:pos="1134"/>
        </w:tabs>
        <w:ind w:left="1134" w:hanging="284"/>
      </w:pPr>
      <w:rPr>
        <w:rFonts w:ascii="Arial" w:hAnsi="Arial" w:cs="Times New Roman" w:hint="default"/>
        <w:b w:val="0"/>
        <w:i w:val="0"/>
        <w:color w:val="0072BC"/>
        <w:sz w:val="18"/>
      </w:rPr>
    </w:lvl>
    <w:lvl w:ilvl="2">
      <w:start w:val="1"/>
      <w:numFmt w:val="bullet"/>
      <w:pStyle w:val="NTTBlueTableBullet3"/>
      <w:lvlText w:val="-"/>
      <w:lvlJc w:val="left"/>
      <w:pPr>
        <w:tabs>
          <w:tab w:val="num" w:pos="850"/>
        </w:tabs>
        <w:ind w:left="850" w:hanging="283"/>
      </w:pPr>
      <w:rPr>
        <w:rFonts w:ascii="Arial" w:hAnsi="Arial" w:cs="Times New Roman" w:hint="default"/>
        <w:b w:val="0"/>
        <w:i w:val="0"/>
        <w:color w:val="0072BC"/>
        <w:sz w:val="18"/>
      </w:rPr>
    </w:lvl>
    <w:lvl w:ilvl="3">
      <w:start w:val="1"/>
      <w:numFmt w:val="decimal"/>
      <w:pStyle w:val="NTTBlueTableBullet4"/>
      <w:lvlText w:val="%4."/>
      <w:lvlJc w:val="left"/>
      <w:pPr>
        <w:tabs>
          <w:tab w:val="num" w:pos="567"/>
        </w:tabs>
        <w:ind w:left="567" w:hanging="567"/>
      </w:pPr>
      <w:rPr>
        <w:rFonts w:ascii="Arial" w:hAnsi="Arial" w:hint="default"/>
        <w:b w:val="0"/>
        <w:i w:val="0"/>
        <w:color w:val="0072BC"/>
        <w:spacing w:val="0"/>
        <w:sz w:val="18"/>
        <w:szCs w:val="18"/>
      </w:rPr>
    </w:lvl>
    <w:lvl w:ilvl="4">
      <w:start w:val="1"/>
      <w:numFmt w:val="decimal"/>
      <w:pStyle w:val="NTTBlueTableBullet5"/>
      <w:lvlText w:val="%4.%5."/>
      <w:lvlJc w:val="left"/>
      <w:pPr>
        <w:tabs>
          <w:tab w:val="num" w:pos="567"/>
        </w:tabs>
        <w:ind w:left="567" w:hanging="567"/>
      </w:pPr>
      <w:rPr>
        <w:rFonts w:ascii="Arial" w:hAnsi="Arial" w:hint="default"/>
        <w:b w:val="0"/>
        <w:i w:val="0"/>
        <w:color w:val="0072BC"/>
        <w:spacing w:val="0"/>
        <w:sz w:val="18"/>
        <w:szCs w:val="18"/>
      </w:rPr>
    </w:lvl>
    <w:lvl w:ilvl="5">
      <w:start w:val="1"/>
      <w:numFmt w:val="decimal"/>
      <w:pStyle w:val="NTTBlueTableBullet6"/>
      <w:lvlText w:val="%4.%5.%6."/>
      <w:lvlJc w:val="left"/>
      <w:pPr>
        <w:tabs>
          <w:tab w:val="num" w:pos="567"/>
        </w:tabs>
        <w:ind w:left="567" w:hanging="567"/>
      </w:pPr>
      <w:rPr>
        <w:rFonts w:ascii="Arial" w:hAnsi="Arial" w:hint="default"/>
        <w:b w:val="0"/>
        <w:i w:val="0"/>
        <w:color w:val="0072BC"/>
        <w:spacing w:val="0"/>
        <w:sz w:val="18"/>
        <w:szCs w:val="18"/>
      </w:rPr>
    </w:lvl>
    <w:lvl w:ilvl="6">
      <w:start w:val="1"/>
      <w:numFmt w:val="decimal"/>
      <w:pStyle w:val="NTTBlueTableBullet7"/>
      <w:lvlText w:val="%7."/>
      <w:lvlJc w:val="left"/>
      <w:pPr>
        <w:tabs>
          <w:tab w:val="num" w:pos="567"/>
        </w:tabs>
        <w:ind w:left="567" w:hanging="567"/>
      </w:pPr>
      <w:rPr>
        <w:rFonts w:ascii="Arial" w:hAnsi="Arial" w:hint="default"/>
        <w:b w:val="0"/>
        <w:i w:val="0"/>
        <w:color w:val="0072BC"/>
        <w:sz w:val="18"/>
        <w:szCs w:val="18"/>
      </w:rPr>
    </w:lvl>
    <w:lvl w:ilvl="7">
      <w:start w:val="1"/>
      <w:numFmt w:val="lowerLetter"/>
      <w:pStyle w:val="NTTBlueTableBullet8"/>
      <w:lvlText w:val="%8."/>
      <w:lvlJc w:val="left"/>
      <w:pPr>
        <w:tabs>
          <w:tab w:val="num" w:pos="1134"/>
        </w:tabs>
        <w:ind w:left="1134" w:hanging="567"/>
      </w:pPr>
      <w:rPr>
        <w:rFonts w:ascii="Arial" w:hAnsi="Arial" w:hint="default"/>
        <w:b w:val="0"/>
        <w:i w:val="0"/>
        <w:color w:val="0072BC"/>
        <w:sz w:val="18"/>
        <w:szCs w:val="18"/>
      </w:rPr>
    </w:lvl>
    <w:lvl w:ilvl="8">
      <w:start w:val="1"/>
      <w:numFmt w:val="lowerRoman"/>
      <w:pStyle w:val="NTTBlueTableBullet9"/>
      <w:lvlText w:val="%9."/>
      <w:lvlJc w:val="left"/>
      <w:pPr>
        <w:tabs>
          <w:tab w:val="num" w:pos="1701"/>
        </w:tabs>
        <w:ind w:left="1701" w:hanging="567"/>
      </w:pPr>
      <w:rPr>
        <w:rFonts w:ascii="Arial" w:hAnsi="Arial" w:hint="default"/>
        <w:b w:val="0"/>
        <w:i w:val="0"/>
        <w:color w:val="0072BC"/>
        <w:sz w:val="18"/>
        <w:szCs w:val="18"/>
      </w:rPr>
    </w:lvl>
  </w:abstractNum>
  <w:abstractNum w:abstractNumId="18" w15:restartNumberingAfterBreak="0">
    <w:nsid w:val="6A2026CD"/>
    <w:multiLevelType w:val="multilevel"/>
    <w:tmpl w:val="D2080C92"/>
    <w:styleLink w:val="NTTGuidanceTextBullets"/>
    <w:lvl w:ilvl="0">
      <w:start w:val="1"/>
      <w:numFmt w:val="bullet"/>
      <w:pStyle w:val="GuidanceText3Bullet"/>
      <w:lvlText w:val="●"/>
      <w:lvlJc w:val="left"/>
      <w:pPr>
        <w:tabs>
          <w:tab w:val="num" w:pos="1418"/>
        </w:tabs>
        <w:ind w:left="1134" w:hanging="283"/>
      </w:pPr>
      <w:rPr>
        <w:rFonts w:ascii="Arial" w:hAnsi="Arial" w:hint="default"/>
        <w:color w:val="900000"/>
        <w:kern w:val="20"/>
        <w:sz w:val="20"/>
      </w:rPr>
    </w:lvl>
    <w:lvl w:ilvl="1">
      <w:start w:val="1"/>
      <w:numFmt w:val="decimal"/>
      <w:pStyle w:val="GuidanceText4List"/>
      <w:lvlText w:val="%2. "/>
      <w:lvlJc w:val="left"/>
      <w:pPr>
        <w:tabs>
          <w:tab w:val="num" w:pos="1418"/>
        </w:tabs>
        <w:ind w:left="1134" w:hanging="283"/>
      </w:pPr>
      <w:rPr>
        <w:rFonts w:hint="default"/>
        <w:color w:val="900000"/>
      </w:rPr>
    </w:lvl>
    <w:lvl w:ilvl="2">
      <w:start w:val="1"/>
      <w:numFmt w:val="bullet"/>
      <w:pStyle w:val="NTTBlueNotedText3Bullet"/>
      <w:lvlText w:val="●"/>
      <w:lvlJc w:val="left"/>
      <w:pPr>
        <w:tabs>
          <w:tab w:val="num" w:pos="1418"/>
        </w:tabs>
        <w:ind w:left="1134" w:hanging="283"/>
      </w:pPr>
      <w:rPr>
        <w:rFonts w:ascii="Arial" w:hAnsi="Arial" w:hint="default"/>
        <w:color w:val="0072BC"/>
      </w:rPr>
    </w:lvl>
    <w:lvl w:ilvl="3">
      <w:start w:val="1"/>
      <w:numFmt w:val="decimal"/>
      <w:pStyle w:val="NTTBlueNotedText4List"/>
      <w:lvlText w:val="%4."/>
      <w:lvlJc w:val="left"/>
      <w:pPr>
        <w:tabs>
          <w:tab w:val="num" w:pos="1418"/>
        </w:tabs>
        <w:ind w:left="1134" w:hanging="283"/>
      </w:pPr>
      <w:rPr>
        <w:rFonts w:hint="default"/>
        <w:color w:val="0072BC"/>
      </w:rPr>
    </w:lvl>
    <w:lvl w:ilvl="4">
      <w:start w:val="1"/>
      <w:numFmt w:val="bullet"/>
      <w:lvlText w:val=""/>
      <w:lvlJc w:val="left"/>
      <w:pPr>
        <w:tabs>
          <w:tab w:val="num" w:pos="1418"/>
        </w:tabs>
        <w:ind w:left="1134" w:hanging="283"/>
      </w:pPr>
      <w:rPr>
        <w:rFonts w:ascii="Symbol" w:hAnsi="Symbol" w:hint="default"/>
        <w:color w:val="000000"/>
      </w:rPr>
    </w:lvl>
    <w:lvl w:ilvl="5">
      <w:start w:val="1"/>
      <w:numFmt w:val="decimal"/>
      <w:lvlText w:val="%6."/>
      <w:lvlJc w:val="left"/>
      <w:pPr>
        <w:tabs>
          <w:tab w:val="num" w:pos="1418"/>
        </w:tabs>
        <w:ind w:left="1134" w:hanging="283"/>
      </w:pPr>
      <w:rPr>
        <w:rFonts w:hint="default"/>
        <w:color w:val="000000"/>
      </w:rPr>
    </w:lvl>
    <w:lvl w:ilvl="6">
      <w:start w:val="1"/>
      <w:numFmt w:val="bullet"/>
      <w:pStyle w:val="NTTRedNotedText3Bullet"/>
      <w:lvlText w:val=""/>
      <w:lvlJc w:val="left"/>
      <w:pPr>
        <w:tabs>
          <w:tab w:val="num" w:pos="1418"/>
        </w:tabs>
        <w:ind w:left="1134" w:hanging="283"/>
      </w:pPr>
      <w:rPr>
        <w:rFonts w:ascii="Symbol" w:hAnsi="Symbol" w:hint="default"/>
        <w:color w:val="FF0000"/>
      </w:rPr>
    </w:lvl>
    <w:lvl w:ilvl="7">
      <w:start w:val="1"/>
      <w:numFmt w:val="decimal"/>
      <w:pStyle w:val="NTTRedNotedText4Bullet"/>
      <w:lvlText w:val="%8."/>
      <w:lvlJc w:val="left"/>
      <w:pPr>
        <w:tabs>
          <w:tab w:val="num" w:pos="1418"/>
        </w:tabs>
        <w:ind w:left="1134" w:hanging="283"/>
      </w:pPr>
      <w:rPr>
        <w:rFonts w:hint="default"/>
        <w:color w:val="FF0000"/>
      </w:rPr>
    </w:lvl>
    <w:lvl w:ilvl="8">
      <w:start w:val="1"/>
      <w:numFmt w:val="bullet"/>
      <w:lvlText w:val=""/>
      <w:lvlJc w:val="left"/>
      <w:pPr>
        <w:tabs>
          <w:tab w:val="num" w:pos="1418"/>
        </w:tabs>
        <w:ind w:left="1134" w:hanging="283"/>
      </w:pPr>
      <w:rPr>
        <w:rFonts w:ascii="Wingdings" w:hAnsi="Wingdings" w:hint="default"/>
        <w:color w:val="900000"/>
      </w:rPr>
    </w:lvl>
  </w:abstractNum>
  <w:abstractNum w:abstractNumId="19" w15:restartNumberingAfterBreak="0">
    <w:nsid w:val="6F2F30A7"/>
    <w:multiLevelType w:val="hybridMultilevel"/>
    <w:tmpl w:val="722A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BC1A2A"/>
    <w:multiLevelType w:val="hybridMultilevel"/>
    <w:tmpl w:val="E2407366"/>
    <w:lvl w:ilvl="0" w:tplc="F3F6B09A">
      <w:start w:val="1"/>
      <w:numFmt w:val="lowerLetter"/>
      <w:pStyle w:val="NTTLegal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7C3026"/>
    <w:multiLevelType w:val="multilevel"/>
    <w:tmpl w:val="E8E4266C"/>
    <w:styleLink w:val="NTTFlushBulletList"/>
    <w:lvl w:ilvl="0">
      <w:start w:val="1"/>
      <w:numFmt w:val="bullet"/>
      <w:pStyle w:val="NTTFlushBullet1"/>
      <w:lvlText w:val="●"/>
      <w:lvlJc w:val="left"/>
      <w:pPr>
        <w:ind w:left="284" w:hanging="284"/>
      </w:pPr>
      <w:rPr>
        <w:rFonts w:ascii="Arial" w:hAnsi="Arial" w:hint="default"/>
        <w:b w:val="0"/>
        <w:i w:val="0"/>
        <w:color w:val="000000"/>
        <w:kern w:val="20"/>
        <w:sz w:val="20"/>
      </w:rPr>
    </w:lvl>
    <w:lvl w:ilvl="1">
      <w:start w:val="1"/>
      <w:numFmt w:val="bullet"/>
      <w:pStyle w:val="NTTFlushBullet2"/>
      <w:lvlText w:val="○"/>
      <w:lvlJc w:val="left"/>
      <w:pPr>
        <w:ind w:left="567" w:hanging="283"/>
      </w:pPr>
      <w:rPr>
        <w:rFonts w:ascii="Arial" w:hAnsi="Arial" w:cs="Times New Roman" w:hint="default"/>
        <w:b w:val="0"/>
        <w:i w:val="0"/>
        <w:color w:val="000000"/>
        <w:sz w:val="20"/>
      </w:rPr>
    </w:lvl>
    <w:lvl w:ilvl="2">
      <w:start w:val="1"/>
      <w:numFmt w:val="bullet"/>
      <w:pStyle w:val="NTTFlushBullet3"/>
      <w:lvlText w:val="-"/>
      <w:lvlJc w:val="left"/>
      <w:pPr>
        <w:ind w:left="851" w:hanging="284"/>
      </w:pPr>
      <w:rPr>
        <w:rFonts w:ascii="Arial" w:hAnsi="Arial" w:cs="Times New Roman" w:hint="default"/>
        <w:b w:val="0"/>
        <w:i w:val="0"/>
        <w:color w:val="000000"/>
        <w:sz w:val="20"/>
      </w:rPr>
    </w:lvl>
    <w:lvl w:ilvl="3">
      <w:start w:val="1"/>
      <w:numFmt w:val="decimal"/>
      <w:pStyle w:val="NTTFlushBullet4"/>
      <w:isLgl/>
      <w:lvlText w:val="%4."/>
      <w:lvlJc w:val="left"/>
      <w:pPr>
        <w:ind w:left="567" w:hanging="567"/>
      </w:pPr>
      <w:rPr>
        <w:rFonts w:hint="default"/>
        <w:color w:val="000000"/>
      </w:rPr>
    </w:lvl>
    <w:lvl w:ilvl="4">
      <w:start w:val="1"/>
      <w:numFmt w:val="decimal"/>
      <w:pStyle w:val="NTTFlushBullet5"/>
      <w:isLgl/>
      <w:lvlText w:val="%4.%5"/>
      <w:lvlJc w:val="left"/>
      <w:pPr>
        <w:ind w:left="567" w:hanging="567"/>
      </w:pPr>
      <w:rPr>
        <w:rFonts w:hint="default"/>
        <w:color w:val="000000"/>
      </w:rPr>
    </w:lvl>
    <w:lvl w:ilvl="5">
      <w:start w:val="1"/>
      <w:numFmt w:val="decimal"/>
      <w:pStyle w:val="NTTFlushBullet6"/>
      <w:isLgl/>
      <w:lvlText w:val="%4.%5.%6"/>
      <w:lvlJc w:val="left"/>
      <w:pPr>
        <w:ind w:left="567" w:hanging="567"/>
      </w:pPr>
      <w:rPr>
        <w:rFonts w:hint="default"/>
        <w:color w:val="000000"/>
      </w:rPr>
    </w:lvl>
    <w:lvl w:ilvl="6">
      <w:start w:val="1"/>
      <w:numFmt w:val="decimal"/>
      <w:pStyle w:val="NTTFlushBullet7"/>
      <w:lvlText w:val="%7."/>
      <w:lvlJc w:val="left"/>
      <w:pPr>
        <w:ind w:left="567" w:hanging="567"/>
      </w:pPr>
      <w:rPr>
        <w:rFonts w:hint="default"/>
        <w:color w:val="000000"/>
      </w:rPr>
    </w:lvl>
    <w:lvl w:ilvl="7">
      <w:start w:val="1"/>
      <w:numFmt w:val="lowerLetter"/>
      <w:pStyle w:val="NTTFlushBullet8"/>
      <w:lvlText w:val="%8."/>
      <w:lvlJc w:val="left"/>
      <w:pPr>
        <w:ind w:left="1134" w:hanging="567"/>
      </w:pPr>
      <w:rPr>
        <w:rFonts w:hint="default"/>
        <w:color w:val="000000"/>
      </w:rPr>
    </w:lvl>
    <w:lvl w:ilvl="8">
      <w:start w:val="1"/>
      <w:numFmt w:val="lowerRoman"/>
      <w:pStyle w:val="NTTFlushBullet9"/>
      <w:lvlText w:val="%9."/>
      <w:lvlJc w:val="left"/>
      <w:pPr>
        <w:ind w:left="1701" w:hanging="567"/>
      </w:pPr>
      <w:rPr>
        <w:rFonts w:hint="default"/>
        <w:color w:val="000000"/>
      </w:rPr>
    </w:lvl>
  </w:abstractNum>
  <w:num w:numId="1" w16cid:durableId="1107852680">
    <w:abstractNumId w:val="8"/>
  </w:num>
  <w:num w:numId="2" w16cid:durableId="1215698329">
    <w:abstractNumId w:val="14"/>
  </w:num>
  <w:num w:numId="3" w16cid:durableId="902790624">
    <w:abstractNumId w:val="9"/>
  </w:num>
  <w:num w:numId="4" w16cid:durableId="1093235555">
    <w:abstractNumId w:val="9"/>
    <w:lvlOverride w:ilvl="0">
      <w:lvl w:ilvl="0">
        <w:start w:val="1"/>
        <w:numFmt w:val="upperLetter"/>
        <w:pStyle w:val="AppendixHeading1"/>
        <w:lvlText w:val="Appendix %1"/>
        <w:lvlJc w:val="left"/>
        <w:pPr>
          <w:ind w:left="360" w:hanging="360"/>
        </w:pPr>
        <w:rPr>
          <w:rFonts w:ascii="Georgia" w:hAnsi="Georgia" w:cs="Arial" w:hint="default"/>
          <w:color w:val="0072BC"/>
          <w:kern w:val="20"/>
          <w:sz w:val="28"/>
          <w:szCs w:val="28"/>
        </w:rPr>
      </w:lvl>
    </w:lvlOverride>
    <w:lvlOverride w:ilvl="1">
      <w:lvl w:ilvl="1">
        <w:start w:val="1"/>
        <w:numFmt w:val="decimal"/>
        <w:pStyle w:val="AppendixHeading2"/>
        <w:lvlText w:val="Appendix %1.%2"/>
        <w:lvlJc w:val="left"/>
        <w:pPr>
          <w:ind w:left="0" w:firstLine="0"/>
        </w:pPr>
        <w:rPr>
          <w:rFonts w:hint="default"/>
          <w:color w:val="2E404D" w:themeColor="text1"/>
          <w:sz w:val="22"/>
          <w:szCs w:val="22"/>
        </w:rPr>
      </w:lvl>
    </w:lvlOverride>
    <w:lvlOverride w:ilvl="2">
      <w:lvl w:ilvl="2">
        <w:start w:val="1"/>
        <w:numFmt w:val="decimal"/>
        <w:pStyle w:val="AppendixHeading3"/>
        <w:lvlText w:val="Appendix %1.%2.%3"/>
        <w:lvlJc w:val="left"/>
        <w:pPr>
          <w:ind w:left="0" w:firstLine="0"/>
        </w:pPr>
        <w:rPr>
          <w:rFonts w:ascii="Arial" w:hAnsi="Arial" w:hint="default"/>
          <w:color w:val="000000"/>
          <w:sz w:val="22"/>
          <w:szCs w:val="22"/>
        </w:rPr>
      </w:lvl>
    </w:lvlOverride>
  </w:num>
  <w:num w:numId="5" w16cid:durableId="1741126396">
    <w:abstractNumId w:val="5"/>
  </w:num>
  <w:num w:numId="6" w16cid:durableId="1196692695">
    <w:abstractNumId w:val="4"/>
    <w:lvlOverride w:ilvl="0">
      <w:lvl w:ilvl="0">
        <w:start w:val="1"/>
        <w:numFmt w:val="bullet"/>
        <w:pStyle w:val="NTTBlueBullet1"/>
        <w:lvlText w:val="●"/>
        <w:lvlJc w:val="left"/>
        <w:pPr>
          <w:tabs>
            <w:tab w:val="num" w:pos="1134"/>
          </w:tabs>
          <w:ind w:left="1134" w:hanging="283"/>
        </w:pPr>
      </w:lvl>
    </w:lvlOverride>
    <w:lvlOverride w:ilvl="1">
      <w:lvl w:ilvl="1">
        <w:start w:val="1"/>
        <w:numFmt w:val="bullet"/>
        <w:pStyle w:val="NTTBlueBullet2"/>
        <w:lvlText w:val="○"/>
        <w:lvlJc w:val="left"/>
        <w:pPr>
          <w:tabs>
            <w:tab w:val="num" w:pos="1418"/>
          </w:tabs>
          <w:ind w:left="1418" w:hanging="284"/>
        </w:pPr>
      </w:lvl>
    </w:lvlOverride>
    <w:lvlOverride w:ilvl="2">
      <w:lvl w:ilvl="2">
        <w:start w:val="1"/>
        <w:numFmt w:val="bullet"/>
        <w:pStyle w:val="NTTBlueBullet3"/>
        <w:lvlText w:val="-"/>
        <w:lvlJc w:val="left"/>
        <w:pPr>
          <w:tabs>
            <w:tab w:val="num" w:pos="1701"/>
          </w:tabs>
          <w:ind w:left="1701" w:hanging="283"/>
        </w:pPr>
      </w:lvl>
    </w:lvlOverride>
    <w:lvlOverride w:ilvl="3">
      <w:lvl w:ilvl="3">
        <w:start w:val="1"/>
        <w:numFmt w:val="decimal"/>
        <w:pStyle w:val="NTTBlueBullet4"/>
        <w:lvlText w:val="%4."/>
        <w:lvlJc w:val="left"/>
        <w:pPr>
          <w:tabs>
            <w:tab w:val="num" w:pos="1418"/>
          </w:tabs>
          <w:ind w:left="1418" w:hanging="567"/>
        </w:pPr>
      </w:lvl>
    </w:lvlOverride>
    <w:lvlOverride w:ilvl="4">
      <w:lvl w:ilvl="4">
        <w:start w:val="1"/>
        <w:numFmt w:val="decimal"/>
        <w:pStyle w:val="NTTBlueBullet5"/>
        <w:lvlText w:val="%4.%5."/>
        <w:lvlJc w:val="left"/>
        <w:pPr>
          <w:tabs>
            <w:tab w:val="num" w:pos="1418"/>
          </w:tabs>
          <w:ind w:left="1418" w:hanging="567"/>
        </w:pPr>
      </w:lvl>
    </w:lvlOverride>
    <w:lvlOverride w:ilvl="5">
      <w:lvl w:ilvl="5">
        <w:start w:val="1"/>
        <w:numFmt w:val="decimal"/>
        <w:pStyle w:val="NTTBlueBullet6"/>
        <w:lvlText w:val="%4.%5.%6."/>
        <w:lvlJc w:val="left"/>
        <w:pPr>
          <w:tabs>
            <w:tab w:val="num" w:pos="1418"/>
          </w:tabs>
          <w:ind w:left="1418" w:hanging="567"/>
        </w:pPr>
      </w:lvl>
    </w:lvlOverride>
    <w:lvlOverride w:ilvl="6">
      <w:lvl w:ilvl="6">
        <w:start w:val="1"/>
        <w:numFmt w:val="decimal"/>
        <w:pStyle w:val="NTTBlueBullet7"/>
        <w:lvlText w:val="%7."/>
        <w:lvlJc w:val="left"/>
        <w:pPr>
          <w:tabs>
            <w:tab w:val="num" w:pos="1418"/>
          </w:tabs>
          <w:ind w:left="1418" w:hanging="567"/>
        </w:pPr>
      </w:lvl>
    </w:lvlOverride>
    <w:lvlOverride w:ilvl="7">
      <w:lvl w:ilvl="7">
        <w:start w:val="1"/>
        <w:numFmt w:val="lowerLetter"/>
        <w:pStyle w:val="NTTBlueBullet8"/>
        <w:lvlText w:val="%8."/>
        <w:lvlJc w:val="left"/>
        <w:pPr>
          <w:tabs>
            <w:tab w:val="num" w:pos="1985"/>
          </w:tabs>
          <w:ind w:left="1985" w:hanging="567"/>
        </w:pPr>
      </w:lvl>
    </w:lvlOverride>
    <w:lvlOverride w:ilvl="8">
      <w:lvl w:ilvl="8">
        <w:start w:val="1"/>
        <w:numFmt w:val="lowerRoman"/>
        <w:pStyle w:val="NTTBlueBullet9"/>
        <w:lvlText w:val="%9."/>
        <w:lvlJc w:val="left"/>
        <w:pPr>
          <w:tabs>
            <w:tab w:val="num" w:pos="2552"/>
          </w:tabs>
          <w:ind w:left="2552" w:hanging="567"/>
        </w:pPr>
      </w:lvl>
    </w:lvlOverride>
  </w:num>
  <w:num w:numId="7" w16cid:durableId="1094739228">
    <w:abstractNumId w:val="17"/>
  </w:num>
  <w:num w:numId="8" w16cid:durableId="775369593">
    <w:abstractNumId w:val="6"/>
    <w:lvlOverride w:ilvl="0">
      <w:lvl w:ilvl="0">
        <w:start w:val="1"/>
        <w:numFmt w:val="bullet"/>
        <w:pStyle w:val="NTTBlueTableBullet1"/>
        <w:lvlText w:val="●"/>
        <w:lvlJc w:val="left"/>
        <w:pPr>
          <w:tabs>
            <w:tab w:val="num" w:pos="283"/>
          </w:tabs>
          <w:ind w:left="283" w:hanging="283"/>
        </w:pPr>
      </w:lvl>
    </w:lvlOverride>
    <w:lvlOverride w:ilvl="1">
      <w:lvl w:ilvl="1">
        <w:start w:val="1"/>
        <w:numFmt w:val="bullet"/>
        <w:pStyle w:val="NTTBlueTableBullet2"/>
        <w:lvlText w:val="○"/>
        <w:lvlJc w:val="left"/>
        <w:pPr>
          <w:tabs>
            <w:tab w:val="num" w:pos="1134"/>
          </w:tabs>
          <w:ind w:left="1134" w:hanging="284"/>
        </w:pPr>
      </w:lvl>
    </w:lvlOverride>
    <w:lvlOverride w:ilvl="2">
      <w:lvl w:ilvl="2">
        <w:start w:val="1"/>
        <w:numFmt w:val="bullet"/>
        <w:pStyle w:val="NTTBlueTableBullet3"/>
        <w:lvlText w:val="-"/>
        <w:lvlJc w:val="left"/>
        <w:pPr>
          <w:tabs>
            <w:tab w:val="num" w:pos="850"/>
          </w:tabs>
          <w:ind w:left="850" w:hanging="283"/>
        </w:pPr>
      </w:lvl>
    </w:lvlOverride>
    <w:lvlOverride w:ilvl="3">
      <w:lvl w:ilvl="3">
        <w:start w:val="1"/>
        <w:numFmt w:val="decimal"/>
        <w:pStyle w:val="NTTBlueTableBullet4"/>
        <w:lvlText w:val="%4."/>
        <w:lvlJc w:val="left"/>
        <w:pPr>
          <w:tabs>
            <w:tab w:val="num" w:pos="567"/>
          </w:tabs>
          <w:ind w:left="567" w:hanging="567"/>
        </w:pPr>
      </w:lvl>
    </w:lvlOverride>
    <w:lvlOverride w:ilvl="4">
      <w:lvl w:ilvl="4">
        <w:start w:val="1"/>
        <w:numFmt w:val="decimal"/>
        <w:pStyle w:val="NTTBlueTableBullet5"/>
        <w:lvlText w:val="%4.%5."/>
        <w:lvlJc w:val="left"/>
        <w:pPr>
          <w:tabs>
            <w:tab w:val="num" w:pos="567"/>
          </w:tabs>
          <w:ind w:left="567" w:hanging="567"/>
        </w:pPr>
      </w:lvl>
    </w:lvlOverride>
    <w:lvlOverride w:ilvl="5">
      <w:lvl w:ilvl="5">
        <w:start w:val="1"/>
        <w:numFmt w:val="decimal"/>
        <w:pStyle w:val="NTTBlueTableBullet6"/>
        <w:lvlText w:val="%4.%5.%6."/>
        <w:lvlJc w:val="left"/>
        <w:pPr>
          <w:tabs>
            <w:tab w:val="num" w:pos="567"/>
          </w:tabs>
          <w:ind w:left="567" w:hanging="567"/>
        </w:pPr>
      </w:lvl>
    </w:lvlOverride>
    <w:lvlOverride w:ilvl="6">
      <w:lvl w:ilvl="6">
        <w:start w:val="1"/>
        <w:numFmt w:val="decimal"/>
        <w:pStyle w:val="NTTBlueTableBullet7"/>
        <w:lvlText w:val="%7."/>
        <w:lvlJc w:val="left"/>
        <w:pPr>
          <w:tabs>
            <w:tab w:val="num" w:pos="567"/>
          </w:tabs>
          <w:ind w:left="567" w:hanging="567"/>
        </w:pPr>
      </w:lvl>
    </w:lvlOverride>
    <w:lvlOverride w:ilvl="7">
      <w:lvl w:ilvl="7">
        <w:start w:val="1"/>
        <w:numFmt w:val="lowerLetter"/>
        <w:pStyle w:val="NTTBlueTableBullet8"/>
        <w:lvlText w:val="%8."/>
        <w:lvlJc w:val="left"/>
        <w:pPr>
          <w:tabs>
            <w:tab w:val="num" w:pos="1134"/>
          </w:tabs>
          <w:ind w:left="1134" w:hanging="567"/>
        </w:pPr>
      </w:lvl>
    </w:lvlOverride>
    <w:lvlOverride w:ilvl="8">
      <w:lvl w:ilvl="8">
        <w:start w:val="1"/>
        <w:numFmt w:val="lowerRoman"/>
        <w:pStyle w:val="NTTBlueTableBullet9"/>
        <w:lvlText w:val="%9."/>
        <w:lvlJc w:val="left"/>
        <w:pPr>
          <w:tabs>
            <w:tab w:val="num" w:pos="1701"/>
          </w:tabs>
          <w:ind w:left="1701" w:hanging="567"/>
        </w:pPr>
      </w:lvl>
    </w:lvlOverride>
  </w:num>
  <w:num w:numId="9" w16cid:durableId="1049841814">
    <w:abstractNumId w:val="11"/>
  </w:num>
  <w:num w:numId="10" w16cid:durableId="1218661965">
    <w:abstractNumId w:val="15"/>
  </w:num>
  <w:num w:numId="11" w16cid:durableId="347412455">
    <w:abstractNumId w:val="21"/>
  </w:num>
  <w:num w:numId="12" w16cid:durableId="1882672173">
    <w:abstractNumId w:val="11"/>
    <w:lvlOverride w:ilvl="0">
      <w:lvl w:ilvl="0">
        <w:start w:val="1"/>
        <w:numFmt w:val="bullet"/>
        <w:pStyle w:val="NTTBullet1"/>
        <w:lvlText w:val="●"/>
        <w:lvlJc w:val="left"/>
        <w:pPr>
          <w:tabs>
            <w:tab w:val="num" w:pos="1134"/>
          </w:tabs>
          <w:ind w:left="1134" w:hanging="283"/>
        </w:pPr>
      </w:lvl>
    </w:lvlOverride>
  </w:num>
  <w:num w:numId="13" w16cid:durableId="1496800376">
    <w:abstractNumId w:val="15"/>
    <w:lvlOverride w:ilvl="0">
      <w:lvl w:ilvl="0">
        <w:start w:val="1"/>
        <w:numFmt w:val="bullet"/>
        <w:pStyle w:val="NTTFlushBlueBullet1"/>
        <w:lvlText w:val="●"/>
        <w:lvlJc w:val="left"/>
        <w:pPr>
          <w:ind w:left="284" w:hanging="284"/>
        </w:pPr>
      </w:lvl>
    </w:lvlOverride>
    <w:lvlOverride w:ilvl="1">
      <w:lvl w:ilvl="1">
        <w:start w:val="1"/>
        <w:numFmt w:val="bullet"/>
        <w:pStyle w:val="NTTFlushBlueBullet2"/>
        <w:lvlText w:val="○"/>
        <w:lvlJc w:val="left"/>
        <w:pPr>
          <w:ind w:left="567" w:hanging="283"/>
        </w:pPr>
      </w:lvl>
    </w:lvlOverride>
    <w:lvlOverride w:ilvl="2">
      <w:lvl w:ilvl="2">
        <w:start w:val="1"/>
        <w:numFmt w:val="bullet"/>
        <w:pStyle w:val="NTTFlushBlueBullet3"/>
        <w:lvlText w:val="-"/>
        <w:lvlJc w:val="left"/>
        <w:pPr>
          <w:ind w:left="851" w:hanging="284"/>
        </w:pPr>
      </w:lvl>
    </w:lvlOverride>
    <w:lvlOverride w:ilvl="3">
      <w:lvl w:ilvl="3">
        <w:start w:val="1"/>
        <w:numFmt w:val="decimal"/>
        <w:pStyle w:val="NTTFlushBlueBullet4"/>
        <w:isLgl/>
        <w:lvlText w:val="%4."/>
        <w:lvlJc w:val="left"/>
        <w:pPr>
          <w:ind w:left="567" w:hanging="567"/>
        </w:pPr>
      </w:lvl>
    </w:lvlOverride>
    <w:lvlOverride w:ilvl="4">
      <w:lvl w:ilvl="4">
        <w:start w:val="1"/>
        <w:numFmt w:val="decimal"/>
        <w:pStyle w:val="NTTFlushBlueBullet5"/>
        <w:isLgl/>
        <w:lvlText w:val="%4.%5"/>
        <w:lvlJc w:val="left"/>
        <w:pPr>
          <w:ind w:left="567" w:hanging="567"/>
        </w:pPr>
      </w:lvl>
    </w:lvlOverride>
    <w:lvlOverride w:ilvl="5">
      <w:lvl w:ilvl="5">
        <w:start w:val="1"/>
        <w:numFmt w:val="decimal"/>
        <w:pStyle w:val="NTTFlushBlueBullet6"/>
        <w:isLgl/>
        <w:lvlText w:val="%4.%5.%6"/>
        <w:lvlJc w:val="left"/>
        <w:pPr>
          <w:ind w:left="567" w:hanging="567"/>
        </w:pPr>
      </w:lvl>
    </w:lvlOverride>
    <w:lvlOverride w:ilvl="6">
      <w:lvl w:ilvl="6">
        <w:start w:val="1"/>
        <w:numFmt w:val="decimal"/>
        <w:lvlRestart w:val="0"/>
        <w:pStyle w:val="NTTFlushBlueBullet7"/>
        <w:lvlText w:val="%7."/>
        <w:lvlJc w:val="left"/>
        <w:pPr>
          <w:ind w:left="567" w:hanging="567"/>
        </w:pPr>
      </w:lvl>
    </w:lvlOverride>
    <w:lvlOverride w:ilvl="7">
      <w:lvl w:ilvl="7">
        <w:start w:val="1"/>
        <w:numFmt w:val="lowerLetter"/>
        <w:pStyle w:val="NTTFlushBlueBullet8"/>
        <w:lvlText w:val="%8."/>
        <w:lvlJc w:val="left"/>
        <w:pPr>
          <w:ind w:left="1134" w:hanging="567"/>
        </w:pPr>
      </w:lvl>
    </w:lvlOverride>
    <w:lvlOverride w:ilvl="8">
      <w:lvl w:ilvl="8">
        <w:start w:val="1"/>
        <w:numFmt w:val="lowerRoman"/>
        <w:pStyle w:val="NTTFlushBlueBullet9"/>
        <w:lvlText w:val="%9."/>
        <w:lvlJc w:val="left"/>
        <w:pPr>
          <w:ind w:left="1701" w:hanging="567"/>
        </w:pPr>
      </w:lvl>
    </w:lvlOverride>
  </w:num>
  <w:num w:numId="14" w16cid:durableId="976255163">
    <w:abstractNumId w:val="21"/>
    <w:lvlOverride w:ilvl="0">
      <w:lvl w:ilvl="0">
        <w:start w:val="1"/>
        <w:numFmt w:val="bullet"/>
        <w:pStyle w:val="NTTFlushBullet1"/>
        <w:lvlText w:val="●"/>
        <w:lvlJc w:val="left"/>
        <w:pPr>
          <w:ind w:left="284" w:hanging="284"/>
        </w:pPr>
        <w:rPr>
          <w:rFonts w:ascii="Arial" w:hAnsi="Arial" w:hint="default"/>
          <w:b w:val="0"/>
          <w:i w:val="0"/>
          <w:color w:val="000000"/>
          <w:kern w:val="20"/>
          <w:sz w:val="20"/>
        </w:rPr>
      </w:lvl>
    </w:lvlOverride>
    <w:lvlOverride w:ilvl="1">
      <w:lvl w:ilvl="1">
        <w:start w:val="1"/>
        <w:numFmt w:val="bullet"/>
        <w:pStyle w:val="NTTFlushBullet2"/>
        <w:lvlText w:val="○"/>
        <w:lvlJc w:val="left"/>
        <w:pPr>
          <w:ind w:left="567" w:hanging="283"/>
        </w:pPr>
        <w:rPr>
          <w:rFonts w:ascii="Arial" w:hAnsi="Arial" w:cs="Times New Roman" w:hint="default"/>
          <w:b w:val="0"/>
          <w:i w:val="0"/>
          <w:color w:val="000000"/>
          <w:sz w:val="20"/>
        </w:rPr>
      </w:lvl>
    </w:lvlOverride>
    <w:lvlOverride w:ilvl="2">
      <w:lvl w:ilvl="2">
        <w:start w:val="1"/>
        <w:numFmt w:val="bullet"/>
        <w:pStyle w:val="NTTFlushBullet3"/>
        <w:lvlText w:val="-"/>
        <w:lvlJc w:val="left"/>
        <w:pPr>
          <w:ind w:left="851" w:hanging="284"/>
        </w:pPr>
        <w:rPr>
          <w:rFonts w:ascii="Arial" w:hAnsi="Arial" w:cs="Times New Roman" w:hint="default"/>
          <w:b w:val="0"/>
          <w:i w:val="0"/>
          <w:color w:val="000000"/>
          <w:sz w:val="20"/>
        </w:rPr>
      </w:lvl>
    </w:lvlOverride>
    <w:lvlOverride w:ilvl="3">
      <w:lvl w:ilvl="3">
        <w:start w:val="1"/>
        <w:numFmt w:val="decimal"/>
        <w:pStyle w:val="NTTFlushBullet4"/>
        <w:isLgl/>
        <w:lvlText w:val="%4."/>
        <w:lvlJc w:val="left"/>
        <w:pPr>
          <w:ind w:left="567" w:hanging="567"/>
        </w:pPr>
      </w:lvl>
    </w:lvlOverride>
    <w:lvlOverride w:ilvl="4">
      <w:lvl w:ilvl="4">
        <w:start w:val="1"/>
        <w:numFmt w:val="decimal"/>
        <w:pStyle w:val="NTTFlushBullet5"/>
        <w:isLgl/>
        <w:lvlText w:val="%4.%5"/>
        <w:lvlJc w:val="left"/>
        <w:pPr>
          <w:ind w:left="567" w:hanging="567"/>
        </w:pPr>
      </w:lvl>
    </w:lvlOverride>
    <w:lvlOverride w:ilvl="5">
      <w:lvl w:ilvl="5">
        <w:start w:val="1"/>
        <w:numFmt w:val="decimal"/>
        <w:pStyle w:val="NTTFlushBullet6"/>
        <w:isLgl/>
        <w:lvlText w:val="%4.%5.%6"/>
        <w:lvlJc w:val="left"/>
        <w:pPr>
          <w:ind w:left="567" w:hanging="567"/>
        </w:pPr>
      </w:lvl>
    </w:lvlOverride>
    <w:lvlOverride w:ilvl="6">
      <w:lvl w:ilvl="6">
        <w:start w:val="1"/>
        <w:numFmt w:val="decimal"/>
        <w:pStyle w:val="NTTFlushBullet7"/>
        <w:lvlText w:val="%7."/>
        <w:lvlJc w:val="left"/>
        <w:pPr>
          <w:ind w:left="567" w:hanging="567"/>
        </w:pPr>
        <w:rPr>
          <w:rFonts w:hint="default"/>
          <w:color w:val="000000"/>
        </w:rPr>
      </w:lvl>
    </w:lvlOverride>
    <w:lvlOverride w:ilvl="7">
      <w:lvl w:ilvl="7">
        <w:start w:val="1"/>
        <w:numFmt w:val="lowerLetter"/>
        <w:pStyle w:val="NTTFlushBullet8"/>
        <w:lvlText w:val="%8."/>
        <w:lvlJc w:val="left"/>
        <w:pPr>
          <w:ind w:left="1134" w:hanging="567"/>
        </w:pPr>
        <w:rPr>
          <w:rFonts w:hint="default"/>
          <w:color w:val="000000"/>
        </w:rPr>
      </w:lvl>
    </w:lvlOverride>
    <w:lvlOverride w:ilvl="8">
      <w:lvl w:ilvl="8">
        <w:start w:val="1"/>
        <w:numFmt w:val="lowerRoman"/>
        <w:pStyle w:val="NTTFlushBullet9"/>
        <w:lvlText w:val="%9."/>
        <w:lvlJc w:val="left"/>
        <w:pPr>
          <w:ind w:left="1701" w:hanging="567"/>
        </w:pPr>
        <w:rPr>
          <w:rFonts w:hint="default"/>
          <w:color w:val="000000"/>
        </w:rPr>
      </w:lvl>
    </w:lvlOverride>
  </w:num>
  <w:num w:numId="15" w16cid:durableId="1685861503">
    <w:abstractNumId w:val="10"/>
  </w:num>
  <w:num w:numId="16" w16cid:durableId="913511098">
    <w:abstractNumId w:val="12"/>
  </w:num>
  <w:num w:numId="17" w16cid:durableId="689137048">
    <w:abstractNumId w:val="16"/>
  </w:num>
  <w:num w:numId="18" w16cid:durableId="89932287">
    <w:abstractNumId w:val="16"/>
    <w:lvlOverride w:ilvl="0">
      <w:lvl w:ilvl="0">
        <w:numFmt w:val="decimal"/>
        <w:lvlText w:val=""/>
        <w:lvlJc w:val="left"/>
      </w:lvl>
    </w:lvlOverride>
    <w:lvlOverride w:ilvl="1">
      <w:lvl w:ilvl="1">
        <w:start w:val="1"/>
        <w:numFmt w:val="bullet"/>
        <w:pStyle w:val="NTTTableBullet2"/>
        <w:lvlText w:val="○"/>
        <w:lvlJc w:val="left"/>
        <w:pPr>
          <w:tabs>
            <w:tab w:val="num" w:pos="567"/>
          </w:tabs>
          <w:ind w:left="567" w:hanging="283"/>
        </w:pPr>
      </w:lvl>
    </w:lvlOverride>
    <w:lvlOverride w:ilvl="2">
      <w:lvl w:ilvl="2">
        <w:start w:val="1"/>
        <w:numFmt w:val="bullet"/>
        <w:pStyle w:val="NTTTableBullet3"/>
        <w:lvlText w:val="-"/>
        <w:lvlJc w:val="left"/>
        <w:pPr>
          <w:tabs>
            <w:tab w:val="num" w:pos="851"/>
          </w:tabs>
          <w:ind w:left="851" w:hanging="284"/>
        </w:pPr>
      </w:lvl>
    </w:lvlOverride>
  </w:num>
  <w:num w:numId="19" w16cid:durableId="864438166">
    <w:abstractNumId w:val="2"/>
  </w:num>
  <w:num w:numId="20" w16cid:durableId="1573076371">
    <w:abstractNumId w:val="20"/>
  </w:num>
  <w:num w:numId="21" w16cid:durableId="527986321">
    <w:abstractNumId w:val="3"/>
  </w:num>
  <w:num w:numId="22" w16cid:durableId="1001859300">
    <w:abstractNumId w:val="0"/>
  </w:num>
  <w:num w:numId="23" w16cid:durableId="1250456801">
    <w:abstractNumId w:val="7"/>
  </w:num>
  <w:num w:numId="24" w16cid:durableId="12449959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2051722">
    <w:abstractNumId w:val="13"/>
  </w:num>
  <w:num w:numId="26" w16cid:durableId="846137730">
    <w:abstractNumId w:val="18"/>
  </w:num>
  <w:num w:numId="27" w16cid:durableId="277639401">
    <w:abstractNumId w:val="13"/>
    <w:lvlOverride w:ilvl="0">
      <w:lvl w:ilvl="0">
        <w:numFmt w:val="decimal"/>
        <w:lvlText w:val=""/>
        <w:lvlJc w:val="left"/>
      </w:lvl>
    </w:lvlOverride>
    <w:lvlOverride w:ilvl="1">
      <w:lvl w:ilvl="1">
        <w:start w:val="1"/>
        <w:numFmt w:val="bullet"/>
        <w:pStyle w:val="NTTBlueBoldBullet"/>
        <w:lvlText w:val="●"/>
        <w:lvlJc w:val="left"/>
        <w:pPr>
          <w:tabs>
            <w:tab w:val="num" w:pos="851"/>
          </w:tabs>
          <w:ind w:left="1134" w:hanging="283"/>
        </w:pPr>
      </w:lvl>
    </w:lvlOverride>
    <w:lvlOverride w:ilvl="2">
      <w:lvl w:ilvl="2">
        <w:start w:val="1"/>
        <w:numFmt w:val="bullet"/>
        <w:pStyle w:val="NTTBoldBullet"/>
        <w:lvlText w:val="●"/>
        <w:lvlJc w:val="left"/>
        <w:pPr>
          <w:tabs>
            <w:tab w:val="num" w:pos="851"/>
          </w:tabs>
          <w:ind w:left="1134" w:hanging="283"/>
        </w:pPr>
        <w:rPr>
          <w:rFonts w:ascii="Arial" w:hAnsi="Arial" w:hint="default"/>
          <w:color w:val="000000"/>
          <w:sz w:val="20"/>
        </w:rPr>
      </w:lvl>
    </w:lvlOverride>
    <w:lvlOverride w:ilvl="3">
      <w:lvl w:ilvl="3">
        <w:start w:val="1"/>
        <w:numFmt w:val="bullet"/>
        <w:pStyle w:val="NTTRedBoldBullet"/>
        <w:lvlText w:val="●"/>
        <w:lvlJc w:val="left"/>
        <w:pPr>
          <w:ind w:left="1134" w:hanging="283"/>
        </w:pPr>
      </w:lvl>
    </w:lvlOverride>
  </w:num>
  <w:num w:numId="28" w16cid:durableId="1579822831">
    <w:abstractNumId w:val="18"/>
    <w:lvlOverride w:ilvl="0">
      <w:lvl w:ilvl="0">
        <w:start w:val="1"/>
        <w:numFmt w:val="bullet"/>
        <w:pStyle w:val="GuidanceText3Bullet"/>
        <w:lvlText w:val="●"/>
        <w:lvlJc w:val="left"/>
        <w:pPr>
          <w:tabs>
            <w:tab w:val="num" w:pos="1418"/>
          </w:tabs>
          <w:ind w:left="1134" w:hanging="283"/>
        </w:pPr>
        <w:rPr>
          <w:rFonts w:ascii="Arial" w:hAnsi="Arial" w:hint="default"/>
          <w:color w:val="2E404D" w:themeColor="text1"/>
          <w:kern w:val="20"/>
          <w:sz w:val="20"/>
        </w:rPr>
      </w:lvl>
    </w:lvlOverride>
    <w:lvlOverride w:ilvl="1">
      <w:lvl w:ilvl="1">
        <w:start w:val="1"/>
        <w:numFmt w:val="decimal"/>
        <w:pStyle w:val="GuidanceText4List"/>
        <w:lvlText w:val="%2. "/>
        <w:lvlJc w:val="left"/>
        <w:pPr>
          <w:tabs>
            <w:tab w:val="num" w:pos="1418"/>
          </w:tabs>
          <w:ind w:left="1134" w:hanging="283"/>
        </w:pPr>
      </w:lvl>
    </w:lvlOverride>
    <w:lvlOverride w:ilvl="2">
      <w:lvl w:ilvl="2">
        <w:start w:val="1"/>
        <w:numFmt w:val="bullet"/>
        <w:pStyle w:val="NTTBlueNotedText3Bullet"/>
        <w:lvlText w:val="●"/>
        <w:lvlJc w:val="left"/>
        <w:pPr>
          <w:tabs>
            <w:tab w:val="num" w:pos="1418"/>
          </w:tabs>
          <w:ind w:left="1134" w:hanging="283"/>
        </w:pPr>
      </w:lvl>
    </w:lvlOverride>
    <w:lvlOverride w:ilvl="3">
      <w:lvl w:ilvl="3">
        <w:start w:val="1"/>
        <w:numFmt w:val="decimal"/>
        <w:pStyle w:val="NTTBlueNotedText4List"/>
        <w:lvlText w:val="%4."/>
        <w:lvlJc w:val="left"/>
        <w:pPr>
          <w:tabs>
            <w:tab w:val="num" w:pos="1418"/>
          </w:tabs>
          <w:ind w:left="1134" w:hanging="283"/>
        </w:pPr>
      </w:lvl>
    </w:lvlOverride>
  </w:num>
  <w:num w:numId="29" w16cid:durableId="1085684408">
    <w:abstractNumId w:val="1"/>
  </w:num>
  <w:num w:numId="30" w16cid:durableId="373694254">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20"/>
  <w:defaultTableStyle w:val="NTTFutureBlu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B"/>
    <w:rsid w:val="00002326"/>
    <w:rsid w:val="00003961"/>
    <w:rsid w:val="00005B85"/>
    <w:rsid w:val="00007E75"/>
    <w:rsid w:val="000115AE"/>
    <w:rsid w:val="00015970"/>
    <w:rsid w:val="00017FEE"/>
    <w:rsid w:val="0002263F"/>
    <w:rsid w:val="0002407A"/>
    <w:rsid w:val="00024736"/>
    <w:rsid w:val="00024F12"/>
    <w:rsid w:val="000274F2"/>
    <w:rsid w:val="000323BE"/>
    <w:rsid w:val="00034CD3"/>
    <w:rsid w:val="00035DE0"/>
    <w:rsid w:val="00040430"/>
    <w:rsid w:val="0004099E"/>
    <w:rsid w:val="00041570"/>
    <w:rsid w:val="00041D81"/>
    <w:rsid w:val="0004242C"/>
    <w:rsid w:val="000427BE"/>
    <w:rsid w:val="00042F81"/>
    <w:rsid w:val="000433E6"/>
    <w:rsid w:val="0004590D"/>
    <w:rsid w:val="00045EA2"/>
    <w:rsid w:val="000468DB"/>
    <w:rsid w:val="000517EA"/>
    <w:rsid w:val="000527C0"/>
    <w:rsid w:val="0005313C"/>
    <w:rsid w:val="00055607"/>
    <w:rsid w:val="0006047F"/>
    <w:rsid w:val="000609A4"/>
    <w:rsid w:val="0006107A"/>
    <w:rsid w:val="0006332B"/>
    <w:rsid w:val="00063492"/>
    <w:rsid w:val="00063F40"/>
    <w:rsid w:val="00065402"/>
    <w:rsid w:val="00065506"/>
    <w:rsid w:val="00066060"/>
    <w:rsid w:val="000665F4"/>
    <w:rsid w:val="000700D5"/>
    <w:rsid w:val="000737B3"/>
    <w:rsid w:val="000744E6"/>
    <w:rsid w:val="00074E27"/>
    <w:rsid w:val="00075B53"/>
    <w:rsid w:val="00077906"/>
    <w:rsid w:val="00077BDC"/>
    <w:rsid w:val="00080405"/>
    <w:rsid w:val="0008094F"/>
    <w:rsid w:val="00082E04"/>
    <w:rsid w:val="000838A6"/>
    <w:rsid w:val="000844A8"/>
    <w:rsid w:val="00084AD9"/>
    <w:rsid w:val="00087AB0"/>
    <w:rsid w:val="00087B72"/>
    <w:rsid w:val="00090CD0"/>
    <w:rsid w:val="00092FAB"/>
    <w:rsid w:val="00095E11"/>
    <w:rsid w:val="0009728F"/>
    <w:rsid w:val="00097EDC"/>
    <w:rsid w:val="000A40F9"/>
    <w:rsid w:val="000A62D3"/>
    <w:rsid w:val="000A6681"/>
    <w:rsid w:val="000A6B60"/>
    <w:rsid w:val="000B08B9"/>
    <w:rsid w:val="000B1D87"/>
    <w:rsid w:val="000B25ED"/>
    <w:rsid w:val="000B2C67"/>
    <w:rsid w:val="000C496F"/>
    <w:rsid w:val="000C4CE6"/>
    <w:rsid w:val="000C5455"/>
    <w:rsid w:val="000C717C"/>
    <w:rsid w:val="000D0A95"/>
    <w:rsid w:val="000D0D7C"/>
    <w:rsid w:val="000D1E19"/>
    <w:rsid w:val="000D1E53"/>
    <w:rsid w:val="000D39CF"/>
    <w:rsid w:val="000D3C6D"/>
    <w:rsid w:val="000D56E8"/>
    <w:rsid w:val="000D64A5"/>
    <w:rsid w:val="000E51D9"/>
    <w:rsid w:val="000E5BF0"/>
    <w:rsid w:val="000E79C2"/>
    <w:rsid w:val="000F26E1"/>
    <w:rsid w:val="000F2BF8"/>
    <w:rsid w:val="000F4E55"/>
    <w:rsid w:val="000F61DC"/>
    <w:rsid w:val="001029AB"/>
    <w:rsid w:val="00103C1E"/>
    <w:rsid w:val="00105F87"/>
    <w:rsid w:val="00110207"/>
    <w:rsid w:val="001120D8"/>
    <w:rsid w:val="001177DE"/>
    <w:rsid w:val="00121AA7"/>
    <w:rsid w:val="001277D9"/>
    <w:rsid w:val="00137472"/>
    <w:rsid w:val="00141644"/>
    <w:rsid w:val="0015224D"/>
    <w:rsid w:val="001528EA"/>
    <w:rsid w:val="00153009"/>
    <w:rsid w:val="0015524B"/>
    <w:rsid w:val="00163C9F"/>
    <w:rsid w:val="0016524F"/>
    <w:rsid w:val="00166225"/>
    <w:rsid w:val="00166358"/>
    <w:rsid w:val="00166A8F"/>
    <w:rsid w:val="00171FB4"/>
    <w:rsid w:val="00173802"/>
    <w:rsid w:val="00180372"/>
    <w:rsid w:val="001839DC"/>
    <w:rsid w:val="0019223B"/>
    <w:rsid w:val="0019364C"/>
    <w:rsid w:val="00193784"/>
    <w:rsid w:val="00196899"/>
    <w:rsid w:val="001B0B23"/>
    <w:rsid w:val="001B2526"/>
    <w:rsid w:val="001B2722"/>
    <w:rsid w:val="001B430F"/>
    <w:rsid w:val="001B4701"/>
    <w:rsid w:val="001B6B73"/>
    <w:rsid w:val="001B6FA1"/>
    <w:rsid w:val="001B7269"/>
    <w:rsid w:val="001B78DD"/>
    <w:rsid w:val="001C17FF"/>
    <w:rsid w:val="001C183B"/>
    <w:rsid w:val="001C3847"/>
    <w:rsid w:val="001C5D50"/>
    <w:rsid w:val="001C6C3A"/>
    <w:rsid w:val="001C7579"/>
    <w:rsid w:val="001C7DE4"/>
    <w:rsid w:val="001D44F0"/>
    <w:rsid w:val="001D4C62"/>
    <w:rsid w:val="001D5785"/>
    <w:rsid w:val="001D6BFC"/>
    <w:rsid w:val="001E26B9"/>
    <w:rsid w:val="001E6B53"/>
    <w:rsid w:val="001E6B54"/>
    <w:rsid w:val="001F16B4"/>
    <w:rsid w:val="001F3950"/>
    <w:rsid w:val="001F5D40"/>
    <w:rsid w:val="00200761"/>
    <w:rsid w:val="00200851"/>
    <w:rsid w:val="00203E74"/>
    <w:rsid w:val="00204687"/>
    <w:rsid w:val="00206D5F"/>
    <w:rsid w:val="002073A5"/>
    <w:rsid w:val="00210CA2"/>
    <w:rsid w:val="0021493D"/>
    <w:rsid w:val="00220013"/>
    <w:rsid w:val="00220352"/>
    <w:rsid w:val="002245D3"/>
    <w:rsid w:val="00226768"/>
    <w:rsid w:val="002333B6"/>
    <w:rsid w:val="00233C77"/>
    <w:rsid w:val="00234E0F"/>
    <w:rsid w:val="00236C49"/>
    <w:rsid w:val="002373FC"/>
    <w:rsid w:val="002405C3"/>
    <w:rsid w:val="00241C99"/>
    <w:rsid w:val="00241D70"/>
    <w:rsid w:val="002474C0"/>
    <w:rsid w:val="00247515"/>
    <w:rsid w:val="00251212"/>
    <w:rsid w:val="002516BE"/>
    <w:rsid w:val="00252A11"/>
    <w:rsid w:val="002566F1"/>
    <w:rsid w:val="00257804"/>
    <w:rsid w:val="002601CE"/>
    <w:rsid w:val="00261F41"/>
    <w:rsid w:val="00263F18"/>
    <w:rsid w:val="00264A0B"/>
    <w:rsid w:val="00273C5F"/>
    <w:rsid w:val="00275613"/>
    <w:rsid w:val="00276838"/>
    <w:rsid w:val="00276902"/>
    <w:rsid w:val="002809BA"/>
    <w:rsid w:val="002818CC"/>
    <w:rsid w:val="002833B9"/>
    <w:rsid w:val="00286EE7"/>
    <w:rsid w:val="0029164D"/>
    <w:rsid w:val="002921D0"/>
    <w:rsid w:val="002951FF"/>
    <w:rsid w:val="0029524F"/>
    <w:rsid w:val="002A1E58"/>
    <w:rsid w:val="002A3108"/>
    <w:rsid w:val="002A3899"/>
    <w:rsid w:val="002A3B1C"/>
    <w:rsid w:val="002A44F0"/>
    <w:rsid w:val="002A53CD"/>
    <w:rsid w:val="002B2736"/>
    <w:rsid w:val="002B2E8E"/>
    <w:rsid w:val="002B41C2"/>
    <w:rsid w:val="002C14FA"/>
    <w:rsid w:val="002D4950"/>
    <w:rsid w:val="002D5C94"/>
    <w:rsid w:val="002E0609"/>
    <w:rsid w:val="002E0FC8"/>
    <w:rsid w:val="002E5F86"/>
    <w:rsid w:val="002E6DF2"/>
    <w:rsid w:val="002E7929"/>
    <w:rsid w:val="002F04C0"/>
    <w:rsid w:val="002F0554"/>
    <w:rsid w:val="002F0C0F"/>
    <w:rsid w:val="002F4C80"/>
    <w:rsid w:val="002F63B9"/>
    <w:rsid w:val="002F6FAB"/>
    <w:rsid w:val="002F7A25"/>
    <w:rsid w:val="00300C38"/>
    <w:rsid w:val="00303899"/>
    <w:rsid w:val="00304762"/>
    <w:rsid w:val="0030602F"/>
    <w:rsid w:val="00311DB1"/>
    <w:rsid w:val="00313222"/>
    <w:rsid w:val="0031324D"/>
    <w:rsid w:val="003144A7"/>
    <w:rsid w:val="00314CC2"/>
    <w:rsid w:val="00316AA3"/>
    <w:rsid w:val="00317EB1"/>
    <w:rsid w:val="00322BA7"/>
    <w:rsid w:val="003240E1"/>
    <w:rsid w:val="00325166"/>
    <w:rsid w:val="00325782"/>
    <w:rsid w:val="00325B43"/>
    <w:rsid w:val="0032700D"/>
    <w:rsid w:val="00327041"/>
    <w:rsid w:val="0033601E"/>
    <w:rsid w:val="003364A4"/>
    <w:rsid w:val="003402D3"/>
    <w:rsid w:val="00342C6F"/>
    <w:rsid w:val="0034463E"/>
    <w:rsid w:val="00352134"/>
    <w:rsid w:val="003528AD"/>
    <w:rsid w:val="00353C88"/>
    <w:rsid w:val="0035680A"/>
    <w:rsid w:val="003573A5"/>
    <w:rsid w:val="00357C5C"/>
    <w:rsid w:val="00360B00"/>
    <w:rsid w:val="00362133"/>
    <w:rsid w:val="00363AEA"/>
    <w:rsid w:val="00364873"/>
    <w:rsid w:val="003768F0"/>
    <w:rsid w:val="00377A34"/>
    <w:rsid w:val="00380132"/>
    <w:rsid w:val="00382304"/>
    <w:rsid w:val="0038518B"/>
    <w:rsid w:val="00390681"/>
    <w:rsid w:val="00392431"/>
    <w:rsid w:val="00392A9A"/>
    <w:rsid w:val="00394D3B"/>
    <w:rsid w:val="003A4083"/>
    <w:rsid w:val="003A672B"/>
    <w:rsid w:val="003A6929"/>
    <w:rsid w:val="003B0323"/>
    <w:rsid w:val="003B189A"/>
    <w:rsid w:val="003B60E3"/>
    <w:rsid w:val="003B6C7A"/>
    <w:rsid w:val="003B751A"/>
    <w:rsid w:val="003C2784"/>
    <w:rsid w:val="003C5FC5"/>
    <w:rsid w:val="003C7AD3"/>
    <w:rsid w:val="003D071A"/>
    <w:rsid w:val="003D12EC"/>
    <w:rsid w:val="003D3A54"/>
    <w:rsid w:val="003D4072"/>
    <w:rsid w:val="003D475D"/>
    <w:rsid w:val="003D63E9"/>
    <w:rsid w:val="003E0376"/>
    <w:rsid w:val="003E0A16"/>
    <w:rsid w:val="003E17A8"/>
    <w:rsid w:val="003E307D"/>
    <w:rsid w:val="003E3C2F"/>
    <w:rsid w:val="003E488D"/>
    <w:rsid w:val="003E4F03"/>
    <w:rsid w:val="003E5EAC"/>
    <w:rsid w:val="003F0900"/>
    <w:rsid w:val="004004D9"/>
    <w:rsid w:val="00403817"/>
    <w:rsid w:val="00403854"/>
    <w:rsid w:val="00403E3F"/>
    <w:rsid w:val="0040405A"/>
    <w:rsid w:val="004053F9"/>
    <w:rsid w:val="00407F62"/>
    <w:rsid w:val="004102DE"/>
    <w:rsid w:val="0041140F"/>
    <w:rsid w:val="004125F9"/>
    <w:rsid w:val="00412CB2"/>
    <w:rsid w:val="00413A77"/>
    <w:rsid w:val="00414E8F"/>
    <w:rsid w:val="00414E9F"/>
    <w:rsid w:val="004177A0"/>
    <w:rsid w:val="00420B06"/>
    <w:rsid w:val="004214D7"/>
    <w:rsid w:val="0042322D"/>
    <w:rsid w:val="00424D85"/>
    <w:rsid w:val="004253DD"/>
    <w:rsid w:val="00426C37"/>
    <w:rsid w:val="00427C4B"/>
    <w:rsid w:val="00430BB1"/>
    <w:rsid w:val="004312B5"/>
    <w:rsid w:val="00431624"/>
    <w:rsid w:val="00432C25"/>
    <w:rsid w:val="0043434E"/>
    <w:rsid w:val="00435CAE"/>
    <w:rsid w:val="00437584"/>
    <w:rsid w:val="0044104B"/>
    <w:rsid w:val="00443962"/>
    <w:rsid w:val="004548BF"/>
    <w:rsid w:val="004554EA"/>
    <w:rsid w:val="00461322"/>
    <w:rsid w:val="00462F14"/>
    <w:rsid w:val="004703D8"/>
    <w:rsid w:val="00470BDF"/>
    <w:rsid w:val="00472877"/>
    <w:rsid w:val="004737B4"/>
    <w:rsid w:val="00474489"/>
    <w:rsid w:val="004777A3"/>
    <w:rsid w:val="00480584"/>
    <w:rsid w:val="00483398"/>
    <w:rsid w:val="0048541E"/>
    <w:rsid w:val="00485F27"/>
    <w:rsid w:val="00486632"/>
    <w:rsid w:val="0048700B"/>
    <w:rsid w:val="0049045D"/>
    <w:rsid w:val="004905CA"/>
    <w:rsid w:val="00490E0D"/>
    <w:rsid w:val="00490E94"/>
    <w:rsid w:val="0049383B"/>
    <w:rsid w:val="00493EA0"/>
    <w:rsid w:val="00496202"/>
    <w:rsid w:val="0049741E"/>
    <w:rsid w:val="004A2853"/>
    <w:rsid w:val="004A331C"/>
    <w:rsid w:val="004A3327"/>
    <w:rsid w:val="004A41AB"/>
    <w:rsid w:val="004A5653"/>
    <w:rsid w:val="004B277B"/>
    <w:rsid w:val="004B3EB1"/>
    <w:rsid w:val="004B53D9"/>
    <w:rsid w:val="004B5539"/>
    <w:rsid w:val="004B7585"/>
    <w:rsid w:val="004C2406"/>
    <w:rsid w:val="004C51F1"/>
    <w:rsid w:val="004C6CA4"/>
    <w:rsid w:val="004D35A5"/>
    <w:rsid w:val="004D6BFC"/>
    <w:rsid w:val="004D7011"/>
    <w:rsid w:val="004E08F3"/>
    <w:rsid w:val="004E0A87"/>
    <w:rsid w:val="004E11FE"/>
    <w:rsid w:val="004E3244"/>
    <w:rsid w:val="004F499A"/>
    <w:rsid w:val="004F6B57"/>
    <w:rsid w:val="004F71FC"/>
    <w:rsid w:val="00500E20"/>
    <w:rsid w:val="00507AF6"/>
    <w:rsid w:val="005118B0"/>
    <w:rsid w:val="005127EF"/>
    <w:rsid w:val="0051300F"/>
    <w:rsid w:val="00514BCF"/>
    <w:rsid w:val="00520C6D"/>
    <w:rsid w:val="00522EE4"/>
    <w:rsid w:val="00522EF9"/>
    <w:rsid w:val="00523382"/>
    <w:rsid w:val="00524470"/>
    <w:rsid w:val="0052453E"/>
    <w:rsid w:val="00524F9E"/>
    <w:rsid w:val="00526CAD"/>
    <w:rsid w:val="00526F58"/>
    <w:rsid w:val="005315DC"/>
    <w:rsid w:val="00531B76"/>
    <w:rsid w:val="00532EB3"/>
    <w:rsid w:val="005339F1"/>
    <w:rsid w:val="00534DF6"/>
    <w:rsid w:val="005353E9"/>
    <w:rsid w:val="00535D4E"/>
    <w:rsid w:val="00537703"/>
    <w:rsid w:val="00543BD3"/>
    <w:rsid w:val="00546641"/>
    <w:rsid w:val="005475C3"/>
    <w:rsid w:val="005506C3"/>
    <w:rsid w:val="0055448E"/>
    <w:rsid w:val="00560771"/>
    <w:rsid w:val="00561FB3"/>
    <w:rsid w:val="0056321F"/>
    <w:rsid w:val="00565C58"/>
    <w:rsid w:val="00567026"/>
    <w:rsid w:val="005675A2"/>
    <w:rsid w:val="0057139C"/>
    <w:rsid w:val="00573BFC"/>
    <w:rsid w:val="00583426"/>
    <w:rsid w:val="0058376E"/>
    <w:rsid w:val="005873BA"/>
    <w:rsid w:val="00587448"/>
    <w:rsid w:val="0059200F"/>
    <w:rsid w:val="0059307A"/>
    <w:rsid w:val="00594A58"/>
    <w:rsid w:val="005969B0"/>
    <w:rsid w:val="00597312"/>
    <w:rsid w:val="005A01F7"/>
    <w:rsid w:val="005A39EB"/>
    <w:rsid w:val="005A4D21"/>
    <w:rsid w:val="005A6B61"/>
    <w:rsid w:val="005A7749"/>
    <w:rsid w:val="005A7F6B"/>
    <w:rsid w:val="005B0B72"/>
    <w:rsid w:val="005B131E"/>
    <w:rsid w:val="005B3B1D"/>
    <w:rsid w:val="005B3CAF"/>
    <w:rsid w:val="005B4662"/>
    <w:rsid w:val="005B4891"/>
    <w:rsid w:val="005B7EFE"/>
    <w:rsid w:val="005C21AB"/>
    <w:rsid w:val="005C231A"/>
    <w:rsid w:val="005C44CC"/>
    <w:rsid w:val="005C4D0B"/>
    <w:rsid w:val="005C4DCB"/>
    <w:rsid w:val="005D025B"/>
    <w:rsid w:val="005D096C"/>
    <w:rsid w:val="005D315C"/>
    <w:rsid w:val="005D341F"/>
    <w:rsid w:val="005D6334"/>
    <w:rsid w:val="005D7DA1"/>
    <w:rsid w:val="005E1C68"/>
    <w:rsid w:val="005E5458"/>
    <w:rsid w:val="005F1C66"/>
    <w:rsid w:val="005F40FB"/>
    <w:rsid w:val="005F7B55"/>
    <w:rsid w:val="00600C59"/>
    <w:rsid w:val="0060194C"/>
    <w:rsid w:val="00604832"/>
    <w:rsid w:val="00611FF2"/>
    <w:rsid w:val="006126B0"/>
    <w:rsid w:val="00614FC5"/>
    <w:rsid w:val="00616D5D"/>
    <w:rsid w:val="0062106E"/>
    <w:rsid w:val="00622A39"/>
    <w:rsid w:val="00623527"/>
    <w:rsid w:val="006252EF"/>
    <w:rsid w:val="00625ABF"/>
    <w:rsid w:val="00627B2B"/>
    <w:rsid w:val="00627CC5"/>
    <w:rsid w:val="00631CB0"/>
    <w:rsid w:val="00632966"/>
    <w:rsid w:val="0063383A"/>
    <w:rsid w:val="00643C09"/>
    <w:rsid w:val="006475BC"/>
    <w:rsid w:val="00651D61"/>
    <w:rsid w:val="00652117"/>
    <w:rsid w:val="00654E18"/>
    <w:rsid w:val="0065542B"/>
    <w:rsid w:val="006569FC"/>
    <w:rsid w:val="0065762F"/>
    <w:rsid w:val="00661DB9"/>
    <w:rsid w:val="00663BF4"/>
    <w:rsid w:val="00665B34"/>
    <w:rsid w:val="00665D0B"/>
    <w:rsid w:val="00670FAA"/>
    <w:rsid w:val="00672251"/>
    <w:rsid w:val="00673906"/>
    <w:rsid w:val="006743CB"/>
    <w:rsid w:val="00676140"/>
    <w:rsid w:val="006818A3"/>
    <w:rsid w:val="00684474"/>
    <w:rsid w:val="00684BE6"/>
    <w:rsid w:val="00690222"/>
    <w:rsid w:val="00690285"/>
    <w:rsid w:val="0069242B"/>
    <w:rsid w:val="006947F9"/>
    <w:rsid w:val="00697579"/>
    <w:rsid w:val="006A1E0B"/>
    <w:rsid w:val="006A31D2"/>
    <w:rsid w:val="006A44C8"/>
    <w:rsid w:val="006B0F6B"/>
    <w:rsid w:val="006B173B"/>
    <w:rsid w:val="006B7921"/>
    <w:rsid w:val="006C0EED"/>
    <w:rsid w:val="006C165B"/>
    <w:rsid w:val="006C232E"/>
    <w:rsid w:val="006C2ECB"/>
    <w:rsid w:val="006C3AA2"/>
    <w:rsid w:val="006C3D98"/>
    <w:rsid w:val="006C3ED2"/>
    <w:rsid w:val="006C4B36"/>
    <w:rsid w:val="006C5617"/>
    <w:rsid w:val="006C620E"/>
    <w:rsid w:val="006D04E8"/>
    <w:rsid w:val="006D2218"/>
    <w:rsid w:val="006D4CB0"/>
    <w:rsid w:val="006E0B02"/>
    <w:rsid w:val="006E1223"/>
    <w:rsid w:val="006E1606"/>
    <w:rsid w:val="006E2644"/>
    <w:rsid w:val="006E3CF5"/>
    <w:rsid w:val="006F3B68"/>
    <w:rsid w:val="006F4F2D"/>
    <w:rsid w:val="006F66C6"/>
    <w:rsid w:val="006F66E8"/>
    <w:rsid w:val="006F7816"/>
    <w:rsid w:val="006F7A72"/>
    <w:rsid w:val="0070045C"/>
    <w:rsid w:val="00702A7E"/>
    <w:rsid w:val="00704A52"/>
    <w:rsid w:val="00705AEC"/>
    <w:rsid w:val="00706758"/>
    <w:rsid w:val="00707C1C"/>
    <w:rsid w:val="00707C74"/>
    <w:rsid w:val="007102CA"/>
    <w:rsid w:val="00715E84"/>
    <w:rsid w:val="00721DCE"/>
    <w:rsid w:val="00723D3D"/>
    <w:rsid w:val="0072402E"/>
    <w:rsid w:val="00727CF4"/>
    <w:rsid w:val="00730865"/>
    <w:rsid w:val="007318BA"/>
    <w:rsid w:val="007354F3"/>
    <w:rsid w:val="0073692F"/>
    <w:rsid w:val="00742376"/>
    <w:rsid w:val="00744F63"/>
    <w:rsid w:val="00746BE1"/>
    <w:rsid w:val="0074771F"/>
    <w:rsid w:val="007524CE"/>
    <w:rsid w:val="00755038"/>
    <w:rsid w:val="0075623F"/>
    <w:rsid w:val="007568C6"/>
    <w:rsid w:val="00761414"/>
    <w:rsid w:val="0076141E"/>
    <w:rsid w:val="00762711"/>
    <w:rsid w:val="0076399C"/>
    <w:rsid w:val="00764200"/>
    <w:rsid w:val="007645CA"/>
    <w:rsid w:val="00765C83"/>
    <w:rsid w:val="0076790C"/>
    <w:rsid w:val="00767AAD"/>
    <w:rsid w:val="00767F75"/>
    <w:rsid w:val="0077073C"/>
    <w:rsid w:val="00773B76"/>
    <w:rsid w:val="0077563F"/>
    <w:rsid w:val="00776C52"/>
    <w:rsid w:val="007775EE"/>
    <w:rsid w:val="0078116D"/>
    <w:rsid w:val="00781AF4"/>
    <w:rsid w:val="00781DD5"/>
    <w:rsid w:val="00781F5F"/>
    <w:rsid w:val="007836BA"/>
    <w:rsid w:val="007852AB"/>
    <w:rsid w:val="00786EEE"/>
    <w:rsid w:val="00787083"/>
    <w:rsid w:val="007919B8"/>
    <w:rsid w:val="00793C20"/>
    <w:rsid w:val="00795560"/>
    <w:rsid w:val="007A1A1C"/>
    <w:rsid w:val="007A3A85"/>
    <w:rsid w:val="007A5A9D"/>
    <w:rsid w:val="007B0476"/>
    <w:rsid w:val="007B12CA"/>
    <w:rsid w:val="007B1435"/>
    <w:rsid w:val="007B32F8"/>
    <w:rsid w:val="007B37AB"/>
    <w:rsid w:val="007B69B1"/>
    <w:rsid w:val="007B6B17"/>
    <w:rsid w:val="007B7428"/>
    <w:rsid w:val="007C09A5"/>
    <w:rsid w:val="007C26AD"/>
    <w:rsid w:val="007C39FA"/>
    <w:rsid w:val="007C5C09"/>
    <w:rsid w:val="007C6EA0"/>
    <w:rsid w:val="007C7444"/>
    <w:rsid w:val="007D2D21"/>
    <w:rsid w:val="007D3224"/>
    <w:rsid w:val="007D3CAB"/>
    <w:rsid w:val="007D4B16"/>
    <w:rsid w:val="007D4B3C"/>
    <w:rsid w:val="007D4D3B"/>
    <w:rsid w:val="007D511D"/>
    <w:rsid w:val="007D62E6"/>
    <w:rsid w:val="007D6683"/>
    <w:rsid w:val="007E2F2C"/>
    <w:rsid w:val="007E519A"/>
    <w:rsid w:val="007E5DDB"/>
    <w:rsid w:val="007E66F4"/>
    <w:rsid w:val="007E6721"/>
    <w:rsid w:val="007F1DAB"/>
    <w:rsid w:val="007F2A36"/>
    <w:rsid w:val="007F3427"/>
    <w:rsid w:val="007F37BC"/>
    <w:rsid w:val="007F4799"/>
    <w:rsid w:val="00801758"/>
    <w:rsid w:val="00803A20"/>
    <w:rsid w:val="00806B27"/>
    <w:rsid w:val="008076C4"/>
    <w:rsid w:val="00812AF6"/>
    <w:rsid w:val="0081400E"/>
    <w:rsid w:val="00816432"/>
    <w:rsid w:val="00817385"/>
    <w:rsid w:val="00821393"/>
    <w:rsid w:val="00824EC5"/>
    <w:rsid w:val="00826544"/>
    <w:rsid w:val="0083153F"/>
    <w:rsid w:val="00831DCF"/>
    <w:rsid w:val="00831FD5"/>
    <w:rsid w:val="0083260D"/>
    <w:rsid w:val="008334EC"/>
    <w:rsid w:val="00833F02"/>
    <w:rsid w:val="00837BA6"/>
    <w:rsid w:val="00841293"/>
    <w:rsid w:val="00841AFF"/>
    <w:rsid w:val="00844AFC"/>
    <w:rsid w:val="00850EDB"/>
    <w:rsid w:val="0085122C"/>
    <w:rsid w:val="00851754"/>
    <w:rsid w:val="008549F7"/>
    <w:rsid w:val="0086473A"/>
    <w:rsid w:val="008649DB"/>
    <w:rsid w:val="00867274"/>
    <w:rsid w:val="008720A6"/>
    <w:rsid w:val="00873734"/>
    <w:rsid w:val="0087425A"/>
    <w:rsid w:val="0087580E"/>
    <w:rsid w:val="00875973"/>
    <w:rsid w:val="0088012B"/>
    <w:rsid w:val="0088676D"/>
    <w:rsid w:val="008867F4"/>
    <w:rsid w:val="008870B1"/>
    <w:rsid w:val="008903BE"/>
    <w:rsid w:val="008926C3"/>
    <w:rsid w:val="00892C6B"/>
    <w:rsid w:val="00893996"/>
    <w:rsid w:val="008939C6"/>
    <w:rsid w:val="008939F8"/>
    <w:rsid w:val="00894FC9"/>
    <w:rsid w:val="0089768F"/>
    <w:rsid w:val="008A1196"/>
    <w:rsid w:val="008A1213"/>
    <w:rsid w:val="008A1C37"/>
    <w:rsid w:val="008A7C7F"/>
    <w:rsid w:val="008B02C6"/>
    <w:rsid w:val="008B09D3"/>
    <w:rsid w:val="008B6C77"/>
    <w:rsid w:val="008B6D34"/>
    <w:rsid w:val="008B7D3E"/>
    <w:rsid w:val="008C0602"/>
    <w:rsid w:val="008C0F05"/>
    <w:rsid w:val="008C1208"/>
    <w:rsid w:val="008C3F17"/>
    <w:rsid w:val="008C7ADC"/>
    <w:rsid w:val="008D0146"/>
    <w:rsid w:val="008D1492"/>
    <w:rsid w:val="008D191F"/>
    <w:rsid w:val="008D2AA9"/>
    <w:rsid w:val="008D2C0F"/>
    <w:rsid w:val="008D311C"/>
    <w:rsid w:val="008D7768"/>
    <w:rsid w:val="008D783B"/>
    <w:rsid w:val="008D7880"/>
    <w:rsid w:val="008E069D"/>
    <w:rsid w:val="008E3269"/>
    <w:rsid w:val="008F1DF2"/>
    <w:rsid w:val="008F269D"/>
    <w:rsid w:val="008F4C7B"/>
    <w:rsid w:val="009005C9"/>
    <w:rsid w:val="00905D8A"/>
    <w:rsid w:val="00905DC4"/>
    <w:rsid w:val="00911702"/>
    <w:rsid w:val="009168DE"/>
    <w:rsid w:val="009249ED"/>
    <w:rsid w:val="00924ED3"/>
    <w:rsid w:val="0092589C"/>
    <w:rsid w:val="00926311"/>
    <w:rsid w:val="00926A31"/>
    <w:rsid w:val="00927624"/>
    <w:rsid w:val="00931AE0"/>
    <w:rsid w:val="0093724C"/>
    <w:rsid w:val="00937670"/>
    <w:rsid w:val="0094215A"/>
    <w:rsid w:val="0094360D"/>
    <w:rsid w:val="00944D57"/>
    <w:rsid w:val="00952235"/>
    <w:rsid w:val="009546E8"/>
    <w:rsid w:val="009560A1"/>
    <w:rsid w:val="0096516C"/>
    <w:rsid w:val="00972F90"/>
    <w:rsid w:val="00973883"/>
    <w:rsid w:val="00980C67"/>
    <w:rsid w:val="00980DF9"/>
    <w:rsid w:val="00983C7D"/>
    <w:rsid w:val="00984AF2"/>
    <w:rsid w:val="00987A48"/>
    <w:rsid w:val="009917C6"/>
    <w:rsid w:val="00991A89"/>
    <w:rsid w:val="00992C24"/>
    <w:rsid w:val="00997F3C"/>
    <w:rsid w:val="009A0D85"/>
    <w:rsid w:val="009A1D0F"/>
    <w:rsid w:val="009A6A2B"/>
    <w:rsid w:val="009A76B5"/>
    <w:rsid w:val="009B01ED"/>
    <w:rsid w:val="009B596B"/>
    <w:rsid w:val="009B5D63"/>
    <w:rsid w:val="009B65FD"/>
    <w:rsid w:val="009B6799"/>
    <w:rsid w:val="009B7770"/>
    <w:rsid w:val="009C2478"/>
    <w:rsid w:val="009C31AA"/>
    <w:rsid w:val="009C5837"/>
    <w:rsid w:val="009D15CA"/>
    <w:rsid w:val="009D180C"/>
    <w:rsid w:val="009D3BEB"/>
    <w:rsid w:val="009D63FA"/>
    <w:rsid w:val="009D6471"/>
    <w:rsid w:val="009D6CFA"/>
    <w:rsid w:val="009D726B"/>
    <w:rsid w:val="009E02A4"/>
    <w:rsid w:val="009E11B7"/>
    <w:rsid w:val="009E644E"/>
    <w:rsid w:val="009E6816"/>
    <w:rsid w:val="009E7140"/>
    <w:rsid w:val="009F1A55"/>
    <w:rsid w:val="009F2C23"/>
    <w:rsid w:val="009F2EBA"/>
    <w:rsid w:val="009F42E7"/>
    <w:rsid w:val="00A01ABF"/>
    <w:rsid w:val="00A03D0B"/>
    <w:rsid w:val="00A05091"/>
    <w:rsid w:val="00A05B16"/>
    <w:rsid w:val="00A05B62"/>
    <w:rsid w:val="00A074C9"/>
    <w:rsid w:val="00A10493"/>
    <w:rsid w:val="00A1413C"/>
    <w:rsid w:val="00A1508A"/>
    <w:rsid w:val="00A16D71"/>
    <w:rsid w:val="00A24E3D"/>
    <w:rsid w:val="00A30BA2"/>
    <w:rsid w:val="00A33259"/>
    <w:rsid w:val="00A353F5"/>
    <w:rsid w:val="00A360E4"/>
    <w:rsid w:val="00A40FAF"/>
    <w:rsid w:val="00A4325A"/>
    <w:rsid w:val="00A43A63"/>
    <w:rsid w:val="00A43CFD"/>
    <w:rsid w:val="00A44CA8"/>
    <w:rsid w:val="00A515C0"/>
    <w:rsid w:val="00A52D05"/>
    <w:rsid w:val="00A56E7C"/>
    <w:rsid w:val="00A5776E"/>
    <w:rsid w:val="00A61308"/>
    <w:rsid w:val="00A6142F"/>
    <w:rsid w:val="00A6293B"/>
    <w:rsid w:val="00A63F82"/>
    <w:rsid w:val="00A6405E"/>
    <w:rsid w:val="00A64A80"/>
    <w:rsid w:val="00A651FB"/>
    <w:rsid w:val="00A701B2"/>
    <w:rsid w:val="00A70B50"/>
    <w:rsid w:val="00A70C82"/>
    <w:rsid w:val="00A70D9D"/>
    <w:rsid w:val="00A712C9"/>
    <w:rsid w:val="00A71A02"/>
    <w:rsid w:val="00A7631D"/>
    <w:rsid w:val="00A8049D"/>
    <w:rsid w:val="00A829C9"/>
    <w:rsid w:val="00A8512B"/>
    <w:rsid w:val="00A97E47"/>
    <w:rsid w:val="00A97E95"/>
    <w:rsid w:val="00AA1FEA"/>
    <w:rsid w:val="00AA3647"/>
    <w:rsid w:val="00AA550C"/>
    <w:rsid w:val="00AB27FF"/>
    <w:rsid w:val="00AB3080"/>
    <w:rsid w:val="00AB30BF"/>
    <w:rsid w:val="00AB5773"/>
    <w:rsid w:val="00AB7488"/>
    <w:rsid w:val="00AC0AD2"/>
    <w:rsid w:val="00AC0EAA"/>
    <w:rsid w:val="00AC1745"/>
    <w:rsid w:val="00AC2178"/>
    <w:rsid w:val="00AC3043"/>
    <w:rsid w:val="00AC6372"/>
    <w:rsid w:val="00AC70D0"/>
    <w:rsid w:val="00AD2A52"/>
    <w:rsid w:val="00AD2E63"/>
    <w:rsid w:val="00AD303E"/>
    <w:rsid w:val="00AE42AC"/>
    <w:rsid w:val="00AE516C"/>
    <w:rsid w:val="00AE5238"/>
    <w:rsid w:val="00AF011C"/>
    <w:rsid w:val="00AF14D5"/>
    <w:rsid w:val="00AF2C9F"/>
    <w:rsid w:val="00AF484A"/>
    <w:rsid w:val="00AF5443"/>
    <w:rsid w:val="00AF7886"/>
    <w:rsid w:val="00B00A12"/>
    <w:rsid w:val="00B03B5B"/>
    <w:rsid w:val="00B10354"/>
    <w:rsid w:val="00B119C3"/>
    <w:rsid w:val="00B12723"/>
    <w:rsid w:val="00B13BF6"/>
    <w:rsid w:val="00B15298"/>
    <w:rsid w:val="00B23563"/>
    <w:rsid w:val="00B24EB4"/>
    <w:rsid w:val="00B25268"/>
    <w:rsid w:val="00B25277"/>
    <w:rsid w:val="00B25E2C"/>
    <w:rsid w:val="00B311DE"/>
    <w:rsid w:val="00B3236F"/>
    <w:rsid w:val="00B343F4"/>
    <w:rsid w:val="00B347D7"/>
    <w:rsid w:val="00B35478"/>
    <w:rsid w:val="00B35A8D"/>
    <w:rsid w:val="00B35E95"/>
    <w:rsid w:val="00B376C2"/>
    <w:rsid w:val="00B449AE"/>
    <w:rsid w:val="00B50DCB"/>
    <w:rsid w:val="00B52EA2"/>
    <w:rsid w:val="00B53CFB"/>
    <w:rsid w:val="00B5469B"/>
    <w:rsid w:val="00B546AF"/>
    <w:rsid w:val="00B5609C"/>
    <w:rsid w:val="00B56470"/>
    <w:rsid w:val="00B5720D"/>
    <w:rsid w:val="00B602A4"/>
    <w:rsid w:val="00B6483A"/>
    <w:rsid w:val="00B70ED1"/>
    <w:rsid w:val="00B72F23"/>
    <w:rsid w:val="00B745F5"/>
    <w:rsid w:val="00B76B09"/>
    <w:rsid w:val="00B815E9"/>
    <w:rsid w:val="00B84ED5"/>
    <w:rsid w:val="00B86F31"/>
    <w:rsid w:val="00B91768"/>
    <w:rsid w:val="00B92C79"/>
    <w:rsid w:val="00B94AAE"/>
    <w:rsid w:val="00B94F5E"/>
    <w:rsid w:val="00B95A08"/>
    <w:rsid w:val="00BA0E50"/>
    <w:rsid w:val="00BA3006"/>
    <w:rsid w:val="00BA3208"/>
    <w:rsid w:val="00BA43E5"/>
    <w:rsid w:val="00BA5274"/>
    <w:rsid w:val="00BA6F96"/>
    <w:rsid w:val="00BA7C14"/>
    <w:rsid w:val="00BB193C"/>
    <w:rsid w:val="00BB5C58"/>
    <w:rsid w:val="00BB7E20"/>
    <w:rsid w:val="00BC0C5C"/>
    <w:rsid w:val="00BC0D82"/>
    <w:rsid w:val="00BC4F9D"/>
    <w:rsid w:val="00BD1AF3"/>
    <w:rsid w:val="00BD1D2C"/>
    <w:rsid w:val="00BD280A"/>
    <w:rsid w:val="00BE203E"/>
    <w:rsid w:val="00BE551C"/>
    <w:rsid w:val="00BF2B9F"/>
    <w:rsid w:val="00BF7B63"/>
    <w:rsid w:val="00C0053E"/>
    <w:rsid w:val="00C02524"/>
    <w:rsid w:val="00C04D54"/>
    <w:rsid w:val="00C0573C"/>
    <w:rsid w:val="00C05861"/>
    <w:rsid w:val="00C06595"/>
    <w:rsid w:val="00C12906"/>
    <w:rsid w:val="00C13FB1"/>
    <w:rsid w:val="00C14A14"/>
    <w:rsid w:val="00C16405"/>
    <w:rsid w:val="00C24255"/>
    <w:rsid w:val="00C24781"/>
    <w:rsid w:val="00C25C27"/>
    <w:rsid w:val="00C31F31"/>
    <w:rsid w:val="00C33FA2"/>
    <w:rsid w:val="00C361DA"/>
    <w:rsid w:val="00C36BC8"/>
    <w:rsid w:val="00C40984"/>
    <w:rsid w:val="00C41441"/>
    <w:rsid w:val="00C41CE0"/>
    <w:rsid w:val="00C429B7"/>
    <w:rsid w:val="00C4365F"/>
    <w:rsid w:val="00C44633"/>
    <w:rsid w:val="00C50729"/>
    <w:rsid w:val="00C5101C"/>
    <w:rsid w:val="00C529A7"/>
    <w:rsid w:val="00C5744F"/>
    <w:rsid w:val="00C57CAF"/>
    <w:rsid w:val="00C60EF9"/>
    <w:rsid w:val="00C62042"/>
    <w:rsid w:val="00C66E7A"/>
    <w:rsid w:val="00C7363A"/>
    <w:rsid w:val="00C762A2"/>
    <w:rsid w:val="00C77381"/>
    <w:rsid w:val="00C81CD6"/>
    <w:rsid w:val="00C86A87"/>
    <w:rsid w:val="00C86DC8"/>
    <w:rsid w:val="00C86DF6"/>
    <w:rsid w:val="00C8788E"/>
    <w:rsid w:val="00C93F0A"/>
    <w:rsid w:val="00C94697"/>
    <w:rsid w:val="00C9739E"/>
    <w:rsid w:val="00CA3E79"/>
    <w:rsid w:val="00CA4070"/>
    <w:rsid w:val="00CA50A0"/>
    <w:rsid w:val="00CA5EDD"/>
    <w:rsid w:val="00CA6621"/>
    <w:rsid w:val="00CB0E0D"/>
    <w:rsid w:val="00CB284F"/>
    <w:rsid w:val="00CB3BFD"/>
    <w:rsid w:val="00CB44E6"/>
    <w:rsid w:val="00CB581E"/>
    <w:rsid w:val="00CB71FE"/>
    <w:rsid w:val="00CB78DF"/>
    <w:rsid w:val="00CC349E"/>
    <w:rsid w:val="00CC6757"/>
    <w:rsid w:val="00CD049D"/>
    <w:rsid w:val="00CD0525"/>
    <w:rsid w:val="00CD3667"/>
    <w:rsid w:val="00CE58AB"/>
    <w:rsid w:val="00CE5D04"/>
    <w:rsid w:val="00CF21B3"/>
    <w:rsid w:val="00CF4756"/>
    <w:rsid w:val="00CF79A0"/>
    <w:rsid w:val="00D03EB2"/>
    <w:rsid w:val="00D05F77"/>
    <w:rsid w:val="00D0681E"/>
    <w:rsid w:val="00D07882"/>
    <w:rsid w:val="00D13EDA"/>
    <w:rsid w:val="00D24630"/>
    <w:rsid w:val="00D31309"/>
    <w:rsid w:val="00D32A2F"/>
    <w:rsid w:val="00D34194"/>
    <w:rsid w:val="00D36943"/>
    <w:rsid w:val="00D419B9"/>
    <w:rsid w:val="00D47E8A"/>
    <w:rsid w:val="00D500EA"/>
    <w:rsid w:val="00D5114D"/>
    <w:rsid w:val="00D511DB"/>
    <w:rsid w:val="00D51BD6"/>
    <w:rsid w:val="00D62467"/>
    <w:rsid w:val="00D626D6"/>
    <w:rsid w:val="00D63759"/>
    <w:rsid w:val="00D64354"/>
    <w:rsid w:val="00D70A42"/>
    <w:rsid w:val="00D75846"/>
    <w:rsid w:val="00D77A0C"/>
    <w:rsid w:val="00D81886"/>
    <w:rsid w:val="00D829BB"/>
    <w:rsid w:val="00D83914"/>
    <w:rsid w:val="00D842CE"/>
    <w:rsid w:val="00D84763"/>
    <w:rsid w:val="00D85283"/>
    <w:rsid w:val="00D85A7F"/>
    <w:rsid w:val="00D865A2"/>
    <w:rsid w:val="00D86EC9"/>
    <w:rsid w:val="00D871E5"/>
    <w:rsid w:val="00D87AB2"/>
    <w:rsid w:val="00D87C58"/>
    <w:rsid w:val="00D939AB"/>
    <w:rsid w:val="00D941E1"/>
    <w:rsid w:val="00DA2BF3"/>
    <w:rsid w:val="00DA42A8"/>
    <w:rsid w:val="00DA60AC"/>
    <w:rsid w:val="00DA64B9"/>
    <w:rsid w:val="00DB0016"/>
    <w:rsid w:val="00DB06BF"/>
    <w:rsid w:val="00DB1861"/>
    <w:rsid w:val="00DB223F"/>
    <w:rsid w:val="00DB25E6"/>
    <w:rsid w:val="00DB2CB9"/>
    <w:rsid w:val="00DB49AB"/>
    <w:rsid w:val="00DB4CCA"/>
    <w:rsid w:val="00DC07B5"/>
    <w:rsid w:val="00DC39B8"/>
    <w:rsid w:val="00DC4552"/>
    <w:rsid w:val="00DC4F6C"/>
    <w:rsid w:val="00DC601F"/>
    <w:rsid w:val="00DD1DB4"/>
    <w:rsid w:val="00DD38F9"/>
    <w:rsid w:val="00DD4045"/>
    <w:rsid w:val="00DD5864"/>
    <w:rsid w:val="00DD7861"/>
    <w:rsid w:val="00DD7E57"/>
    <w:rsid w:val="00DE066F"/>
    <w:rsid w:val="00DE4D13"/>
    <w:rsid w:val="00DE60DE"/>
    <w:rsid w:val="00DE6A78"/>
    <w:rsid w:val="00DF0DF3"/>
    <w:rsid w:val="00DF1203"/>
    <w:rsid w:val="00DF4625"/>
    <w:rsid w:val="00DF5026"/>
    <w:rsid w:val="00DF6813"/>
    <w:rsid w:val="00E0287C"/>
    <w:rsid w:val="00E02B8D"/>
    <w:rsid w:val="00E03CAF"/>
    <w:rsid w:val="00E10A01"/>
    <w:rsid w:val="00E128C8"/>
    <w:rsid w:val="00E14695"/>
    <w:rsid w:val="00E16CBC"/>
    <w:rsid w:val="00E17608"/>
    <w:rsid w:val="00E25B5E"/>
    <w:rsid w:val="00E261C8"/>
    <w:rsid w:val="00E26FD7"/>
    <w:rsid w:val="00E27127"/>
    <w:rsid w:val="00E27B6F"/>
    <w:rsid w:val="00E27D9B"/>
    <w:rsid w:val="00E30119"/>
    <w:rsid w:val="00E32017"/>
    <w:rsid w:val="00E34C69"/>
    <w:rsid w:val="00E36CB9"/>
    <w:rsid w:val="00E400C6"/>
    <w:rsid w:val="00E464FB"/>
    <w:rsid w:val="00E465EF"/>
    <w:rsid w:val="00E46A56"/>
    <w:rsid w:val="00E516CE"/>
    <w:rsid w:val="00E52E62"/>
    <w:rsid w:val="00E53C73"/>
    <w:rsid w:val="00E53DBC"/>
    <w:rsid w:val="00E5597E"/>
    <w:rsid w:val="00E55EA1"/>
    <w:rsid w:val="00E6199B"/>
    <w:rsid w:val="00E63379"/>
    <w:rsid w:val="00E66CDA"/>
    <w:rsid w:val="00E7011A"/>
    <w:rsid w:val="00E70875"/>
    <w:rsid w:val="00E711AA"/>
    <w:rsid w:val="00E71885"/>
    <w:rsid w:val="00E728B1"/>
    <w:rsid w:val="00E72982"/>
    <w:rsid w:val="00E73431"/>
    <w:rsid w:val="00E742A4"/>
    <w:rsid w:val="00E752D6"/>
    <w:rsid w:val="00E76201"/>
    <w:rsid w:val="00E7631B"/>
    <w:rsid w:val="00E76388"/>
    <w:rsid w:val="00E80DDA"/>
    <w:rsid w:val="00E82092"/>
    <w:rsid w:val="00E83154"/>
    <w:rsid w:val="00E83C71"/>
    <w:rsid w:val="00E84A59"/>
    <w:rsid w:val="00E9008F"/>
    <w:rsid w:val="00E910F9"/>
    <w:rsid w:val="00E917B4"/>
    <w:rsid w:val="00E92B5A"/>
    <w:rsid w:val="00E96FF8"/>
    <w:rsid w:val="00E97431"/>
    <w:rsid w:val="00EA0FF4"/>
    <w:rsid w:val="00EA1EBB"/>
    <w:rsid w:val="00EA6007"/>
    <w:rsid w:val="00EB0654"/>
    <w:rsid w:val="00EB20F4"/>
    <w:rsid w:val="00EB4A97"/>
    <w:rsid w:val="00EB5DC6"/>
    <w:rsid w:val="00EB6BC5"/>
    <w:rsid w:val="00EB6C7E"/>
    <w:rsid w:val="00EB7BE4"/>
    <w:rsid w:val="00EC1D40"/>
    <w:rsid w:val="00EC55C2"/>
    <w:rsid w:val="00EC67E4"/>
    <w:rsid w:val="00EC722E"/>
    <w:rsid w:val="00ED179B"/>
    <w:rsid w:val="00ED31CC"/>
    <w:rsid w:val="00ED3870"/>
    <w:rsid w:val="00ED48B9"/>
    <w:rsid w:val="00ED79AE"/>
    <w:rsid w:val="00EE1FBA"/>
    <w:rsid w:val="00EE21E5"/>
    <w:rsid w:val="00EE2BEA"/>
    <w:rsid w:val="00EE3535"/>
    <w:rsid w:val="00EE40F2"/>
    <w:rsid w:val="00EE4E40"/>
    <w:rsid w:val="00EE622B"/>
    <w:rsid w:val="00EF1034"/>
    <w:rsid w:val="00F0046C"/>
    <w:rsid w:val="00F0113B"/>
    <w:rsid w:val="00F0197B"/>
    <w:rsid w:val="00F05320"/>
    <w:rsid w:val="00F069A3"/>
    <w:rsid w:val="00F077FB"/>
    <w:rsid w:val="00F07C14"/>
    <w:rsid w:val="00F117FD"/>
    <w:rsid w:val="00F12A5C"/>
    <w:rsid w:val="00F14B08"/>
    <w:rsid w:val="00F22CF8"/>
    <w:rsid w:val="00F24B0C"/>
    <w:rsid w:val="00F259D9"/>
    <w:rsid w:val="00F263DA"/>
    <w:rsid w:val="00F26C4F"/>
    <w:rsid w:val="00F2791F"/>
    <w:rsid w:val="00F30B8A"/>
    <w:rsid w:val="00F313C4"/>
    <w:rsid w:val="00F31CD6"/>
    <w:rsid w:val="00F320EB"/>
    <w:rsid w:val="00F33334"/>
    <w:rsid w:val="00F33805"/>
    <w:rsid w:val="00F33F32"/>
    <w:rsid w:val="00F34816"/>
    <w:rsid w:val="00F36260"/>
    <w:rsid w:val="00F36462"/>
    <w:rsid w:val="00F40BEB"/>
    <w:rsid w:val="00F43ADA"/>
    <w:rsid w:val="00F44701"/>
    <w:rsid w:val="00F4559C"/>
    <w:rsid w:val="00F4573F"/>
    <w:rsid w:val="00F47CF9"/>
    <w:rsid w:val="00F540DE"/>
    <w:rsid w:val="00F573BB"/>
    <w:rsid w:val="00F62388"/>
    <w:rsid w:val="00F62545"/>
    <w:rsid w:val="00F63948"/>
    <w:rsid w:val="00F63DAA"/>
    <w:rsid w:val="00F63F02"/>
    <w:rsid w:val="00F6462C"/>
    <w:rsid w:val="00F64CA3"/>
    <w:rsid w:val="00F67CAC"/>
    <w:rsid w:val="00F71158"/>
    <w:rsid w:val="00F72BF4"/>
    <w:rsid w:val="00F742B4"/>
    <w:rsid w:val="00F76C24"/>
    <w:rsid w:val="00F86504"/>
    <w:rsid w:val="00F918A3"/>
    <w:rsid w:val="00F92214"/>
    <w:rsid w:val="00F93B13"/>
    <w:rsid w:val="00F93DAA"/>
    <w:rsid w:val="00F94F0C"/>
    <w:rsid w:val="00F966FB"/>
    <w:rsid w:val="00F977F6"/>
    <w:rsid w:val="00F97A39"/>
    <w:rsid w:val="00FA6DFC"/>
    <w:rsid w:val="00FA7838"/>
    <w:rsid w:val="00FB2FD0"/>
    <w:rsid w:val="00FB328D"/>
    <w:rsid w:val="00FB4F06"/>
    <w:rsid w:val="00FB53AA"/>
    <w:rsid w:val="00FB54D5"/>
    <w:rsid w:val="00FC053D"/>
    <w:rsid w:val="00FC0B23"/>
    <w:rsid w:val="00FC1C5B"/>
    <w:rsid w:val="00FC48E2"/>
    <w:rsid w:val="00FC4AFB"/>
    <w:rsid w:val="00FC5E53"/>
    <w:rsid w:val="00FC6B3C"/>
    <w:rsid w:val="00FC6C9B"/>
    <w:rsid w:val="00FD0150"/>
    <w:rsid w:val="00FD2F8C"/>
    <w:rsid w:val="00FD54FD"/>
    <w:rsid w:val="00FD599B"/>
    <w:rsid w:val="00FD6F74"/>
    <w:rsid w:val="00FE01BC"/>
    <w:rsid w:val="00FE3032"/>
    <w:rsid w:val="00FE3ED1"/>
    <w:rsid w:val="00FE77FD"/>
    <w:rsid w:val="00FF1DCC"/>
    <w:rsid w:val="00FF35F2"/>
    <w:rsid w:val="00FF5874"/>
    <w:rsid w:val="00FF625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6EBD8"/>
  <w15:chartTrackingRefBased/>
  <w15:docId w15:val="{5ABAFC67-945D-074D-95F3-3A7E1DD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847"/>
    <w:pPr>
      <w:spacing w:line="264" w:lineRule="auto"/>
    </w:pPr>
    <w:rPr>
      <w:rFonts w:ascii="Arial" w:hAnsi="Arial"/>
      <w:sz w:val="20"/>
      <w:lang w:val="en-US"/>
    </w:rPr>
  </w:style>
  <w:style w:type="paragraph" w:styleId="Heading1">
    <w:name w:val="heading 1"/>
    <w:next w:val="NTTBodyText"/>
    <w:link w:val="Heading1Char"/>
    <w:qFormat/>
    <w:rsid w:val="00507AF6"/>
    <w:pPr>
      <w:keepNext/>
      <w:pageBreakBefore/>
      <w:numPr>
        <w:numId w:val="23"/>
      </w:numPr>
      <w:tabs>
        <w:tab w:val="clear" w:pos="850"/>
      </w:tabs>
      <w:spacing w:before="480" w:after="360" w:line="264" w:lineRule="auto"/>
      <w:outlineLvl w:val="0"/>
    </w:pPr>
    <w:rPr>
      <w:rFonts w:ascii="Georgia" w:eastAsia="Times New Roman" w:hAnsi="Georgia" w:cs="Arial"/>
      <w:bCs/>
      <w:color w:val="0072BC"/>
      <w:kern w:val="32"/>
      <w:sz w:val="40"/>
      <w:szCs w:val="40"/>
      <w:lang w:val="en-GB"/>
      <w14:ligatures w14:val="none"/>
    </w:rPr>
  </w:style>
  <w:style w:type="paragraph" w:styleId="Heading2">
    <w:name w:val="heading 2"/>
    <w:basedOn w:val="Heading1"/>
    <w:next w:val="NTTBodyText"/>
    <w:link w:val="Heading2Char"/>
    <w:unhideWhenUsed/>
    <w:qFormat/>
    <w:rsid w:val="00105F87"/>
    <w:pPr>
      <w:pageBreakBefore w:val="0"/>
      <w:numPr>
        <w:ilvl w:val="1"/>
      </w:numPr>
      <w:spacing w:before="360" w:after="120"/>
      <w:ind w:left="851" w:hanging="851"/>
      <w:outlineLvl w:val="1"/>
    </w:pPr>
    <w:rPr>
      <w:rFonts w:asciiTheme="majorHAnsi" w:hAnsiTheme="majorHAnsi"/>
      <w:b/>
      <w:iCs/>
      <w:color w:val="2E404D" w:themeColor="text1"/>
      <w:kern w:val="24"/>
      <w:sz w:val="28"/>
      <w:szCs w:val="22"/>
    </w:rPr>
  </w:style>
  <w:style w:type="paragraph" w:styleId="Heading3">
    <w:name w:val="heading 3"/>
    <w:basedOn w:val="Heading2"/>
    <w:next w:val="NTTBodyText"/>
    <w:link w:val="Heading3Char"/>
    <w:unhideWhenUsed/>
    <w:qFormat/>
    <w:rsid w:val="00C12906"/>
    <w:pPr>
      <w:numPr>
        <w:ilvl w:val="2"/>
      </w:numPr>
      <w:ind w:left="851" w:hanging="851"/>
      <w:outlineLvl w:val="2"/>
    </w:pPr>
    <w:rPr>
      <w:b w:val="0"/>
      <w:bCs w:val="0"/>
      <w:iCs w:val="0"/>
      <w:kern w:val="22"/>
    </w:rPr>
  </w:style>
  <w:style w:type="paragraph" w:styleId="Heading4">
    <w:name w:val="heading 4"/>
    <w:basedOn w:val="Heading3"/>
    <w:next w:val="NTTBodyText"/>
    <w:link w:val="Heading4Char"/>
    <w:unhideWhenUsed/>
    <w:qFormat/>
    <w:rsid w:val="00E03CAF"/>
    <w:pPr>
      <w:numPr>
        <w:ilvl w:val="0"/>
        <w:numId w:val="0"/>
      </w:numPr>
      <w:spacing w:before="240"/>
      <w:outlineLvl w:val="3"/>
    </w:pPr>
    <w:rPr>
      <w:b/>
      <w:iCs/>
      <w:color w:val="0072BC" w:themeColor="accent2"/>
      <w:kern w:val="20"/>
      <w:sz w:val="24"/>
    </w:rPr>
  </w:style>
  <w:style w:type="paragraph" w:styleId="Heading5">
    <w:name w:val="heading 5"/>
    <w:basedOn w:val="Heading4"/>
    <w:next w:val="NTTBodyText"/>
    <w:link w:val="Heading5Char"/>
    <w:unhideWhenUsed/>
    <w:qFormat/>
    <w:rsid w:val="00E03CAF"/>
    <w:pPr>
      <w:numPr>
        <w:ilvl w:val="4"/>
      </w:numPr>
      <w:outlineLvl w:val="4"/>
    </w:pPr>
    <w:rPr>
      <w:b w:val="0"/>
      <w:bCs/>
      <w:iCs w:val="0"/>
    </w:rPr>
  </w:style>
  <w:style w:type="paragraph" w:styleId="Heading6">
    <w:name w:val="heading 6"/>
    <w:basedOn w:val="Heading5"/>
    <w:next w:val="NTTBodyText"/>
    <w:link w:val="Heading6Char"/>
    <w:uiPriority w:val="99"/>
    <w:unhideWhenUsed/>
    <w:qFormat/>
    <w:rsid w:val="00522EF9"/>
    <w:pPr>
      <w:numPr>
        <w:ilvl w:val="5"/>
      </w:numPr>
      <w:outlineLvl w:val="5"/>
    </w:pPr>
    <w:rPr>
      <w:b/>
      <w:bCs w:val="0"/>
      <w:sz w:val="22"/>
    </w:rPr>
  </w:style>
  <w:style w:type="paragraph" w:styleId="Heading7">
    <w:name w:val="heading 7"/>
    <w:basedOn w:val="Heading6"/>
    <w:next w:val="NTTBodyText"/>
    <w:link w:val="Heading7Char"/>
    <w:uiPriority w:val="99"/>
    <w:unhideWhenUsed/>
    <w:rsid w:val="00522EF9"/>
    <w:pPr>
      <w:numPr>
        <w:ilvl w:val="6"/>
      </w:numPr>
      <w:outlineLvl w:val="6"/>
    </w:pPr>
    <w:rPr>
      <w:b w:val="0"/>
    </w:rPr>
  </w:style>
  <w:style w:type="paragraph" w:styleId="Heading8">
    <w:name w:val="heading 8"/>
    <w:basedOn w:val="Heading7"/>
    <w:next w:val="NTTBodyText"/>
    <w:link w:val="Heading8Char"/>
    <w:uiPriority w:val="99"/>
    <w:unhideWhenUsed/>
    <w:rsid w:val="00522EF9"/>
    <w:pPr>
      <w:numPr>
        <w:ilvl w:val="7"/>
      </w:numPr>
      <w:outlineLvl w:val="7"/>
    </w:pPr>
    <w:rPr>
      <w:b/>
      <w:iCs/>
      <w:sz w:val="21"/>
    </w:rPr>
  </w:style>
  <w:style w:type="paragraph" w:styleId="Heading9">
    <w:name w:val="heading 9"/>
    <w:basedOn w:val="Heading8"/>
    <w:next w:val="NTTBodyText"/>
    <w:link w:val="Heading9Char"/>
    <w:uiPriority w:val="99"/>
    <w:unhideWhenUsed/>
    <w:rsid w:val="00522EF9"/>
    <w:pPr>
      <w:numPr>
        <w:ilvl w:val="8"/>
      </w:numPr>
      <w:outlineLvl w:val="8"/>
    </w:pPr>
    <w:rPr>
      <w:b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2A2"/>
    <w:pPr>
      <w:numPr>
        <w:numId w:val="1"/>
      </w:numPr>
      <w:ind w:left="426" w:hanging="426"/>
      <w:contextualSpacing/>
    </w:pPr>
    <w:rPr>
      <w:color w:val="2E404D" w:themeColor="text1"/>
    </w:rPr>
  </w:style>
  <w:style w:type="character" w:customStyle="1" w:styleId="Heading1Char">
    <w:name w:val="Heading 1 Char"/>
    <w:basedOn w:val="DefaultParagraphFont"/>
    <w:link w:val="Heading1"/>
    <w:rsid w:val="00507AF6"/>
    <w:rPr>
      <w:rFonts w:ascii="Georgia" w:eastAsia="Times New Roman" w:hAnsi="Georgia" w:cs="Arial"/>
      <w:bCs/>
      <w:color w:val="0072BC"/>
      <w:kern w:val="32"/>
      <w:sz w:val="40"/>
      <w:szCs w:val="40"/>
      <w:lang w:val="en-GB"/>
      <w14:ligatures w14:val="none"/>
    </w:rPr>
  </w:style>
  <w:style w:type="paragraph" w:styleId="Header">
    <w:name w:val="header"/>
    <w:basedOn w:val="Normal"/>
    <w:link w:val="HeaderChar"/>
    <w:uiPriority w:val="99"/>
    <w:unhideWhenUsed/>
    <w:rsid w:val="00490E94"/>
    <w:pPr>
      <w:tabs>
        <w:tab w:val="center" w:pos="4513"/>
        <w:tab w:val="right" w:pos="9026"/>
      </w:tabs>
      <w:ind w:right="2835"/>
    </w:pPr>
    <w:rPr>
      <w:sz w:val="16"/>
    </w:rPr>
  </w:style>
  <w:style w:type="character" w:customStyle="1" w:styleId="HeaderChar">
    <w:name w:val="Header Char"/>
    <w:basedOn w:val="DefaultParagraphFont"/>
    <w:link w:val="Header"/>
    <w:uiPriority w:val="99"/>
    <w:rsid w:val="00490E94"/>
    <w:rPr>
      <w:rFonts w:ascii="Arial" w:hAnsi="Arial"/>
      <w:sz w:val="16"/>
      <w:lang w:val="en-US"/>
    </w:rPr>
  </w:style>
  <w:style w:type="paragraph" w:styleId="Footer">
    <w:name w:val="footer"/>
    <w:basedOn w:val="Normal"/>
    <w:link w:val="FooterChar"/>
    <w:uiPriority w:val="99"/>
    <w:unhideWhenUsed/>
    <w:rsid w:val="00762711"/>
    <w:pPr>
      <w:tabs>
        <w:tab w:val="center" w:pos="4513"/>
        <w:tab w:val="right" w:pos="9026"/>
      </w:tabs>
    </w:pPr>
    <w:rPr>
      <w:sz w:val="16"/>
    </w:rPr>
  </w:style>
  <w:style w:type="character" w:customStyle="1" w:styleId="FooterChar">
    <w:name w:val="Footer Char"/>
    <w:basedOn w:val="DefaultParagraphFont"/>
    <w:link w:val="Footer"/>
    <w:uiPriority w:val="99"/>
    <w:rsid w:val="00762711"/>
    <w:rPr>
      <w:rFonts w:ascii="Arial" w:hAnsi="Arial"/>
      <w:sz w:val="16"/>
      <w:lang w:val="en-US"/>
    </w:rPr>
  </w:style>
  <w:style w:type="character" w:customStyle="1" w:styleId="Heading2Char">
    <w:name w:val="Heading 2 Char"/>
    <w:basedOn w:val="DefaultParagraphFont"/>
    <w:link w:val="Heading2"/>
    <w:rsid w:val="00105F87"/>
    <w:rPr>
      <w:rFonts w:asciiTheme="majorHAnsi" w:eastAsia="Times New Roman" w:hAnsiTheme="majorHAnsi" w:cs="Arial"/>
      <w:b/>
      <w:bCs/>
      <w:iCs/>
      <w:color w:val="2E404D" w:themeColor="text1"/>
      <w:kern w:val="24"/>
      <w:sz w:val="28"/>
      <w:szCs w:val="22"/>
      <w:lang w:val="en-GB"/>
      <w14:ligatures w14:val="none"/>
    </w:rPr>
  </w:style>
  <w:style w:type="character" w:customStyle="1" w:styleId="Heading3Char">
    <w:name w:val="Heading 3 Char"/>
    <w:basedOn w:val="DefaultParagraphFont"/>
    <w:link w:val="Heading3"/>
    <w:rsid w:val="00C12906"/>
    <w:rPr>
      <w:rFonts w:asciiTheme="majorHAnsi" w:eastAsia="Times New Roman" w:hAnsiTheme="majorHAnsi" w:cs="Arial"/>
      <w:color w:val="2E404D" w:themeColor="text1"/>
      <w:kern w:val="22"/>
      <w:sz w:val="28"/>
      <w:szCs w:val="22"/>
      <w:lang w:val="en-GB"/>
      <w14:ligatures w14:val="none"/>
    </w:rPr>
  </w:style>
  <w:style w:type="paragraph" w:customStyle="1" w:styleId="Bullet">
    <w:name w:val="Bullet"/>
    <w:basedOn w:val="NTTFlushBullet1"/>
    <w:qFormat/>
    <w:rsid w:val="00E728B1"/>
  </w:style>
  <w:style w:type="paragraph" w:styleId="NoSpacing">
    <w:name w:val="No Spacing"/>
    <w:uiPriority w:val="1"/>
    <w:qFormat/>
    <w:rsid w:val="003D3A54"/>
    <w:pPr>
      <w:spacing w:line="264" w:lineRule="auto"/>
    </w:pPr>
    <w:rPr>
      <w:rFonts w:ascii="Arial" w:hAnsi="Arial"/>
      <w:color w:val="2E404D" w:themeColor="text1"/>
      <w:sz w:val="20"/>
      <w:lang w:val="en-US"/>
    </w:rPr>
  </w:style>
  <w:style w:type="character" w:customStyle="1" w:styleId="Heading4Char">
    <w:name w:val="Heading 4 Char"/>
    <w:basedOn w:val="DefaultParagraphFont"/>
    <w:link w:val="Heading4"/>
    <w:rsid w:val="00E03CAF"/>
    <w:rPr>
      <w:rFonts w:asciiTheme="majorHAnsi" w:eastAsia="Times New Roman" w:hAnsiTheme="majorHAnsi" w:cs="Arial"/>
      <w:b/>
      <w:iCs/>
      <w:color w:val="0072BC" w:themeColor="accent2"/>
      <w:kern w:val="20"/>
      <w:szCs w:val="22"/>
      <w:lang w:val="en-GB"/>
      <w14:ligatures w14:val="none"/>
    </w:rPr>
  </w:style>
  <w:style w:type="table" w:styleId="TableGrid">
    <w:name w:val="Table Grid"/>
    <w:basedOn w:val="TableNormal"/>
    <w:uiPriority w:val="39"/>
    <w:rsid w:val="00BE551C"/>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auto"/>
    </w:tcPr>
    <w:tblStylePr w:type="firstRow">
      <w:rPr>
        <w:b/>
      </w:rPr>
    </w:tblStylePr>
    <w:tblStylePr w:type="firstCol">
      <w:rPr>
        <w:b/>
      </w:rPr>
    </w:tblStylePr>
  </w:style>
  <w:style w:type="character" w:customStyle="1" w:styleId="Heading5Char">
    <w:name w:val="Heading 5 Char"/>
    <w:basedOn w:val="DefaultParagraphFont"/>
    <w:link w:val="Heading5"/>
    <w:rsid w:val="00E03CAF"/>
    <w:rPr>
      <w:rFonts w:asciiTheme="majorHAnsi" w:eastAsia="Times New Roman" w:hAnsiTheme="majorHAnsi" w:cs="Arial"/>
      <w:bCs/>
      <w:color w:val="0072BC" w:themeColor="accent2"/>
      <w:kern w:val="20"/>
      <w:szCs w:val="22"/>
      <w:lang w:val="en-GB"/>
      <w14:ligatures w14:val="none"/>
    </w:rPr>
  </w:style>
  <w:style w:type="paragraph" w:styleId="Subtitle">
    <w:name w:val="Subtitle"/>
    <w:basedOn w:val="Normal"/>
    <w:next w:val="Normal"/>
    <w:link w:val="SubtitleChar"/>
    <w:uiPriority w:val="11"/>
    <w:qFormat/>
    <w:rsid w:val="00C24255"/>
    <w:pPr>
      <w:spacing w:before="240" w:after="120"/>
    </w:pPr>
    <w:rPr>
      <w:sz w:val="28"/>
      <w:szCs w:val="32"/>
    </w:rPr>
  </w:style>
  <w:style w:type="character" w:customStyle="1" w:styleId="SubtitleChar">
    <w:name w:val="Subtitle Char"/>
    <w:basedOn w:val="DefaultParagraphFont"/>
    <w:link w:val="Subtitle"/>
    <w:uiPriority w:val="11"/>
    <w:rsid w:val="00C24255"/>
    <w:rPr>
      <w:rFonts w:ascii="Arial" w:hAnsi="Arial"/>
      <w:color w:val="2E404D" w:themeColor="text1"/>
      <w:sz w:val="28"/>
      <w:szCs w:val="32"/>
      <w:lang w:val="en-US"/>
    </w:rPr>
  </w:style>
  <w:style w:type="paragraph" w:styleId="Title">
    <w:name w:val="Title"/>
    <w:basedOn w:val="Normal"/>
    <w:next w:val="Normal"/>
    <w:link w:val="TitleChar"/>
    <w:uiPriority w:val="10"/>
    <w:qFormat/>
    <w:rsid w:val="00B86F31"/>
    <w:pPr>
      <w:spacing w:before="120" w:after="120"/>
      <w:contextualSpacing/>
      <w:outlineLvl w:val="0"/>
    </w:pPr>
    <w:rPr>
      <w:rFonts w:ascii="Georgia" w:eastAsiaTheme="majorEastAsia" w:hAnsi="Georgia" w:cstheme="majorBidi"/>
      <w:color w:val="0072BC" w:themeColor="accent2"/>
      <w:kern w:val="28"/>
      <w:sz w:val="68"/>
      <w:szCs w:val="64"/>
    </w:rPr>
  </w:style>
  <w:style w:type="paragraph" w:customStyle="1" w:styleId="AppendixHeading1">
    <w:name w:val="Appendix Heading 1"/>
    <w:next w:val="Normal"/>
    <w:uiPriority w:val="5"/>
    <w:qFormat/>
    <w:rsid w:val="007852AB"/>
    <w:pPr>
      <w:keepNext/>
      <w:keepLines/>
      <w:pageBreakBefore/>
      <w:numPr>
        <w:numId w:val="4"/>
      </w:numPr>
      <w:spacing w:after="360" w:line="264" w:lineRule="auto"/>
      <w:ind w:left="1701" w:hanging="1701"/>
      <w:outlineLvl w:val="0"/>
    </w:pPr>
    <w:rPr>
      <w:rFonts w:ascii="Georgia" w:eastAsia="Times New Roman" w:hAnsi="Georgia" w:cs="Arial"/>
      <w:bCs/>
      <w:color w:val="0072BC" w:themeColor="accent2"/>
      <w:kern w:val="28"/>
      <w:sz w:val="40"/>
      <w:szCs w:val="20"/>
      <w:lang w:val="en-GB"/>
      <w14:ligatures w14:val="none"/>
    </w:rPr>
  </w:style>
  <w:style w:type="paragraph" w:styleId="TOC1">
    <w:name w:val="toc 1"/>
    <w:basedOn w:val="Normal"/>
    <w:next w:val="Normal"/>
    <w:autoRedefine/>
    <w:uiPriority w:val="39"/>
    <w:unhideWhenUsed/>
    <w:rsid w:val="004125F9"/>
    <w:pPr>
      <w:tabs>
        <w:tab w:val="left" w:pos="1418"/>
        <w:tab w:val="right" w:leader="dot" w:pos="9628"/>
      </w:tabs>
      <w:spacing w:before="360" w:after="100"/>
      <w:ind w:left="851" w:hanging="851"/>
    </w:pPr>
    <w:rPr>
      <w:rFonts w:asciiTheme="minorHAnsi" w:eastAsiaTheme="minorEastAsia" w:hAnsiTheme="minorHAnsi"/>
      <w:b/>
      <w:noProof/>
      <w:color w:val="2E404D" w:themeColor="text1"/>
      <w:sz w:val="22"/>
      <w:szCs w:val="22"/>
      <w:lang w:val="en-ZA" w:eastAsia="en-ZA"/>
    </w:rPr>
  </w:style>
  <w:style w:type="paragraph" w:styleId="TOC2">
    <w:name w:val="toc 2"/>
    <w:basedOn w:val="Normal"/>
    <w:next w:val="Normal"/>
    <w:autoRedefine/>
    <w:uiPriority w:val="39"/>
    <w:unhideWhenUsed/>
    <w:rsid w:val="00234E0F"/>
    <w:pPr>
      <w:tabs>
        <w:tab w:val="left" w:pos="1418"/>
        <w:tab w:val="right" w:leader="dot" w:pos="9628"/>
      </w:tabs>
      <w:spacing w:before="120" w:after="100"/>
      <w:ind w:left="851" w:hanging="851"/>
    </w:pPr>
    <w:rPr>
      <w:rFonts w:asciiTheme="minorHAnsi" w:eastAsiaTheme="minorEastAsia" w:hAnsiTheme="minorHAnsi"/>
      <w:noProof/>
      <w:sz w:val="22"/>
      <w:szCs w:val="22"/>
      <w:lang w:val="en-ZA" w:eastAsia="en-ZA"/>
    </w:rPr>
  </w:style>
  <w:style w:type="character" w:customStyle="1" w:styleId="Heading6Char">
    <w:name w:val="Heading 6 Char"/>
    <w:basedOn w:val="DefaultParagraphFont"/>
    <w:link w:val="Heading6"/>
    <w:uiPriority w:val="99"/>
    <w:rsid w:val="00522EF9"/>
    <w:rPr>
      <w:rFonts w:asciiTheme="majorHAnsi" w:eastAsia="Times New Roman" w:hAnsiTheme="majorHAnsi" w:cs="Arial"/>
      <w:b/>
      <w:color w:val="0072BC" w:themeColor="accent2"/>
      <w:kern w:val="20"/>
      <w:sz w:val="22"/>
      <w:szCs w:val="22"/>
      <w:lang w:val="en-GB"/>
      <w14:ligatures w14:val="none"/>
    </w:rPr>
  </w:style>
  <w:style w:type="character" w:customStyle="1" w:styleId="Heading7Char">
    <w:name w:val="Heading 7 Char"/>
    <w:basedOn w:val="DefaultParagraphFont"/>
    <w:link w:val="Heading7"/>
    <w:uiPriority w:val="99"/>
    <w:rsid w:val="00522EF9"/>
    <w:rPr>
      <w:rFonts w:asciiTheme="majorHAnsi" w:eastAsia="Times New Roman" w:hAnsiTheme="majorHAnsi" w:cs="Arial"/>
      <w:color w:val="0072BC" w:themeColor="accent2"/>
      <w:kern w:val="20"/>
      <w:sz w:val="22"/>
      <w:szCs w:val="22"/>
      <w:lang w:val="en-GB"/>
      <w14:ligatures w14:val="none"/>
    </w:rPr>
  </w:style>
  <w:style w:type="character" w:customStyle="1" w:styleId="Heading8Char">
    <w:name w:val="Heading 8 Char"/>
    <w:basedOn w:val="DefaultParagraphFont"/>
    <w:link w:val="Heading8"/>
    <w:uiPriority w:val="99"/>
    <w:rsid w:val="00522EF9"/>
    <w:rPr>
      <w:rFonts w:asciiTheme="majorHAnsi" w:eastAsia="Times New Roman" w:hAnsiTheme="majorHAnsi" w:cs="Arial"/>
      <w:b/>
      <w:iCs/>
      <w:color w:val="0072BC" w:themeColor="accent2"/>
      <w:kern w:val="20"/>
      <w:sz w:val="21"/>
      <w:szCs w:val="22"/>
      <w:lang w:val="en-GB"/>
      <w14:ligatures w14:val="none"/>
    </w:rPr>
  </w:style>
  <w:style w:type="character" w:customStyle="1" w:styleId="Heading9Char">
    <w:name w:val="Heading 9 Char"/>
    <w:basedOn w:val="DefaultParagraphFont"/>
    <w:link w:val="Heading9"/>
    <w:uiPriority w:val="99"/>
    <w:rsid w:val="00522EF9"/>
    <w:rPr>
      <w:rFonts w:asciiTheme="majorHAnsi" w:eastAsia="Times New Roman" w:hAnsiTheme="majorHAnsi" w:cs="Arial"/>
      <w:iCs/>
      <w:color w:val="0072BC" w:themeColor="accent2"/>
      <w:kern w:val="20"/>
      <w:sz w:val="21"/>
      <w:szCs w:val="22"/>
      <w:lang w:val="en-GB"/>
      <w14:ligatures w14:val="none"/>
    </w:rPr>
  </w:style>
  <w:style w:type="character" w:customStyle="1" w:styleId="TitleChar">
    <w:name w:val="Title Char"/>
    <w:basedOn w:val="DefaultParagraphFont"/>
    <w:link w:val="Title"/>
    <w:uiPriority w:val="10"/>
    <w:rsid w:val="00B86F31"/>
    <w:rPr>
      <w:rFonts w:ascii="Georgia" w:eastAsiaTheme="majorEastAsia" w:hAnsi="Georgia" w:cstheme="majorBidi"/>
      <w:color w:val="0072BC" w:themeColor="accent2"/>
      <w:kern w:val="28"/>
      <w:sz w:val="68"/>
      <w:szCs w:val="64"/>
      <w:lang w:val="en-US"/>
    </w:rPr>
  </w:style>
  <w:style w:type="character" w:styleId="Hyperlink">
    <w:name w:val="Hyperlink"/>
    <w:basedOn w:val="DefaultParagraphFont"/>
    <w:uiPriority w:val="99"/>
    <w:unhideWhenUsed/>
    <w:rsid w:val="00B347D7"/>
    <w:rPr>
      <w:color w:val="005B96" w:themeColor="hyperlink"/>
      <w:u w:val="single"/>
    </w:rPr>
  </w:style>
  <w:style w:type="character" w:styleId="UnresolvedMention">
    <w:name w:val="Unresolved Mention"/>
    <w:basedOn w:val="DefaultParagraphFont"/>
    <w:uiPriority w:val="99"/>
    <w:semiHidden/>
    <w:unhideWhenUsed/>
    <w:rsid w:val="00B347D7"/>
    <w:rPr>
      <w:color w:val="605E5C"/>
      <w:shd w:val="clear" w:color="auto" w:fill="E1DFDD"/>
    </w:rPr>
  </w:style>
  <w:style w:type="paragraph" w:styleId="TOC3">
    <w:name w:val="toc 3"/>
    <w:basedOn w:val="Normal"/>
    <w:next w:val="Normal"/>
    <w:autoRedefine/>
    <w:uiPriority w:val="39"/>
    <w:unhideWhenUsed/>
    <w:rsid w:val="0002407A"/>
    <w:pPr>
      <w:tabs>
        <w:tab w:val="left" w:pos="1418"/>
        <w:tab w:val="right" w:leader="dot" w:pos="9628"/>
      </w:tabs>
      <w:ind w:left="851" w:hanging="851"/>
    </w:pPr>
    <w:rPr>
      <w:rFonts w:asciiTheme="minorHAnsi" w:eastAsiaTheme="minorEastAsia" w:hAnsiTheme="minorHAnsi"/>
      <w:noProof/>
      <w:szCs w:val="22"/>
      <w:lang w:val="en-ZA" w:eastAsia="en-ZA"/>
    </w:rPr>
  </w:style>
  <w:style w:type="paragraph" w:customStyle="1" w:styleId="Tablebullet2">
    <w:name w:val="Table bullet 2"/>
    <w:basedOn w:val="NTTBlueTableBullet2"/>
    <w:qFormat/>
    <w:rsid w:val="007318BA"/>
    <w:pPr>
      <w:tabs>
        <w:tab w:val="num" w:pos="1134"/>
      </w:tabs>
    </w:pPr>
    <w:rPr>
      <w:color w:val="2E404D" w:themeColor="text1"/>
    </w:rPr>
  </w:style>
  <w:style w:type="table" w:customStyle="1" w:styleId="SmartNavytable">
    <w:name w:val="Smart Navy table"/>
    <w:basedOn w:val="TableGrid"/>
    <w:uiPriority w:val="99"/>
    <w:rsid w:val="002A3108"/>
    <w:tblPr>
      <w:tblStyleRowBandSize w:val="1"/>
      <w:tblStyleColBandSize w:val="1"/>
    </w:tblPr>
    <w:trPr>
      <w:cantSplit/>
    </w:trPr>
    <w:tblStylePr w:type="firstRow">
      <w:rPr>
        <w:b/>
        <w:color w:val="FFFFFF" w:themeColor="background1"/>
      </w:rPr>
      <w:tblPr/>
      <w:trPr>
        <w:cantSplit w:val="0"/>
        <w:tblHeader/>
      </w:trPr>
      <w:tcPr>
        <w:shd w:val="clear" w:color="auto" w:fill="070F26" w:themeFill="accent1"/>
      </w:tcPr>
    </w:tblStylePr>
    <w:tblStylePr w:type="lastRow">
      <w:rPr>
        <w:b/>
        <w:color w:val="2E404D" w:themeColor="text1"/>
      </w:rPr>
      <w:tblPr/>
      <w:tcPr>
        <w:shd w:val="clear" w:color="auto" w:fill="D6DFF7" w:themeFill="accent1" w:themeFillTint="1A"/>
      </w:tcPr>
    </w:tblStylePr>
    <w:tblStylePr w:type="firstCol">
      <w:rPr>
        <w:b/>
        <w:color w:val="FFFFFF" w:themeColor="background1"/>
      </w:rPr>
      <w:tblPr/>
      <w:tcPr>
        <w:shd w:val="clear" w:color="auto" w:fill="070F26" w:themeFill="accent1"/>
      </w:tcPr>
    </w:tblStylePr>
    <w:tblStylePr w:type="lastCol">
      <w:rPr>
        <w:b/>
      </w:rPr>
      <w:tblPr/>
      <w:tcPr>
        <w:shd w:val="clear" w:color="auto" w:fill="D6DFF7" w:themeFill="accent1" w:themeFillTint="1A"/>
      </w:tcPr>
    </w:tblStylePr>
    <w:tblStylePr w:type="band2Vert">
      <w:tblPr/>
      <w:tcPr>
        <w:shd w:val="clear" w:color="auto" w:fill="F1F4FD"/>
      </w:tcPr>
    </w:tblStylePr>
    <w:tblStylePr w:type="band2Horz">
      <w:tblPr/>
      <w:tcPr>
        <w:shd w:val="clear" w:color="auto" w:fill="F1F4FD"/>
      </w:tcPr>
    </w:tblStylePr>
  </w:style>
  <w:style w:type="paragraph" w:customStyle="1" w:styleId="BulletLevel2">
    <w:name w:val="Bullet Level 2"/>
    <w:basedOn w:val="NTTFlushBullet2"/>
    <w:qFormat/>
    <w:rsid w:val="00E728B1"/>
    <w:pPr>
      <w:ind w:left="851" w:hanging="397"/>
    </w:pPr>
  </w:style>
  <w:style w:type="paragraph" w:customStyle="1" w:styleId="BulletLevel3">
    <w:name w:val="Bullet Level 3"/>
    <w:basedOn w:val="NTTFlushBullet3"/>
    <w:qFormat/>
    <w:rsid w:val="00251212"/>
  </w:style>
  <w:style w:type="paragraph" w:customStyle="1" w:styleId="Tablebullet">
    <w:name w:val="Table bullet"/>
    <w:basedOn w:val="NTTBlueTableBullet1"/>
    <w:qFormat/>
    <w:rsid w:val="00486632"/>
    <w:rPr>
      <w:color w:val="2E404D" w:themeColor="text1"/>
    </w:rPr>
  </w:style>
  <w:style w:type="paragraph" w:styleId="Caption">
    <w:name w:val="caption"/>
    <w:next w:val="NTTBodyText"/>
    <w:uiPriority w:val="8"/>
    <w:qFormat/>
    <w:rsid w:val="00121AA7"/>
    <w:pPr>
      <w:spacing w:after="120" w:line="240" w:lineRule="atLeast"/>
      <w:ind w:left="850"/>
    </w:pPr>
    <w:rPr>
      <w:rFonts w:ascii="Arial" w:eastAsia="Times New Roman" w:hAnsi="Arial" w:cs="Arial"/>
      <w:i/>
      <w:color w:val="000000"/>
      <w:spacing w:val="10"/>
      <w:kern w:val="18"/>
      <w:sz w:val="18"/>
      <w:szCs w:val="20"/>
      <w:lang w:val="en-GB" w:eastAsia="en-GB"/>
      <w14:ligatures w14:val="none"/>
    </w:rPr>
  </w:style>
  <w:style w:type="paragraph" w:styleId="TableofFigures">
    <w:name w:val="table of figures"/>
    <w:basedOn w:val="Normal"/>
    <w:next w:val="Normal"/>
    <w:uiPriority w:val="99"/>
    <w:unhideWhenUsed/>
    <w:rsid w:val="003A4083"/>
    <w:pPr>
      <w:spacing w:after="100"/>
    </w:pPr>
  </w:style>
  <w:style w:type="table" w:customStyle="1" w:styleId="NTTFutureBluetable">
    <w:name w:val="NTT Future Blue table"/>
    <w:basedOn w:val="TableGrid"/>
    <w:uiPriority w:val="99"/>
    <w:rsid w:val="002A3108"/>
    <w:pPr>
      <w:spacing w:line="264" w:lineRule="auto"/>
    </w:pPr>
    <w:rPr>
      <w:color w:val="2E404D" w:themeColor="text1"/>
    </w:rPr>
    <w:tblPr>
      <w:tblStyleRowBandSize w:val="1"/>
      <w:tblStyleColBandSize w:val="1"/>
      <w:tblCellMar>
        <w:top w:w="28" w:type="dxa"/>
        <w:bottom w:w="28" w:type="dxa"/>
      </w:tblCellMar>
    </w:tblPr>
    <w:trPr>
      <w:cantSplit/>
    </w:trPr>
    <w:tcPr>
      <w:tcMar>
        <w:top w:w="85" w:type="dxa"/>
        <w:left w:w="85" w:type="dxa"/>
        <w:bottom w:w="85" w:type="dxa"/>
        <w:right w:w="85" w:type="dxa"/>
      </w:tcMar>
    </w:tcPr>
    <w:tblStylePr w:type="firstRow">
      <w:rPr>
        <w:b/>
        <w:color w:val="FFFFFF" w:themeColor="background1"/>
      </w:rPr>
      <w:tblPr/>
      <w:trPr>
        <w:cantSplit w:val="0"/>
        <w:tblHeader/>
      </w:trPr>
      <w:tcPr>
        <w:shd w:val="clear" w:color="auto" w:fill="0072BC" w:themeFill="accent2"/>
      </w:tcPr>
    </w:tblStylePr>
    <w:tblStylePr w:type="lastRow">
      <w:rPr>
        <w:b/>
        <w:color w:val="auto"/>
      </w:rPr>
      <w:tblPr/>
      <w:tcPr>
        <w:shd w:val="clear" w:color="auto" w:fill="BEE5FF" w:themeFill="accent2" w:themeFillTint="33"/>
      </w:tcPr>
    </w:tblStylePr>
    <w:tblStylePr w:type="firstCol">
      <w:rPr>
        <w:b/>
        <w:color w:val="FFFFFF" w:themeColor="background1"/>
      </w:rPr>
      <w:tblPr/>
      <w:tcPr>
        <w:shd w:val="clear" w:color="auto" w:fill="0072BC" w:themeFill="accent2"/>
      </w:tcPr>
    </w:tblStylePr>
    <w:tblStylePr w:type="lastCol">
      <w:rPr>
        <w:b/>
      </w:rPr>
      <w:tblPr/>
      <w:tcPr>
        <w:shd w:val="clear" w:color="auto" w:fill="BEE5FF" w:themeFill="accent2" w:themeFillTint="33"/>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BodyText">
    <w:name w:val="Body Text"/>
    <w:basedOn w:val="Normal"/>
    <w:link w:val="BodyTextChar"/>
    <w:uiPriority w:val="99"/>
    <w:unhideWhenUsed/>
    <w:rsid w:val="00B745F5"/>
    <w:pPr>
      <w:spacing w:before="160" w:after="160"/>
    </w:pPr>
    <w:rPr>
      <w:color w:val="2E404D" w:themeColor="text1"/>
    </w:rPr>
  </w:style>
  <w:style w:type="character" w:styleId="PlaceholderText">
    <w:name w:val="Placeholder Text"/>
    <w:basedOn w:val="DefaultParagraphFont"/>
    <w:uiPriority w:val="99"/>
    <w:semiHidden/>
    <w:rsid w:val="00BA0E50"/>
    <w:rPr>
      <w:color w:val="808080"/>
    </w:rPr>
  </w:style>
  <w:style w:type="paragraph" w:customStyle="1" w:styleId="Guidancetext2body">
    <w:name w:val="Guidance text 2 body"/>
    <w:basedOn w:val="Normal"/>
    <w:qFormat/>
    <w:rsid w:val="00AE5238"/>
    <w:pPr>
      <w:pBdr>
        <w:top w:val="single" w:sz="4" w:space="1" w:color="00CB5D" w:themeColor="accent5"/>
        <w:bottom w:val="single" w:sz="4" w:space="1" w:color="00CB5D" w:themeColor="accent5"/>
      </w:pBdr>
      <w:shd w:val="clear" w:color="auto" w:fill="C1FFDD" w:themeFill="accent5" w:themeFillTint="33"/>
      <w:spacing w:before="160" w:after="160"/>
    </w:pPr>
    <w:rPr>
      <w:color w:val="00652E" w:themeColor="accent5" w:themeShade="80"/>
    </w:rPr>
  </w:style>
  <w:style w:type="paragraph" w:customStyle="1" w:styleId="Legalnumbering1">
    <w:name w:val="Legal numbering 1"/>
    <w:basedOn w:val="Bullet"/>
    <w:qFormat/>
    <w:rsid w:val="00ED3870"/>
    <w:pPr>
      <w:numPr>
        <w:numId w:val="2"/>
      </w:numPr>
      <w:ind w:left="567" w:hanging="567"/>
    </w:pPr>
  </w:style>
  <w:style w:type="character" w:styleId="CommentReference">
    <w:name w:val="annotation reference"/>
    <w:basedOn w:val="DefaultParagraphFont"/>
    <w:uiPriority w:val="99"/>
    <w:semiHidden/>
    <w:unhideWhenUsed/>
    <w:rsid w:val="00742376"/>
    <w:rPr>
      <w:sz w:val="16"/>
      <w:szCs w:val="16"/>
    </w:rPr>
  </w:style>
  <w:style w:type="paragraph" w:styleId="CommentText">
    <w:name w:val="annotation text"/>
    <w:basedOn w:val="Normal"/>
    <w:link w:val="CommentTextChar"/>
    <w:uiPriority w:val="99"/>
    <w:unhideWhenUsed/>
    <w:rsid w:val="00742376"/>
    <w:pPr>
      <w:spacing w:line="240" w:lineRule="auto"/>
    </w:pPr>
    <w:rPr>
      <w:szCs w:val="20"/>
    </w:rPr>
  </w:style>
  <w:style w:type="character" w:customStyle="1" w:styleId="CommentTextChar">
    <w:name w:val="Comment Text Char"/>
    <w:basedOn w:val="DefaultParagraphFont"/>
    <w:link w:val="CommentText"/>
    <w:uiPriority w:val="99"/>
    <w:rsid w:val="00742376"/>
    <w:rPr>
      <w:rFonts w:ascii="Arial" w:hAnsi="Arial"/>
      <w:sz w:val="20"/>
      <w:szCs w:val="20"/>
      <w:lang w:val="en-US"/>
    </w:rPr>
  </w:style>
  <w:style w:type="paragraph" w:customStyle="1" w:styleId="Legalnumbering2">
    <w:name w:val="Legal numbering 2"/>
    <w:basedOn w:val="Legalnumbering1"/>
    <w:qFormat/>
    <w:rsid w:val="00ED3870"/>
    <w:pPr>
      <w:numPr>
        <w:ilvl w:val="1"/>
      </w:numPr>
      <w:ind w:left="567" w:hanging="567"/>
    </w:pPr>
  </w:style>
  <w:style w:type="paragraph" w:customStyle="1" w:styleId="Legalnumbering3">
    <w:name w:val="Legal numbering 3"/>
    <w:basedOn w:val="Legalnumbering2"/>
    <w:qFormat/>
    <w:rsid w:val="00ED3870"/>
    <w:pPr>
      <w:numPr>
        <w:ilvl w:val="2"/>
      </w:numPr>
      <w:ind w:left="567" w:hanging="567"/>
    </w:pPr>
  </w:style>
  <w:style w:type="paragraph" w:customStyle="1" w:styleId="Legalnumbering4">
    <w:name w:val="Legal numbering 4"/>
    <w:basedOn w:val="NTTBullet7"/>
    <w:qFormat/>
    <w:rsid w:val="00303899"/>
    <w:pPr>
      <w:tabs>
        <w:tab w:val="num" w:pos="850"/>
        <w:tab w:val="num" w:pos="1418"/>
      </w:tabs>
      <w:ind w:left="284"/>
    </w:pPr>
  </w:style>
  <w:style w:type="paragraph" w:customStyle="1" w:styleId="Legalnumbering5">
    <w:name w:val="Legal numbering 5"/>
    <w:basedOn w:val="NTTBullet8"/>
    <w:qFormat/>
    <w:rsid w:val="00303899"/>
    <w:pPr>
      <w:tabs>
        <w:tab w:val="num" w:pos="1985"/>
      </w:tabs>
      <w:ind w:left="568"/>
    </w:pPr>
  </w:style>
  <w:style w:type="paragraph" w:customStyle="1" w:styleId="Legalnumbering6">
    <w:name w:val="Legal numbering 6"/>
    <w:basedOn w:val="NTTBullet9"/>
    <w:qFormat/>
    <w:rsid w:val="00303899"/>
    <w:pPr>
      <w:tabs>
        <w:tab w:val="num" w:pos="2552"/>
      </w:tabs>
      <w:ind w:left="851"/>
    </w:pPr>
  </w:style>
  <w:style w:type="paragraph" w:customStyle="1" w:styleId="Tablebullet3">
    <w:name w:val="Table bullet 3"/>
    <w:basedOn w:val="NTTBlueTableBullet3"/>
    <w:qFormat/>
    <w:rsid w:val="007318BA"/>
    <w:pPr>
      <w:contextualSpacing/>
    </w:pPr>
    <w:rPr>
      <w:color w:val="2E404D" w:themeColor="text1"/>
    </w:rPr>
  </w:style>
  <w:style w:type="character" w:customStyle="1" w:styleId="BodyTextChar">
    <w:name w:val="Body Text Char"/>
    <w:basedOn w:val="DefaultParagraphFont"/>
    <w:link w:val="BodyText"/>
    <w:uiPriority w:val="99"/>
    <w:rsid w:val="00B745F5"/>
    <w:rPr>
      <w:rFonts w:ascii="Arial" w:hAnsi="Arial"/>
      <w:color w:val="2E404D" w:themeColor="text1"/>
      <w:sz w:val="20"/>
      <w:lang w:val="en-US"/>
    </w:rPr>
  </w:style>
  <w:style w:type="paragraph" w:styleId="BodyText3">
    <w:name w:val="Body Text 3"/>
    <w:basedOn w:val="Normal"/>
    <w:link w:val="BodyText3Char"/>
    <w:uiPriority w:val="99"/>
    <w:unhideWhenUsed/>
    <w:rsid w:val="00392431"/>
    <w:pPr>
      <w:spacing w:before="160" w:after="160"/>
      <w:contextualSpacing/>
    </w:pPr>
    <w:rPr>
      <w:color w:val="2E404D" w:themeColor="text1"/>
      <w:sz w:val="17"/>
    </w:rPr>
  </w:style>
  <w:style w:type="character" w:customStyle="1" w:styleId="BodyText3Char">
    <w:name w:val="Body Text 3 Char"/>
    <w:basedOn w:val="DefaultParagraphFont"/>
    <w:link w:val="BodyText3"/>
    <w:uiPriority w:val="99"/>
    <w:rsid w:val="00392431"/>
    <w:rPr>
      <w:rFonts w:ascii="Arial" w:hAnsi="Arial"/>
      <w:color w:val="2E404D" w:themeColor="text1"/>
      <w:sz w:val="17"/>
      <w:lang w:val="en-US"/>
    </w:rPr>
  </w:style>
  <w:style w:type="paragraph" w:styleId="BodyTextIndent">
    <w:name w:val="Body Text Indent"/>
    <w:basedOn w:val="Normal"/>
    <w:link w:val="BodyTextIndentChar"/>
    <w:uiPriority w:val="99"/>
    <w:semiHidden/>
    <w:unhideWhenUsed/>
    <w:rsid w:val="008939C6"/>
    <w:pPr>
      <w:spacing w:after="120"/>
      <w:ind w:left="283"/>
    </w:pPr>
  </w:style>
  <w:style w:type="character" w:customStyle="1" w:styleId="BodyTextIndentChar">
    <w:name w:val="Body Text Indent Char"/>
    <w:basedOn w:val="DefaultParagraphFont"/>
    <w:link w:val="BodyTextIndent"/>
    <w:uiPriority w:val="99"/>
    <w:semiHidden/>
    <w:rsid w:val="008939C6"/>
    <w:rPr>
      <w:rFonts w:ascii="Arial" w:hAnsi="Arial"/>
      <w:sz w:val="20"/>
      <w:lang w:val="en-US"/>
    </w:rPr>
  </w:style>
  <w:style w:type="paragraph" w:styleId="BodyTextIndent3">
    <w:name w:val="Body Text Indent 3"/>
    <w:basedOn w:val="Normal"/>
    <w:link w:val="BodyTextIndent3Char"/>
    <w:uiPriority w:val="99"/>
    <w:semiHidden/>
    <w:unhideWhenUsed/>
    <w:rsid w:val="00382304"/>
    <w:pPr>
      <w:spacing w:after="120"/>
      <w:ind w:left="284"/>
    </w:pPr>
    <w:rPr>
      <w:sz w:val="17"/>
      <w:szCs w:val="16"/>
    </w:rPr>
  </w:style>
  <w:style w:type="paragraph" w:styleId="BodyTextIndent2">
    <w:name w:val="Body Text Indent 2"/>
    <w:basedOn w:val="Normal"/>
    <w:link w:val="BodyTextIndent2Char"/>
    <w:uiPriority w:val="99"/>
    <w:semiHidden/>
    <w:unhideWhenUsed/>
    <w:rsid w:val="008939C6"/>
    <w:pPr>
      <w:spacing w:after="120"/>
      <w:ind w:left="284"/>
    </w:pPr>
  </w:style>
  <w:style w:type="character" w:customStyle="1" w:styleId="BodyTextIndent2Char">
    <w:name w:val="Body Text Indent 2 Char"/>
    <w:basedOn w:val="DefaultParagraphFont"/>
    <w:link w:val="BodyTextIndent2"/>
    <w:uiPriority w:val="99"/>
    <w:semiHidden/>
    <w:rsid w:val="008939C6"/>
    <w:rPr>
      <w:rFonts w:ascii="Arial" w:hAnsi="Arial"/>
      <w:sz w:val="20"/>
      <w:lang w:val="en-US"/>
    </w:rPr>
  </w:style>
  <w:style w:type="character" w:customStyle="1" w:styleId="BodyTextIndent3Char">
    <w:name w:val="Body Text Indent 3 Char"/>
    <w:basedOn w:val="DefaultParagraphFont"/>
    <w:link w:val="BodyTextIndent3"/>
    <w:uiPriority w:val="99"/>
    <w:semiHidden/>
    <w:rsid w:val="00382304"/>
    <w:rPr>
      <w:rFonts w:ascii="Arial" w:hAnsi="Arial"/>
      <w:sz w:val="17"/>
      <w:szCs w:val="16"/>
      <w:lang w:val="en-US"/>
    </w:rPr>
  </w:style>
  <w:style w:type="paragraph" w:customStyle="1" w:styleId="CaptionWide">
    <w:name w:val="Caption Wide"/>
    <w:basedOn w:val="Caption"/>
    <w:uiPriority w:val="99"/>
    <w:rsid w:val="004B7585"/>
    <w:pPr>
      <w:spacing w:line="264" w:lineRule="auto"/>
      <w:ind w:left="0"/>
    </w:pPr>
    <w:rPr>
      <w:spacing w:val="0"/>
    </w:rPr>
  </w:style>
  <w:style w:type="numbering" w:customStyle="1" w:styleId="NTTAppendixList">
    <w:name w:val="_NTT Appendix List"/>
    <w:uiPriority w:val="89"/>
    <w:rsid w:val="00F93B13"/>
    <w:pPr>
      <w:numPr>
        <w:numId w:val="3"/>
      </w:numPr>
    </w:pPr>
  </w:style>
  <w:style w:type="paragraph" w:customStyle="1" w:styleId="AppendixHeading2">
    <w:name w:val="Appendix Heading 2"/>
    <w:basedOn w:val="Heading2"/>
    <w:next w:val="Normal"/>
    <w:uiPriority w:val="5"/>
    <w:qFormat/>
    <w:rsid w:val="00D24630"/>
    <w:pPr>
      <w:numPr>
        <w:numId w:val="4"/>
      </w:numPr>
      <w:ind w:left="1701" w:hanging="1701"/>
    </w:pPr>
    <w:rPr>
      <w:bCs w:val="0"/>
      <w:szCs w:val="32"/>
    </w:rPr>
  </w:style>
  <w:style w:type="paragraph" w:customStyle="1" w:styleId="AppendixHeading3">
    <w:name w:val="Appendix Heading 3"/>
    <w:basedOn w:val="Heading3"/>
    <w:next w:val="Normal"/>
    <w:uiPriority w:val="5"/>
    <w:qFormat/>
    <w:rsid w:val="00FD54FD"/>
    <w:pPr>
      <w:numPr>
        <w:numId w:val="4"/>
      </w:numPr>
      <w:ind w:left="1701" w:hanging="1701"/>
    </w:pPr>
    <w:rPr>
      <w:rFonts w:asciiTheme="minorHAnsi" w:hAnsiTheme="minorHAnsi"/>
      <w:bCs/>
    </w:rPr>
  </w:style>
  <w:style w:type="numbering" w:customStyle="1" w:styleId="NTTBlueBulletList">
    <w:name w:val="_NTT Blue Bullet List"/>
    <w:uiPriority w:val="89"/>
    <w:rsid w:val="009F1A55"/>
    <w:pPr>
      <w:numPr>
        <w:numId w:val="5"/>
      </w:numPr>
    </w:pPr>
  </w:style>
  <w:style w:type="paragraph" w:customStyle="1" w:styleId="NTTBlueBullet1">
    <w:name w:val="NTT Blue Bullet 1"/>
    <w:basedOn w:val="Normal"/>
    <w:uiPriority w:val="29"/>
    <w:rsid w:val="00A43CFD"/>
    <w:pPr>
      <w:numPr>
        <w:numId w:val="6"/>
      </w:numPr>
      <w:tabs>
        <w:tab w:val="clear" w:pos="1134"/>
      </w:tabs>
      <w:spacing w:before="160" w:after="160"/>
      <w:ind w:left="1191" w:hanging="340"/>
      <w:contextualSpacing/>
    </w:pPr>
    <w:rPr>
      <w:rFonts w:eastAsia="Times New Roman" w:cs="Arial"/>
      <w:color w:val="005B96" w:themeColor="accent3"/>
      <w:kern w:val="20"/>
      <w:szCs w:val="20"/>
      <w:lang w:val="en-GB"/>
      <w14:ligatures w14:val="none"/>
    </w:rPr>
  </w:style>
  <w:style w:type="paragraph" w:customStyle="1" w:styleId="NTTBlueBullet2">
    <w:name w:val="NTT Blue Bullet 2"/>
    <w:basedOn w:val="Normal"/>
    <w:uiPriority w:val="29"/>
    <w:rsid w:val="0030602F"/>
    <w:pPr>
      <w:numPr>
        <w:ilvl w:val="1"/>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3">
    <w:name w:val="NTT Blue Bullet 3"/>
    <w:basedOn w:val="Normal"/>
    <w:uiPriority w:val="29"/>
    <w:rsid w:val="0030602F"/>
    <w:pPr>
      <w:numPr>
        <w:ilvl w:val="2"/>
        <w:numId w:val="6"/>
      </w:numPr>
      <w:tabs>
        <w:tab w:val="clear" w:pos="1701"/>
      </w:tabs>
      <w:spacing w:before="160" w:after="160"/>
      <w:ind w:left="1815" w:hanging="284"/>
      <w:contextualSpacing/>
    </w:pPr>
    <w:rPr>
      <w:rFonts w:eastAsia="Times New Roman" w:cs="Arial"/>
      <w:color w:val="005B96" w:themeColor="accent3"/>
      <w:kern w:val="20"/>
      <w:szCs w:val="20"/>
      <w:lang w:val="en-GB"/>
      <w14:ligatures w14:val="none"/>
    </w:rPr>
  </w:style>
  <w:style w:type="paragraph" w:customStyle="1" w:styleId="NTTBlueBullet4">
    <w:name w:val="NTT Blue Bullet 4"/>
    <w:basedOn w:val="Normal"/>
    <w:uiPriority w:val="29"/>
    <w:rsid w:val="00B23563"/>
    <w:pPr>
      <w:numPr>
        <w:ilvl w:val="3"/>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5">
    <w:name w:val="NTT Blue Bullet 5"/>
    <w:basedOn w:val="Normal"/>
    <w:uiPriority w:val="29"/>
    <w:rsid w:val="005A39EB"/>
    <w:pPr>
      <w:numPr>
        <w:ilvl w:val="4"/>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6">
    <w:name w:val="NTT Blue Bullet 6"/>
    <w:basedOn w:val="Normal"/>
    <w:uiPriority w:val="29"/>
    <w:rsid w:val="005A39EB"/>
    <w:pPr>
      <w:numPr>
        <w:ilvl w:val="5"/>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7">
    <w:name w:val="NTT Blue Bullet 7"/>
    <w:basedOn w:val="Normal"/>
    <w:uiPriority w:val="29"/>
    <w:rsid w:val="00911702"/>
    <w:pPr>
      <w:numPr>
        <w:ilvl w:val="6"/>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8">
    <w:name w:val="NTT Blue Bullet 8"/>
    <w:basedOn w:val="Normal"/>
    <w:uiPriority w:val="29"/>
    <w:rsid w:val="004C2406"/>
    <w:pPr>
      <w:numPr>
        <w:ilvl w:val="7"/>
        <w:numId w:val="6"/>
      </w:numPr>
      <w:tabs>
        <w:tab w:val="clear" w:pos="1985"/>
      </w:tabs>
      <w:spacing w:before="160" w:after="160"/>
      <w:ind w:left="1814" w:hanging="340"/>
      <w:contextualSpacing/>
    </w:pPr>
    <w:rPr>
      <w:rFonts w:eastAsia="Times New Roman" w:cs="Arial"/>
      <w:color w:val="005B96" w:themeColor="accent3"/>
      <w:kern w:val="20"/>
      <w:szCs w:val="20"/>
      <w:lang w:val="en-GB"/>
      <w14:ligatures w14:val="none"/>
    </w:rPr>
  </w:style>
  <w:style w:type="paragraph" w:customStyle="1" w:styleId="NTTBlueBullet9">
    <w:name w:val="NTT Blue Bullet 9"/>
    <w:basedOn w:val="Normal"/>
    <w:uiPriority w:val="29"/>
    <w:rsid w:val="004C2406"/>
    <w:pPr>
      <w:numPr>
        <w:ilvl w:val="8"/>
        <w:numId w:val="6"/>
      </w:numPr>
      <w:tabs>
        <w:tab w:val="clear" w:pos="2552"/>
      </w:tabs>
      <w:spacing w:before="160" w:after="160"/>
      <w:ind w:left="1814" w:hanging="340"/>
      <w:contextualSpacing/>
    </w:pPr>
    <w:rPr>
      <w:rFonts w:eastAsia="Times New Roman" w:cs="Arial"/>
      <w:color w:val="005B96" w:themeColor="accent3"/>
      <w:kern w:val="20"/>
      <w:szCs w:val="20"/>
      <w:lang w:val="en-GB"/>
      <w14:ligatures w14:val="none"/>
    </w:rPr>
  </w:style>
  <w:style w:type="numbering" w:customStyle="1" w:styleId="NTTBlueTableBulletList">
    <w:name w:val="_NTT Blue Table Bullet List"/>
    <w:uiPriority w:val="89"/>
    <w:rsid w:val="009F1A55"/>
    <w:pPr>
      <w:numPr>
        <w:numId w:val="7"/>
      </w:numPr>
    </w:pPr>
  </w:style>
  <w:style w:type="paragraph" w:customStyle="1" w:styleId="NTTBlueTableBullet1">
    <w:name w:val="NTT Blue Table Bullet 1"/>
    <w:basedOn w:val="Normal"/>
    <w:uiPriority w:val="34"/>
    <w:rsid w:val="0015224D"/>
    <w:pPr>
      <w:numPr>
        <w:numId w:val="8"/>
      </w:numPr>
      <w:tabs>
        <w:tab w:val="clear" w:pos="283"/>
      </w:tabs>
      <w:ind w:left="340" w:hanging="340"/>
      <w:contextualSpacing/>
    </w:pPr>
    <w:rPr>
      <w:rFonts w:eastAsia="Times New Roman" w:cs="Arial"/>
      <w:color w:val="005B96" w:themeColor="accent3"/>
      <w:kern w:val="18"/>
      <w:szCs w:val="18"/>
      <w:lang w:val="en-GB"/>
      <w14:ligatures w14:val="none"/>
    </w:rPr>
  </w:style>
  <w:style w:type="paragraph" w:customStyle="1" w:styleId="NTTBlueTableBullet2">
    <w:name w:val="NTT Blue Table Bullet 2"/>
    <w:basedOn w:val="Normal"/>
    <w:uiPriority w:val="34"/>
    <w:rsid w:val="00767F75"/>
    <w:pPr>
      <w:numPr>
        <w:ilvl w:val="1"/>
        <w:numId w:val="8"/>
      </w:numPr>
      <w:tabs>
        <w:tab w:val="clear" w:pos="1134"/>
      </w:tabs>
      <w:ind w:left="680" w:hanging="340"/>
    </w:pPr>
    <w:rPr>
      <w:rFonts w:eastAsia="Times New Roman" w:cs="Arial"/>
      <w:color w:val="005B96" w:themeColor="accent3"/>
      <w:kern w:val="18"/>
      <w:szCs w:val="20"/>
      <w:lang w:val="en-GB"/>
      <w14:ligatures w14:val="none"/>
    </w:rPr>
  </w:style>
  <w:style w:type="paragraph" w:customStyle="1" w:styleId="NTTBlueTableBullet3">
    <w:name w:val="NTT Blue Table Bullet 3"/>
    <w:basedOn w:val="Normal"/>
    <w:uiPriority w:val="34"/>
    <w:rsid w:val="00767F75"/>
    <w:pPr>
      <w:numPr>
        <w:ilvl w:val="2"/>
        <w:numId w:val="8"/>
      </w:numPr>
      <w:tabs>
        <w:tab w:val="clear" w:pos="850"/>
      </w:tabs>
      <w:ind w:left="964" w:hanging="284"/>
    </w:pPr>
    <w:rPr>
      <w:rFonts w:eastAsia="Times New Roman" w:cs="Arial"/>
      <w:color w:val="005B96" w:themeColor="accent3"/>
      <w:kern w:val="18"/>
      <w:szCs w:val="20"/>
      <w:lang w:val="en-GB"/>
      <w14:ligatures w14:val="none"/>
    </w:rPr>
  </w:style>
  <w:style w:type="paragraph" w:customStyle="1" w:styleId="NTTBlueTableBullet4">
    <w:name w:val="NTT Blue Table Bullet 4"/>
    <w:basedOn w:val="Normal"/>
    <w:uiPriority w:val="34"/>
    <w:rsid w:val="00ED179B"/>
    <w:pPr>
      <w:numPr>
        <w:ilvl w:val="3"/>
        <w:numId w:val="8"/>
      </w:numPr>
      <w:tabs>
        <w:tab w:val="clear" w:pos="567"/>
        <w:tab w:val="left" w:pos="0"/>
      </w:tabs>
      <w:ind w:left="851" w:hanging="851"/>
    </w:pPr>
    <w:rPr>
      <w:rFonts w:eastAsia="Times New Roman" w:cs="Arial"/>
      <w:color w:val="005B96" w:themeColor="accent3"/>
      <w:kern w:val="18"/>
      <w:szCs w:val="20"/>
      <w:lang w:val="en-GB"/>
      <w14:ligatures w14:val="none"/>
    </w:rPr>
  </w:style>
  <w:style w:type="paragraph" w:customStyle="1" w:styleId="NTTBlueTableBullet5">
    <w:name w:val="NTT Blue Table Bullet 5"/>
    <w:basedOn w:val="Normal"/>
    <w:uiPriority w:val="34"/>
    <w:rsid w:val="0040405A"/>
    <w:pPr>
      <w:numPr>
        <w:ilvl w:val="4"/>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6">
    <w:name w:val="NTT Blue Table Bullet 6"/>
    <w:basedOn w:val="Normal"/>
    <w:uiPriority w:val="34"/>
    <w:rsid w:val="0062106E"/>
    <w:pPr>
      <w:numPr>
        <w:ilvl w:val="5"/>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7">
    <w:name w:val="NTT Blue Table Bullet 7"/>
    <w:basedOn w:val="Normal"/>
    <w:uiPriority w:val="34"/>
    <w:rsid w:val="00911702"/>
    <w:pPr>
      <w:numPr>
        <w:ilvl w:val="6"/>
        <w:numId w:val="8"/>
      </w:numPr>
      <w:tabs>
        <w:tab w:val="clear" w:pos="567"/>
      </w:tabs>
      <w:ind w:left="680" w:hanging="340"/>
    </w:pPr>
    <w:rPr>
      <w:rFonts w:eastAsia="Times New Roman" w:cs="Arial"/>
      <w:color w:val="005B96" w:themeColor="accent3"/>
      <w:kern w:val="18"/>
      <w:szCs w:val="20"/>
      <w:lang w:val="en-GB"/>
      <w14:ligatures w14:val="none"/>
    </w:rPr>
  </w:style>
  <w:style w:type="paragraph" w:customStyle="1" w:styleId="NTTBlueTableBullet8">
    <w:name w:val="NTT Blue Table Bullet 8"/>
    <w:basedOn w:val="Normal"/>
    <w:uiPriority w:val="34"/>
    <w:rsid w:val="00D87AB2"/>
    <w:pPr>
      <w:numPr>
        <w:ilvl w:val="7"/>
        <w:numId w:val="8"/>
      </w:numPr>
      <w:ind w:left="964" w:hanging="340"/>
    </w:pPr>
    <w:rPr>
      <w:rFonts w:eastAsia="Times New Roman" w:cs="Arial"/>
      <w:color w:val="005B96" w:themeColor="accent3"/>
      <w:kern w:val="18"/>
      <w:szCs w:val="20"/>
      <w:lang w:val="en-GB"/>
      <w14:ligatures w14:val="none"/>
    </w:rPr>
  </w:style>
  <w:style w:type="paragraph" w:customStyle="1" w:styleId="NTTBlueTableBullet9">
    <w:name w:val="NTT Blue Table Bullet 9"/>
    <w:basedOn w:val="Normal"/>
    <w:uiPriority w:val="34"/>
    <w:rsid w:val="004C2406"/>
    <w:pPr>
      <w:numPr>
        <w:ilvl w:val="8"/>
        <w:numId w:val="8"/>
      </w:numPr>
      <w:ind w:left="964" w:hanging="340"/>
    </w:pPr>
    <w:rPr>
      <w:rFonts w:eastAsia="Times New Roman" w:cs="Arial"/>
      <w:color w:val="005B96" w:themeColor="accent3"/>
      <w:kern w:val="18"/>
      <w:szCs w:val="20"/>
      <w:lang w:val="en-GB"/>
      <w14:ligatures w14:val="none"/>
    </w:rPr>
  </w:style>
  <w:style w:type="numbering" w:customStyle="1" w:styleId="NTTBulletList">
    <w:name w:val="_NTT Bullet List"/>
    <w:uiPriority w:val="89"/>
    <w:rsid w:val="00DD1DB4"/>
    <w:pPr>
      <w:numPr>
        <w:numId w:val="9"/>
      </w:numPr>
    </w:pPr>
  </w:style>
  <w:style w:type="numbering" w:customStyle="1" w:styleId="NTTFlushBlueBulletList">
    <w:name w:val="_NTT Flush Blue Bullet List"/>
    <w:rsid w:val="00DD1DB4"/>
    <w:pPr>
      <w:numPr>
        <w:numId w:val="10"/>
      </w:numPr>
    </w:pPr>
  </w:style>
  <w:style w:type="numbering" w:customStyle="1" w:styleId="NTTFlushBulletList">
    <w:name w:val="_NTT Flush Bullet List"/>
    <w:basedOn w:val="NoList"/>
    <w:rsid w:val="00DD1DB4"/>
    <w:pPr>
      <w:numPr>
        <w:numId w:val="11"/>
      </w:numPr>
    </w:pPr>
  </w:style>
  <w:style w:type="paragraph" w:customStyle="1" w:styleId="NTTBullet1">
    <w:name w:val="NTT Bullet 1"/>
    <w:basedOn w:val="Normal"/>
    <w:link w:val="NTTBullet1Char"/>
    <w:uiPriority w:val="9"/>
    <w:qFormat/>
    <w:rsid w:val="008C0602"/>
    <w:pPr>
      <w:numPr>
        <w:numId w:val="12"/>
      </w:numPr>
      <w:tabs>
        <w:tab w:val="clear" w:pos="1134"/>
      </w:tabs>
      <w:spacing w:before="160" w:after="160"/>
      <w:ind w:left="1191" w:hanging="340"/>
      <w:contextualSpacing/>
    </w:pPr>
    <w:rPr>
      <w:rFonts w:eastAsia="Times New Roman" w:cs="Arial"/>
      <w:color w:val="2E404D" w:themeColor="text1"/>
      <w:kern w:val="20"/>
      <w:szCs w:val="20"/>
      <w:lang w:val="en-GB"/>
      <w14:ligatures w14:val="none"/>
    </w:rPr>
  </w:style>
  <w:style w:type="character" w:customStyle="1" w:styleId="NTTBullet1Char">
    <w:name w:val="NTT Bullet 1 Char"/>
    <w:basedOn w:val="DefaultParagraphFont"/>
    <w:link w:val="NTTBullet1"/>
    <w:uiPriority w:val="9"/>
    <w:rsid w:val="008C0602"/>
    <w:rPr>
      <w:rFonts w:ascii="Arial" w:eastAsia="Times New Roman" w:hAnsi="Arial" w:cs="Arial"/>
      <w:color w:val="2E404D" w:themeColor="text1"/>
      <w:kern w:val="20"/>
      <w:sz w:val="20"/>
      <w:szCs w:val="20"/>
      <w:lang w:val="en-GB"/>
      <w14:ligatures w14:val="none"/>
    </w:rPr>
  </w:style>
  <w:style w:type="paragraph" w:customStyle="1" w:styleId="NTTBullet2">
    <w:name w:val="NTT Bullet 2"/>
    <w:basedOn w:val="NTTBullet1"/>
    <w:uiPriority w:val="9"/>
    <w:qFormat/>
    <w:rsid w:val="00B10354"/>
    <w:pPr>
      <w:numPr>
        <w:ilvl w:val="1"/>
      </w:numPr>
      <w:tabs>
        <w:tab w:val="clear" w:pos="1418"/>
      </w:tabs>
      <w:ind w:left="1531" w:hanging="340"/>
    </w:pPr>
  </w:style>
  <w:style w:type="paragraph" w:customStyle="1" w:styleId="NTTBullet3">
    <w:name w:val="NTT Bullet 3"/>
    <w:basedOn w:val="NTTBullet2"/>
    <w:uiPriority w:val="9"/>
    <w:qFormat/>
    <w:rsid w:val="00252A11"/>
    <w:pPr>
      <w:numPr>
        <w:ilvl w:val="2"/>
      </w:numPr>
      <w:tabs>
        <w:tab w:val="clear" w:pos="1701"/>
      </w:tabs>
      <w:ind w:left="1815" w:hanging="284"/>
    </w:pPr>
  </w:style>
  <w:style w:type="paragraph" w:customStyle="1" w:styleId="NTTBullet4">
    <w:name w:val="NTT Bullet 4"/>
    <w:basedOn w:val="Normal"/>
    <w:uiPriority w:val="9"/>
    <w:rsid w:val="00B23563"/>
    <w:pPr>
      <w:numPr>
        <w:ilvl w:val="3"/>
        <w:numId w:val="12"/>
      </w:numPr>
      <w:tabs>
        <w:tab w:val="clear" w:pos="1418"/>
      </w:tabs>
      <w:spacing w:before="160" w:after="160"/>
      <w:ind w:left="1531" w:hanging="680"/>
      <w:contextualSpacing/>
    </w:pPr>
    <w:rPr>
      <w:rFonts w:eastAsia="Times New Roman" w:cs="Arial"/>
      <w:color w:val="2E404D" w:themeColor="text1"/>
      <w:kern w:val="20"/>
      <w:szCs w:val="20"/>
      <w:lang w:val="en-GB"/>
      <w14:ligatures w14:val="none"/>
    </w:rPr>
  </w:style>
  <w:style w:type="paragraph" w:customStyle="1" w:styleId="NTTBullet5">
    <w:name w:val="NTT Bullet 5"/>
    <w:basedOn w:val="NTTBullet4"/>
    <w:uiPriority w:val="9"/>
    <w:rsid w:val="00B23563"/>
    <w:pPr>
      <w:numPr>
        <w:ilvl w:val="4"/>
      </w:numPr>
      <w:tabs>
        <w:tab w:val="clear" w:pos="1418"/>
      </w:tabs>
      <w:ind w:left="1531" w:hanging="680"/>
    </w:pPr>
  </w:style>
  <w:style w:type="paragraph" w:customStyle="1" w:styleId="NTTBullet6">
    <w:name w:val="NTT Bullet 6"/>
    <w:basedOn w:val="NTTBullet5"/>
    <w:uiPriority w:val="9"/>
    <w:rsid w:val="00B23563"/>
    <w:pPr>
      <w:numPr>
        <w:ilvl w:val="5"/>
      </w:numPr>
      <w:tabs>
        <w:tab w:val="clear" w:pos="1418"/>
      </w:tabs>
      <w:ind w:left="1531" w:hanging="680"/>
    </w:pPr>
  </w:style>
  <w:style w:type="paragraph" w:customStyle="1" w:styleId="NTTBullet7">
    <w:name w:val="NTT Bullet 7"/>
    <w:basedOn w:val="Normal"/>
    <w:uiPriority w:val="9"/>
    <w:qFormat/>
    <w:rsid w:val="00911702"/>
    <w:pPr>
      <w:numPr>
        <w:ilvl w:val="6"/>
        <w:numId w:val="12"/>
      </w:numPr>
      <w:tabs>
        <w:tab w:val="clear" w:pos="1418"/>
      </w:tabs>
      <w:spacing w:before="160" w:after="160"/>
      <w:ind w:left="1531" w:hanging="340"/>
      <w:contextualSpacing/>
    </w:pPr>
    <w:rPr>
      <w:rFonts w:eastAsia="Times New Roman" w:cs="Arial"/>
      <w:color w:val="2E404D" w:themeColor="text1"/>
      <w:kern w:val="20"/>
      <w:szCs w:val="20"/>
      <w:lang w:val="en-GB"/>
      <w14:ligatures w14:val="none"/>
    </w:rPr>
  </w:style>
  <w:style w:type="paragraph" w:customStyle="1" w:styleId="NTTBullet8">
    <w:name w:val="NTT Bullet 8"/>
    <w:basedOn w:val="NTTBullet7"/>
    <w:uiPriority w:val="9"/>
    <w:qFormat/>
    <w:rsid w:val="00D87AB2"/>
    <w:pPr>
      <w:numPr>
        <w:ilvl w:val="7"/>
      </w:numPr>
      <w:tabs>
        <w:tab w:val="clear" w:pos="1985"/>
      </w:tabs>
      <w:ind w:left="1814" w:hanging="340"/>
    </w:pPr>
  </w:style>
  <w:style w:type="paragraph" w:customStyle="1" w:styleId="NTTBullet9">
    <w:name w:val="NTT Bullet 9"/>
    <w:basedOn w:val="NTTBullet8"/>
    <w:uiPriority w:val="9"/>
    <w:qFormat/>
    <w:rsid w:val="004C2406"/>
    <w:pPr>
      <w:numPr>
        <w:ilvl w:val="8"/>
      </w:numPr>
      <w:tabs>
        <w:tab w:val="clear" w:pos="2552"/>
      </w:tabs>
      <w:ind w:left="1814" w:hanging="340"/>
    </w:pPr>
  </w:style>
  <w:style w:type="paragraph" w:customStyle="1" w:styleId="NTTFlushBlueBullet1">
    <w:name w:val="NTT Flush Blue Bullet 1"/>
    <w:basedOn w:val="Normal"/>
    <w:link w:val="NTTFlushBlueBullet1Char"/>
    <w:rsid w:val="00E728B1"/>
    <w:pPr>
      <w:numPr>
        <w:numId w:val="13"/>
      </w:numPr>
      <w:spacing w:before="160" w:after="160"/>
      <w:ind w:left="397" w:hanging="397"/>
      <w:contextualSpacing/>
    </w:pPr>
    <w:rPr>
      <w:rFonts w:eastAsia="Times New Roman" w:cs="Arial"/>
      <w:color w:val="005B96" w:themeColor="accent3"/>
      <w:kern w:val="20"/>
      <w:szCs w:val="20"/>
      <w:lang w:val="en-GB"/>
      <w14:ligatures w14:val="none"/>
    </w:rPr>
  </w:style>
  <w:style w:type="character" w:customStyle="1" w:styleId="NTTFlushBlueBullet1Char">
    <w:name w:val="NTT Flush Blue Bullet 1 Char"/>
    <w:basedOn w:val="DefaultParagraphFont"/>
    <w:link w:val="NTTFlushBlueBullet1"/>
    <w:rsid w:val="00E728B1"/>
    <w:rPr>
      <w:rFonts w:ascii="Arial" w:eastAsia="Times New Roman" w:hAnsi="Arial" w:cs="Arial"/>
      <w:color w:val="005B96" w:themeColor="accent3"/>
      <w:kern w:val="20"/>
      <w:sz w:val="20"/>
      <w:szCs w:val="20"/>
      <w:lang w:val="en-GB"/>
      <w14:ligatures w14:val="none"/>
    </w:rPr>
  </w:style>
  <w:style w:type="paragraph" w:customStyle="1" w:styleId="NTTFlushBlueBullet2">
    <w:name w:val="NTT Flush Blue Bullet 2"/>
    <w:basedOn w:val="Normal"/>
    <w:link w:val="NTTFlushBlueBullet2Char"/>
    <w:rsid w:val="00251212"/>
    <w:pPr>
      <w:numPr>
        <w:ilvl w:val="1"/>
        <w:numId w:val="13"/>
      </w:numPr>
      <w:spacing w:before="160" w:after="160"/>
      <w:ind w:left="851" w:hanging="397"/>
      <w:contextualSpacing/>
    </w:pPr>
    <w:rPr>
      <w:rFonts w:eastAsia="Times New Roman" w:cs="Arial"/>
      <w:color w:val="005B96" w:themeColor="accent3"/>
      <w:kern w:val="20"/>
      <w:szCs w:val="20"/>
      <w:lang w:val="en-GB"/>
      <w14:ligatures w14:val="none"/>
    </w:rPr>
  </w:style>
  <w:style w:type="character" w:customStyle="1" w:styleId="NTTFlushBlueBullet2Char">
    <w:name w:val="NTT Flush Blue Bullet 2 Char"/>
    <w:basedOn w:val="DefaultParagraphFont"/>
    <w:link w:val="NTTFlushBlueBullet2"/>
    <w:rsid w:val="00251212"/>
    <w:rPr>
      <w:rFonts w:ascii="Arial" w:eastAsia="Times New Roman" w:hAnsi="Arial" w:cs="Arial"/>
      <w:color w:val="005B96" w:themeColor="accent3"/>
      <w:kern w:val="20"/>
      <w:sz w:val="20"/>
      <w:szCs w:val="20"/>
      <w:lang w:val="en-GB"/>
      <w14:ligatures w14:val="none"/>
    </w:rPr>
  </w:style>
  <w:style w:type="paragraph" w:customStyle="1" w:styleId="NTTFlushBlueBullet3">
    <w:name w:val="NTT Flush Blue Bullet 3"/>
    <w:basedOn w:val="Normal"/>
    <w:link w:val="NTTFlushBlueBullet3Char"/>
    <w:rsid w:val="00251212"/>
    <w:pPr>
      <w:numPr>
        <w:ilvl w:val="2"/>
        <w:numId w:val="13"/>
      </w:numPr>
      <w:spacing w:before="160" w:after="160"/>
      <w:ind w:left="1078"/>
      <w:contextualSpacing/>
    </w:pPr>
    <w:rPr>
      <w:rFonts w:eastAsia="Times New Roman" w:cs="Arial"/>
      <w:color w:val="005B96" w:themeColor="accent3"/>
      <w:kern w:val="20"/>
      <w:szCs w:val="20"/>
      <w:lang w:val="en-GB"/>
      <w14:ligatures w14:val="none"/>
    </w:rPr>
  </w:style>
  <w:style w:type="character" w:customStyle="1" w:styleId="NTTFlushBlueBullet3Char">
    <w:name w:val="NTT Flush Blue Bullet 3 Char"/>
    <w:basedOn w:val="DefaultParagraphFont"/>
    <w:link w:val="NTTFlushBlueBulle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4">
    <w:name w:val="NTT Flush Blue Bullet 4"/>
    <w:basedOn w:val="Normal"/>
    <w:link w:val="NTTFlushBlueBullet4Char"/>
    <w:rsid w:val="00257804"/>
    <w:pPr>
      <w:numPr>
        <w:ilvl w:val="3"/>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4Char">
    <w:name w:val="NTT Flush Blue Bullet 4 Char"/>
    <w:basedOn w:val="DefaultParagraphFont"/>
    <w:link w:val="NTTFlushBlueBullet4"/>
    <w:rsid w:val="00257804"/>
    <w:rPr>
      <w:rFonts w:ascii="Arial" w:eastAsia="Times New Roman" w:hAnsi="Arial" w:cs="Arial"/>
      <w:color w:val="005B96" w:themeColor="accent3"/>
      <w:kern w:val="20"/>
      <w:sz w:val="20"/>
      <w:szCs w:val="20"/>
      <w:lang w:val="en-GB"/>
      <w14:ligatures w14:val="none"/>
    </w:rPr>
  </w:style>
  <w:style w:type="paragraph" w:customStyle="1" w:styleId="NTTFlushBlueBullet5">
    <w:name w:val="NTT Flush Blue Bullet 5"/>
    <w:basedOn w:val="Normal"/>
    <w:link w:val="NTTFlushBlueBullet5Char"/>
    <w:rsid w:val="00257804"/>
    <w:pPr>
      <w:numPr>
        <w:ilvl w:val="4"/>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5Char">
    <w:name w:val="NTT Flush Blue Bullet 5 Char"/>
    <w:basedOn w:val="DefaultParagraphFont"/>
    <w:link w:val="NTTFlushBlueBullet5"/>
    <w:rsid w:val="00257804"/>
    <w:rPr>
      <w:rFonts w:ascii="Arial" w:eastAsia="Times New Roman" w:hAnsi="Arial" w:cs="Arial"/>
      <w:color w:val="005B96" w:themeColor="accent3"/>
      <w:kern w:val="20"/>
      <w:sz w:val="20"/>
      <w:szCs w:val="20"/>
      <w:lang w:val="en-GB"/>
      <w14:ligatures w14:val="none"/>
    </w:rPr>
  </w:style>
  <w:style w:type="paragraph" w:customStyle="1" w:styleId="NTTFlushBlueBullet6">
    <w:name w:val="NTT Flush Blue Bullet 6"/>
    <w:basedOn w:val="Normal"/>
    <w:link w:val="NTTFlushBlueBullet6Char"/>
    <w:rsid w:val="00257804"/>
    <w:pPr>
      <w:numPr>
        <w:ilvl w:val="5"/>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6Char">
    <w:name w:val="NTT Flush Blue Bullet 6 Char"/>
    <w:basedOn w:val="DefaultParagraphFont"/>
    <w:link w:val="NTTFlushBlueBullet6"/>
    <w:rsid w:val="00257804"/>
    <w:rPr>
      <w:rFonts w:ascii="Arial" w:eastAsia="Times New Roman" w:hAnsi="Arial" w:cs="Arial"/>
      <w:color w:val="005B96" w:themeColor="accent3"/>
      <w:kern w:val="20"/>
      <w:sz w:val="20"/>
      <w:szCs w:val="20"/>
      <w:lang w:val="en-GB"/>
      <w14:ligatures w14:val="none"/>
    </w:rPr>
  </w:style>
  <w:style w:type="paragraph" w:customStyle="1" w:styleId="NTTFlushBlueBullet7">
    <w:name w:val="NTT Flush Blue Bullet 7"/>
    <w:basedOn w:val="Normal"/>
    <w:link w:val="NTTFlushBlueBullet7Char"/>
    <w:rsid w:val="006569FC"/>
    <w:pPr>
      <w:numPr>
        <w:ilvl w:val="6"/>
        <w:numId w:val="13"/>
      </w:numPr>
      <w:spacing w:before="160" w:after="160"/>
      <w:ind w:left="680" w:hanging="340"/>
      <w:contextualSpacing/>
    </w:pPr>
    <w:rPr>
      <w:rFonts w:eastAsia="Times New Roman" w:cs="Arial"/>
      <w:color w:val="005B96" w:themeColor="accent3"/>
      <w:kern w:val="20"/>
      <w:szCs w:val="20"/>
      <w:lang w:val="en-GB"/>
      <w14:ligatures w14:val="none"/>
    </w:rPr>
  </w:style>
  <w:style w:type="character" w:customStyle="1" w:styleId="NTTFlushBlueBullet7Char">
    <w:name w:val="NTT Flush Blue Bullet 7 Char"/>
    <w:basedOn w:val="DefaultParagraphFont"/>
    <w:link w:val="NTTFlushBlueBullet7"/>
    <w:rsid w:val="006569FC"/>
    <w:rPr>
      <w:rFonts w:ascii="Arial" w:eastAsia="Times New Roman" w:hAnsi="Arial" w:cs="Arial"/>
      <w:color w:val="005B96" w:themeColor="accent3"/>
      <w:kern w:val="20"/>
      <w:sz w:val="20"/>
      <w:szCs w:val="20"/>
      <w:lang w:val="en-GB"/>
      <w14:ligatures w14:val="none"/>
    </w:rPr>
  </w:style>
  <w:style w:type="paragraph" w:customStyle="1" w:styleId="NTTFlushBlueBullet8">
    <w:name w:val="NTT Flush Blue Bullet 8"/>
    <w:basedOn w:val="Normal"/>
    <w:link w:val="NTTFlushBlueBullet8Char"/>
    <w:rsid w:val="00D87AB2"/>
    <w:pPr>
      <w:numPr>
        <w:ilvl w:val="7"/>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8Char">
    <w:name w:val="NTT Flush Blue Bullet 8 Char"/>
    <w:basedOn w:val="DefaultParagraphFont"/>
    <w:link w:val="NTTFlushBlueBullet8"/>
    <w:rsid w:val="00D87AB2"/>
    <w:rPr>
      <w:rFonts w:ascii="Arial" w:eastAsia="Times New Roman" w:hAnsi="Arial" w:cs="Arial"/>
      <w:color w:val="005B96" w:themeColor="accent3"/>
      <w:kern w:val="20"/>
      <w:sz w:val="20"/>
      <w:szCs w:val="20"/>
      <w:lang w:val="en-GB"/>
      <w14:ligatures w14:val="none"/>
    </w:rPr>
  </w:style>
  <w:style w:type="paragraph" w:customStyle="1" w:styleId="NTTFlushBlueBullet9">
    <w:name w:val="NTT Flush Blue Bullet 9"/>
    <w:basedOn w:val="Normal"/>
    <w:link w:val="NTTFlushBlueBullet9Char"/>
    <w:rsid w:val="004C2406"/>
    <w:pPr>
      <w:numPr>
        <w:ilvl w:val="8"/>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9Char">
    <w:name w:val="NTT Flush Blue Bullet 9 Char"/>
    <w:basedOn w:val="DefaultParagraphFont"/>
    <w:link w:val="NTTFlushBlueBullet9"/>
    <w:rsid w:val="004C2406"/>
    <w:rPr>
      <w:rFonts w:ascii="Arial" w:eastAsia="Times New Roman" w:hAnsi="Arial" w:cs="Arial"/>
      <w:color w:val="005B96" w:themeColor="accent3"/>
      <w:kern w:val="20"/>
      <w:sz w:val="20"/>
      <w:szCs w:val="20"/>
      <w:lang w:val="en-GB"/>
      <w14:ligatures w14:val="none"/>
    </w:rPr>
  </w:style>
  <w:style w:type="paragraph" w:customStyle="1" w:styleId="NTTFlushBullet1">
    <w:name w:val="NTT Flush Bullet 1"/>
    <w:basedOn w:val="NTTBullet1"/>
    <w:link w:val="NTTFlushBullet1Char"/>
    <w:uiPriority w:val="19"/>
    <w:rsid w:val="00E728B1"/>
    <w:pPr>
      <w:numPr>
        <w:numId w:val="14"/>
      </w:numPr>
      <w:ind w:left="397" w:hanging="397"/>
    </w:pPr>
  </w:style>
  <w:style w:type="character" w:customStyle="1" w:styleId="NTTFlushBullet1Char">
    <w:name w:val="NTT Flush Bullet 1 Char"/>
    <w:basedOn w:val="NTTBullet1Char"/>
    <w:link w:val="NTTFlushBullet1"/>
    <w:uiPriority w:val="19"/>
    <w:rsid w:val="00E728B1"/>
    <w:rPr>
      <w:rFonts w:ascii="Arial" w:eastAsia="Times New Roman" w:hAnsi="Arial" w:cs="Arial"/>
      <w:color w:val="2E404D" w:themeColor="text1"/>
      <w:kern w:val="20"/>
      <w:sz w:val="20"/>
      <w:szCs w:val="20"/>
      <w:lang w:val="en-GB"/>
      <w14:ligatures w14:val="none"/>
    </w:rPr>
  </w:style>
  <w:style w:type="paragraph" w:customStyle="1" w:styleId="NTTFlushBullet2">
    <w:name w:val="NTT Flush Bullet 2"/>
    <w:basedOn w:val="NTTBullet2"/>
    <w:uiPriority w:val="19"/>
    <w:rsid w:val="00E728B1"/>
    <w:pPr>
      <w:numPr>
        <w:numId w:val="14"/>
      </w:numPr>
      <w:ind w:left="794" w:hanging="340"/>
    </w:pPr>
  </w:style>
  <w:style w:type="paragraph" w:customStyle="1" w:styleId="NTTFlushBullet3">
    <w:name w:val="NTT Flush Bullet 3"/>
    <w:basedOn w:val="NTTBullet3"/>
    <w:uiPriority w:val="19"/>
    <w:rsid w:val="00251212"/>
    <w:pPr>
      <w:numPr>
        <w:numId w:val="14"/>
      </w:numPr>
      <w:ind w:left="1078"/>
    </w:pPr>
  </w:style>
  <w:style w:type="paragraph" w:customStyle="1" w:styleId="NTTFlushBullet4">
    <w:name w:val="NTT Flush Bullet 4"/>
    <w:basedOn w:val="NTTBullet4"/>
    <w:uiPriority w:val="19"/>
    <w:rsid w:val="00C12906"/>
    <w:pPr>
      <w:numPr>
        <w:numId w:val="14"/>
      </w:numPr>
      <w:ind w:left="851" w:hanging="851"/>
    </w:pPr>
  </w:style>
  <w:style w:type="paragraph" w:customStyle="1" w:styleId="NTTFlushBullet5">
    <w:name w:val="NTT Flush Bullet 5"/>
    <w:basedOn w:val="NTTBullet5"/>
    <w:uiPriority w:val="19"/>
    <w:rsid w:val="00C12906"/>
    <w:pPr>
      <w:numPr>
        <w:numId w:val="14"/>
      </w:numPr>
      <w:ind w:left="851" w:hanging="851"/>
    </w:pPr>
  </w:style>
  <w:style w:type="paragraph" w:customStyle="1" w:styleId="NTTFlushBullet6">
    <w:name w:val="NTT Flush Bullet 6"/>
    <w:basedOn w:val="NTTBullet6"/>
    <w:uiPriority w:val="19"/>
    <w:rsid w:val="00C12906"/>
    <w:pPr>
      <w:numPr>
        <w:numId w:val="14"/>
      </w:numPr>
      <w:ind w:left="851" w:hanging="851"/>
    </w:pPr>
  </w:style>
  <w:style w:type="paragraph" w:customStyle="1" w:styleId="NTTFlushBullet7">
    <w:name w:val="NTT Flush Bullet 7"/>
    <w:basedOn w:val="NTTBullet7"/>
    <w:uiPriority w:val="19"/>
    <w:rsid w:val="00911702"/>
    <w:pPr>
      <w:numPr>
        <w:numId w:val="14"/>
      </w:numPr>
      <w:ind w:left="680" w:hanging="340"/>
    </w:pPr>
  </w:style>
  <w:style w:type="paragraph" w:customStyle="1" w:styleId="NTTFlushBullet8">
    <w:name w:val="NTT Flush Bullet 8"/>
    <w:basedOn w:val="NTTBullet8"/>
    <w:uiPriority w:val="19"/>
    <w:rsid w:val="00F30B8A"/>
    <w:pPr>
      <w:numPr>
        <w:numId w:val="14"/>
      </w:numPr>
      <w:ind w:left="964" w:hanging="340"/>
    </w:pPr>
  </w:style>
  <w:style w:type="paragraph" w:customStyle="1" w:styleId="NTTFlushBullet9">
    <w:name w:val="NTT Flush Bullet 9"/>
    <w:basedOn w:val="NTTBullet9"/>
    <w:uiPriority w:val="19"/>
    <w:rsid w:val="004C2406"/>
    <w:pPr>
      <w:numPr>
        <w:numId w:val="14"/>
      </w:numPr>
      <w:ind w:left="964" w:hanging="340"/>
    </w:pPr>
  </w:style>
  <w:style w:type="numbering" w:customStyle="1" w:styleId="NTTRedBulletList">
    <w:name w:val="_NTT Red Bullet List"/>
    <w:uiPriority w:val="89"/>
    <w:rsid w:val="00FF625A"/>
    <w:pPr>
      <w:numPr>
        <w:numId w:val="15"/>
      </w:numPr>
    </w:pPr>
  </w:style>
  <w:style w:type="numbering" w:customStyle="1" w:styleId="NTTRedTableBulletList">
    <w:name w:val="_NTT Red Table Bullet List"/>
    <w:uiPriority w:val="89"/>
    <w:rsid w:val="00FF625A"/>
    <w:pPr>
      <w:numPr>
        <w:numId w:val="16"/>
      </w:numPr>
    </w:pPr>
  </w:style>
  <w:style w:type="numbering" w:customStyle="1" w:styleId="NTTTableBulletList">
    <w:name w:val="_NTT Table Bullet List"/>
    <w:uiPriority w:val="89"/>
    <w:rsid w:val="00FF625A"/>
    <w:pPr>
      <w:numPr>
        <w:numId w:val="17"/>
      </w:numPr>
    </w:pPr>
  </w:style>
  <w:style w:type="paragraph" w:customStyle="1" w:styleId="NTTRedBullet1">
    <w:name w:val="NTT Red Bullet 1"/>
    <w:basedOn w:val="NTTBlueBullet1"/>
    <w:uiPriority w:val="39"/>
    <w:unhideWhenUsed/>
    <w:rsid w:val="0002263F"/>
    <w:rPr>
      <w:color w:val="E42600"/>
    </w:rPr>
  </w:style>
  <w:style w:type="paragraph" w:customStyle="1" w:styleId="NTTRedBullet2">
    <w:name w:val="NTT Red Bullet 2"/>
    <w:basedOn w:val="NTTBlueBullet2"/>
    <w:uiPriority w:val="39"/>
    <w:unhideWhenUsed/>
    <w:rsid w:val="0002263F"/>
    <w:rPr>
      <w:color w:val="E42600"/>
    </w:rPr>
  </w:style>
  <w:style w:type="paragraph" w:customStyle="1" w:styleId="NTTRedBullet3">
    <w:name w:val="NTT Red Bullet 3"/>
    <w:basedOn w:val="NTTBlueBullet3"/>
    <w:uiPriority w:val="39"/>
    <w:unhideWhenUsed/>
    <w:rsid w:val="0002263F"/>
    <w:rPr>
      <w:color w:val="E42600"/>
    </w:rPr>
  </w:style>
  <w:style w:type="paragraph" w:customStyle="1" w:styleId="NTTRedBullet4">
    <w:name w:val="NTT Red Bullet 4"/>
    <w:basedOn w:val="NTTBlueBullet4"/>
    <w:uiPriority w:val="39"/>
    <w:unhideWhenUsed/>
    <w:rsid w:val="0002263F"/>
    <w:rPr>
      <w:color w:val="E42600"/>
    </w:rPr>
  </w:style>
  <w:style w:type="paragraph" w:customStyle="1" w:styleId="NTTRedBullet5">
    <w:name w:val="NTT Red Bullet 5"/>
    <w:basedOn w:val="NTTBlueBullet5"/>
    <w:uiPriority w:val="39"/>
    <w:unhideWhenUsed/>
    <w:rsid w:val="0002263F"/>
    <w:rPr>
      <w:color w:val="E42600"/>
    </w:rPr>
  </w:style>
  <w:style w:type="paragraph" w:customStyle="1" w:styleId="NTTRedBullet6">
    <w:name w:val="NTT Red Bullet 6"/>
    <w:basedOn w:val="NTTBlueBullet6"/>
    <w:uiPriority w:val="39"/>
    <w:unhideWhenUsed/>
    <w:rsid w:val="0002263F"/>
    <w:rPr>
      <w:color w:val="E42600"/>
    </w:rPr>
  </w:style>
  <w:style w:type="paragraph" w:customStyle="1" w:styleId="NTTRedBullet7">
    <w:name w:val="NTT Red Bullet 7"/>
    <w:basedOn w:val="NTTBlueBullet7"/>
    <w:uiPriority w:val="39"/>
    <w:unhideWhenUsed/>
    <w:rsid w:val="0002263F"/>
    <w:rPr>
      <w:color w:val="E42600"/>
    </w:rPr>
  </w:style>
  <w:style w:type="paragraph" w:customStyle="1" w:styleId="NTTRedBullet8">
    <w:name w:val="NTT Red Bullet 8"/>
    <w:basedOn w:val="NTTBlueBullet8"/>
    <w:uiPriority w:val="39"/>
    <w:unhideWhenUsed/>
    <w:rsid w:val="0002263F"/>
    <w:rPr>
      <w:color w:val="E42600"/>
    </w:rPr>
  </w:style>
  <w:style w:type="paragraph" w:customStyle="1" w:styleId="NTTRedBullet9">
    <w:name w:val="NTT Red Bullet 9"/>
    <w:basedOn w:val="NTTBlueBullet9"/>
    <w:uiPriority w:val="39"/>
    <w:unhideWhenUsed/>
    <w:rsid w:val="0002263F"/>
    <w:rPr>
      <w:color w:val="E42600"/>
    </w:rPr>
  </w:style>
  <w:style w:type="paragraph" w:customStyle="1" w:styleId="NTTTableBullet1">
    <w:name w:val="NTT Table Bullet 1"/>
    <w:basedOn w:val="NTTBlueTableBullet1"/>
    <w:uiPriority w:val="14"/>
    <w:rsid w:val="004703D8"/>
    <w:rPr>
      <w:color w:val="2E404D" w:themeColor="text1"/>
    </w:rPr>
  </w:style>
  <w:style w:type="paragraph" w:customStyle="1" w:styleId="NTTRedTableBullet1">
    <w:name w:val="NTT Red Table Bullet 1"/>
    <w:basedOn w:val="NTTBlueTableBullet1"/>
    <w:uiPriority w:val="44"/>
    <w:unhideWhenUsed/>
    <w:rsid w:val="0002263F"/>
    <w:rPr>
      <w:color w:val="E42600"/>
    </w:rPr>
  </w:style>
  <w:style w:type="paragraph" w:customStyle="1" w:styleId="NTTTableBullet2">
    <w:name w:val="NTT Table Bullet 2"/>
    <w:basedOn w:val="NTTTableBullet1"/>
    <w:uiPriority w:val="14"/>
    <w:rsid w:val="00E728B1"/>
    <w:pPr>
      <w:numPr>
        <w:ilvl w:val="1"/>
        <w:numId w:val="18"/>
      </w:numPr>
      <w:tabs>
        <w:tab w:val="clear" w:pos="567"/>
      </w:tabs>
      <w:ind w:left="851" w:hanging="454"/>
    </w:pPr>
  </w:style>
  <w:style w:type="paragraph" w:customStyle="1" w:styleId="NTTRedTableBullet2">
    <w:name w:val="NTT Red Table Bullet 2"/>
    <w:basedOn w:val="NTTBlueTableBullet2"/>
    <w:uiPriority w:val="44"/>
    <w:unhideWhenUsed/>
    <w:rsid w:val="0002263F"/>
    <w:pPr>
      <w:contextualSpacing/>
    </w:pPr>
    <w:rPr>
      <w:color w:val="E42600"/>
    </w:rPr>
  </w:style>
  <w:style w:type="paragraph" w:customStyle="1" w:styleId="NTTTableBullet3">
    <w:name w:val="NTT Table Bullet 3"/>
    <w:basedOn w:val="NTTTableBullet2"/>
    <w:uiPriority w:val="14"/>
    <w:rsid w:val="004703D8"/>
    <w:pPr>
      <w:numPr>
        <w:ilvl w:val="2"/>
      </w:numPr>
      <w:tabs>
        <w:tab w:val="clear" w:pos="851"/>
      </w:tabs>
      <w:ind w:left="964"/>
    </w:pPr>
  </w:style>
  <w:style w:type="paragraph" w:customStyle="1" w:styleId="NTTRedTableBullet3">
    <w:name w:val="NTT Red Table Bullet 3"/>
    <w:basedOn w:val="NTTBlueTableBullet3"/>
    <w:uiPriority w:val="44"/>
    <w:unhideWhenUsed/>
    <w:rsid w:val="00F540DE"/>
    <w:rPr>
      <w:color w:val="E42600"/>
    </w:rPr>
  </w:style>
  <w:style w:type="paragraph" w:customStyle="1" w:styleId="NTTTableBullet4">
    <w:name w:val="NTT Table Bullet 4"/>
    <w:basedOn w:val="NTTBlueTableBullet4"/>
    <w:uiPriority w:val="14"/>
    <w:rsid w:val="0074771F"/>
    <w:pPr>
      <w:tabs>
        <w:tab w:val="clear" w:pos="0"/>
      </w:tabs>
      <w:contextualSpacing/>
    </w:pPr>
    <w:rPr>
      <w:color w:val="2E404D" w:themeColor="text1"/>
    </w:rPr>
  </w:style>
  <w:style w:type="paragraph" w:customStyle="1" w:styleId="NTTRedTableBullet4">
    <w:name w:val="NTT Red Table Bullet 4"/>
    <w:basedOn w:val="NTTBlueTableBullet4"/>
    <w:uiPriority w:val="44"/>
    <w:unhideWhenUsed/>
    <w:rsid w:val="0083153F"/>
    <w:pPr>
      <w:tabs>
        <w:tab w:val="clear" w:pos="0"/>
      </w:tabs>
      <w:contextualSpacing/>
    </w:pPr>
    <w:rPr>
      <w:color w:val="E42600"/>
    </w:rPr>
  </w:style>
  <w:style w:type="paragraph" w:customStyle="1" w:styleId="NTTTableBullet5">
    <w:name w:val="NTT Table Bullet 5"/>
    <w:basedOn w:val="NTTBlueTableBullet5"/>
    <w:uiPriority w:val="14"/>
    <w:rsid w:val="004D35A5"/>
    <w:rPr>
      <w:color w:val="2E404D" w:themeColor="text1"/>
    </w:rPr>
  </w:style>
  <w:style w:type="paragraph" w:customStyle="1" w:styleId="NTTRedTableBullet5">
    <w:name w:val="NTT Red Table Bullet 5"/>
    <w:basedOn w:val="NTTBlueTableBullet5"/>
    <w:uiPriority w:val="44"/>
    <w:unhideWhenUsed/>
    <w:rsid w:val="005969B0"/>
    <w:rPr>
      <w:color w:val="E42600"/>
    </w:rPr>
  </w:style>
  <w:style w:type="paragraph" w:customStyle="1" w:styleId="NTTTableBullet6">
    <w:name w:val="NTT Table Bullet 6"/>
    <w:basedOn w:val="NTTRedTableBullet6"/>
    <w:uiPriority w:val="14"/>
    <w:rsid w:val="004D35A5"/>
    <w:rPr>
      <w:color w:val="2E404D" w:themeColor="text1"/>
    </w:rPr>
  </w:style>
  <w:style w:type="paragraph" w:customStyle="1" w:styleId="NTTRedTableBullet6">
    <w:name w:val="NTT Red Table Bullet 6"/>
    <w:basedOn w:val="NTTBlueTableBullet6"/>
    <w:uiPriority w:val="44"/>
    <w:unhideWhenUsed/>
    <w:rsid w:val="0002263F"/>
    <w:pPr>
      <w:contextualSpacing/>
    </w:pPr>
    <w:rPr>
      <w:color w:val="E42600"/>
    </w:rPr>
  </w:style>
  <w:style w:type="paragraph" w:customStyle="1" w:styleId="NTTTableBullet7">
    <w:name w:val="NTT Table Bullet 7"/>
    <w:basedOn w:val="NTTBlueTableBullet7"/>
    <w:uiPriority w:val="14"/>
    <w:rsid w:val="006569FC"/>
    <w:pPr>
      <w:contextualSpacing/>
    </w:pPr>
    <w:rPr>
      <w:color w:val="2E404D" w:themeColor="text1"/>
    </w:rPr>
  </w:style>
  <w:style w:type="paragraph" w:customStyle="1" w:styleId="NTTRedTableBullet7">
    <w:name w:val="NTT Red Table Bullet 7"/>
    <w:basedOn w:val="NTTBlueTableBullet7"/>
    <w:uiPriority w:val="44"/>
    <w:unhideWhenUsed/>
    <w:rsid w:val="0083153F"/>
    <w:pPr>
      <w:contextualSpacing/>
    </w:pPr>
    <w:rPr>
      <w:color w:val="E42600"/>
    </w:rPr>
  </w:style>
  <w:style w:type="paragraph" w:customStyle="1" w:styleId="NTTTableBullet8">
    <w:name w:val="NTT Table Bullet 8"/>
    <w:basedOn w:val="NTTTableBullet7"/>
    <w:uiPriority w:val="14"/>
    <w:rsid w:val="00D87AB2"/>
    <w:pPr>
      <w:numPr>
        <w:ilvl w:val="7"/>
        <w:numId w:val="18"/>
      </w:numPr>
      <w:tabs>
        <w:tab w:val="clear" w:pos="1134"/>
      </w:tabs>
      <w:ind w:left="964" w:hanging="340"/>
    </w:pPr>
  </w:style>
  <w:style w:type="paragraph" w:customStyle="1" w:styleId="NTTRedTableBullet8">
    <w:name w:val="NTT Red Table Bullet 8"/>
    <w:basedOn w:val="NTTBlueTableBullet8"/>
    <w:uiPriority w:val="44"/>
    <w:unhideWhenUsed/>
    <w:rsid w:val="0083153F"/>
    <w:pPr>
      <w:tabs>
        <w:tab w:val="clear" w:pos="1134"/>
      </w:tabs>
      <w:contextualSpacing/>
    </w:pPr>
    <w:rPr>
      <w:color w:val="E42600"/>
    </w:rPr>
  </w:style>
  <w:style w:type="paragraph" w:customStyle="1" w:styleId="NTTTableBullet9">
    <w:name w:val="NTT Table Bullet 9"/>
    <w:basedOn w:val="NTTTableBullet8"/>
    <w:uiPriority w:val="14"/>
    <w:rsid w:val="004C2406"/>
    <w:pPr>
      <w:numPr>
        <w:ilvl w:val="8"/>
      </w:numPr>
      <w:ind w:left="964" w:hanging="340"/>
    </w:pPr>
  </w:style>
  <w:style w:type="paragraph" w:customStyle="1" w:styleId="NTTRedTableBullet9">
    <w:name w:val="NTT Red Table Bullet 9"/>
    <w:basedOn w:val="NTTBlueTableBullet9"/>
    <w:uiPriority w:val="44"/>
    <w:unhideWhenUsed/>
    <w:rsid w:val="0083153F"/>
    <w:pPr>
      <w:tabs>
        <w:tab w:val="clear" w:pos="1701"/>
      </w:tabs>
    </w:pPr>
    <w:rPr>
      <w:color w:val="E42600"/>
    </w:rPr>
  </w:style>
  <w:style w:type="paragraph" w:styleId="BalloonText">
    <w:name w:val="Balloon Text"/>
    <w:basedOn w:val="Normal"/>
    <w:link w:val="BalloonTextChar"/>
    <w:uiPriority w:val="99"/>
    <w:semiHidden/>
    <w:unhideWhenUsed/>
    <w:rsid w:val="000A6681"/>
    <w:pPr>
      <w:spacing w:line="240" w:lineRule="auto"/>
    </w:pPr>
    <w:rPr>
      <w:rFonts w:asciiTheme="minorHAnsi" w:hAnsiTheme="minorHAnsi" w:cs="Segoe UI"/>
      <w:sz w:val="18"/>
      <w:szCs w:val="18"/>
    </w:rPr>
  </w:style>
  <w:style w:type="character" w:customStyle="1" w:styleId="BalloonTextChar">
    <w:name w:val="Balloon Text Char"/>
    <w:basedOn w:val="DefaultParagraphFont"/>
    <w:link w:val="BalloonText"/>
    <w:uiPriority w:val="99"/>
    <w:semiHidden/>
    <w:rsid w:val="000A6681"/>
    <w:rPr>
      <w:rFonts w:cs="Segoe UI"/>
      <w:sz w:val="18"/>
      <w:szCs w:val="18"/>
      <w:lang w:val="en-US"/>
    </w:rPr>
  </w:style>
  <w:style w:type="paragraph" w:styleId="Bibliography">
    <w:name w:val="Bibliography"/>
    <w:basedOn w:val="Normal"/>
    <w:next w:val="Normal"/>
    <w:uiPriority w:val="37"/>
    <w:semiHidden/>
    <w:unhideWhenUsed/>
    <w:rsid w:val="000A6681"/>
  </w:style>
  <w:style w:type="paragraph" w:styleId="NormalIndent">
    <w:name w:val="Normal Indent"/>
    <w:basedOn w:val="Normal"/>
    <w:uiPriority w:val="99"/>
    <w:semiHidden/>
    <w:unhideWhenUsed/>
    <w:rsid w:val="00392431"/>
    <w:pPr>
      <w:ind w:left="851"/>
    </w:pPr>
    <w:rPr>
      <w:color w:val="2E404D" w:themeColor="text1"/>
    </w:rPr>
  </w:style>
  <w:style w:type="character" w:styleId="PageNumber">
    <w:name w:val="page number"/>
    <w:basedOn w:val="DefaultParagraphFont"/>
    <w:uiPriority w:val="99"/>
    <w:semiHidden/>
    <w:unhideWhenUsed/>
    <w:rsid w:val="00392431"/>
    <w:rPr>
      <w:rFonts w:ascii="Arial" w:hAnsi="Arial"/>
      <w:color w:val="2E404D" w:themeColor="text1"/>
    </w:rPr>
  </w:style>
  <w:style w:type="paragraph" w:customStyle="1" w:styleId="NTTAPicture">
    <w:name w:val="NTT A Picture"/>
    <w:basedOn w:val="Normal"/>
    <w:next w:val="Caption"/>
    <w:uiPriority w:val="9"/>
    <w:rsid w:val="007F37BC"/>
    <w:pPr>
      <w:keepNext/>
    </w:pPr>
    <w:rPr>
      <w:rFonts w:eastAsia="Times New Roman" w:cs="Arial"/>
      <w:color w:val="2E404D" w:themeColor="text1"/>
      <w:kern w:val="20"/>
      <w:szCs w:val="20"/>
      <w:lang w:val="en-GB"/>
      <w14:ligatures w14:val="none"/>
    </w:rPr>
  </w:style>
  <w:style w:type="paragraph" w:customStyle="1" w:styleId="NTTActionCaption">
    <w:name w:val="NTT Action Caption"/>
    <w:basedOn w:val="Normal"/>
    <w:next w:val="Normal"/>
    <w:uiPriority w:val="99"/>
    <w:rsid w:val="00A97E47"/>
    <w:pPr>
      <w:spacing w:before="160" w:after="60"/>
    </w:pPr>
    <w:rPr>
      <w:rFonts w:eastAsia="Times New Roman" w:cs="Arial"/>
      <w:i/>
      <w:color w:val="2E404D" w:themeColor="text1"/>
      <w:kern w:val="18"/>
      <w:sz w:val="18"/>
      <w:szCs w:val="20"/>
      <w:lang w:val="en-GB" w:eastAsia="en-GB"/>
      <w14:ligatures w14:val="none"/>
    </w:rPr>
  </w:style>
  <w:style w:type="paragraph" w:customStyle="1" w:styleId="NTTAttachment">
    <w:name w:val="NTT Attachment"/>
    <w:next w:val="Normal"/>
    <w:link w:val="NTTAttachmentChar"/>
    <w:unhideWhenUsed/>
    <w:locked/>
    <w:rsid w:val="00AB5773"/>
    <w:pPr>
      <w:pageBreakBefore/>
      <w:numPr>
        <w:numId w:val="19"/>
      </w:numPr>
      <w:spacing w:before="240" w:after="120" w:line="264" w:lineRule="auto"/>
      <w:ind w:left="1418" w:hanging="1418"/>
      <w:outlineLvl w:val="0"/>
    </w:pPr>
    <w:rPr>
      <w:rFonts w:ascii="Arial Bold" w:hAnsi="Arial Bold" w:cs="Arial"/>
      <w:b/>
      <w:color w:val="2E404D" w:themeColor="text1"/>
      <w:kern w:val="20"/>
      <w:sz w:val="20"/>
      <w:szCs w:val="22"/>
      <w:lang w:val="en-GB"/>
      <w14:ligatures w14:val="none"/>
    </w:rPr>
  </w:style>
  <w:style w:type="character" w:customStyle="1" w:styleId="NTTAttachmentChar">
    <w:name w:val="NTT Attachment Char"/>
    <w:basedOn w:val="DefaultParagraphFont"/>
    <w:link w:val="NTTAttachment"/>
    <w:rsid w:val="00AB5773"/>
    <w:rPr>
      <w:rFonts w:ascii="Arial Bold" w:hAnsi="Arial Bold" w:cs="Arial"/>
      <w:b/>
      <w:color w:val="2E404D" w:themeColor="text1"/>
      <w:kern w:val="20"/>
      <w:sz w:val="20"/>
      <w:szCs w:val="22"/>
      <w:lang w:val="en-GB"/>
      <w14:ligatures w14:val="none"/>
    </w:rPr>
  </w:style>
  <w:style w:type="paragraph" w:customStyle="1" w:styleId="NTTBlueBodyBoldText">
    <w:name w:val="NTT Blue Body Bold Text"/>
    <w:basedOn w:val="Normal"/>
    <w:next w:val="Normal"/>
    <w:uiPriority w:val="29"/>
    <w:rsid w:val="005475C3"/>
    <w:pPr>
      <w:keepNext/>
      <w:keepLines/>
      <w:spacing w:before="160" w:after="160"/>
      <w:ind w:left="851"/>
    </w:pPr>
    <w:rPr>
      <w:rFonts w:ascii="Arial Bold" w:eastAsia="Times New Roman" w:hAnsi="Arial Bold" w:cs="Arial"/>
      <w:b/>
      <w:color w:val="005B96" w:themeColor="accent3"/>
      <w:kern w:val="20"/>
      <w:szCs w:val="20"/>
      <w:lang w:val="en-GB"/>
      <w14:ligatures w14:val="none"/>
    </w:rPr>
  </w:style>
  <w:style w:type="paragraph" w:customStyle="1" w:styleId="NTTBlueBodyText">
    <w:name w:val="NTT Blue Body Text"/>
    <w:basedOn w:val="Normal"/>
    <w:uiPriority w:val="29"/>
    <w:rsid w:val="00045EA2"/>
    <w:pPr>
      <w:spacing w:before="160" w:after="160"/>
      <w:ind w:left="851"/>
    </w:pPr>
    <w:rPr>
      <w:rFonts w:eastAsia="Times New Roman" w:cs="Arial"/>
      <w:color w:val="005B96" w:themeColor="accent3"/>
      <w:kern w:val="20"/>
      <w:szCs w:val="20"/>
      <w:lang w:val="en-GB"/>
      <w14:ligatures w14:val="none"/>
    </w:rPr>
  </w:style>
  <w:style w:type="paragraph" w:customStyle="1" w:styleId="NTTBlueQuestion">
    <w:name w:val="NTT Blue Question"/>
    <w:basedOn w:val="NTTBlueBodyText"/>
    <w:next w:val="Normal"/>
    <w:uiPriority w:val="29"/>
    <w:qFormat/>
    <w:rsid w:val="00690285"/>
    <w:pPr>
      <w:ind w:hanging="851"/>
    </w:pPr>
  </w:style>
  <w:style w:type="paragraph" w:customStyle="1" w:styleId="NTTBlueTableBodyText">
    <w:name w:val="NTT Blue Table Body Text"/>
    <w:basedOn w:val="Normal"/>
    <w:uiPriority w:val="34"/>
    <w:rsid w:val="00690285"/>
    <w:rPr>
      <w:rFonts w:eastAsia="Times New Roman" w:cs="Arial"/>
      <w:color w:val="005B96" w:themeColor="accent3"/>
      <w:kern w:val="18"/>
      <w:szCs w:val="18"/>
      <w:lang w:val="en-GB"/>
      <w14:ligatures w14:val="none"/>
    </w:rPr>
  </w:style>
  <w:style w:type="paragraph" w:customStyle="1" w:styleId="NTTBodyBoldText">
    <w:name w:val="NTT Body Bold Text"/>
    <w:basedOn w:val="Normal"/>
    <w:next w:val="Normal"/>
    <w:uiPriority w:val="9"/>
    <w:qFormat/>
    <w:rsid w:val="00B52EA2"/>
    <w:pPr>
      <w:keepNext/>
      <w:keepLines/>
      <w:spacing w:before="160" w:after="160"/>
      <w:ind w:left="851"/>
    </w:pPr>
    <w:rPr>
      <w:rFonts w:ascii="Arial Bold" w:eastAsia="Times New Roman" w:hAnsi="Arial Bold" w:cs="Arial"/>
      <w:b/>
      <w:color w:val="2E404D" w:themeColor="text1"/>
      <w:kern w:val="20"/>
      <w:szCs w:val="20"/>
      <w:lang w:val="en-GB"/>
      <w14:ligatures w14:val="none"/>
    </w:rPr>
  </w:style>
  <w:style w:type="paragraph" w:customStyle="1" w:styleId="NTTBodyText">
    <w:name w:val="NTT Body Text"/>
    <w:link w:val="NTTBodyTextChar"/>
    <w:uiPriority w:val="1"/>
    <w:qFormat/>
    <w:rsid w:val="00690285"/>
    <w:pPr>
      <w:spacing w:before="160" w:after="160" w:line="264" w:lineRule="auto"/>
      <w:ind w:left="851"/>
    </w:pPr>
    <w:rPr>
      <w:rFonts w:ascii="Arial" w:eastAsia="Times New Roman" w:hAnsi="Arial" w:cs="Arial"/>
      <w:color w:val="2E404D" w:themeColor="text1"/>
      <w:kern w:val="20"/>
      <w:sz w:val="20"/>
      <w:szCs w:val="20"/>
      <w:lang w:val="en-GB"/>
      <w14:ligatures w14:val="none"/>
    </w:rPr>
  </w:style>
  <w:style w:type="character" w:customStyle="1" w:styleId="NTTBodyTextChar">
    <w:name w:val="NTT Body Text Char"/>
    <w:basedOn w:val="DefaultParagraphFont"/>
    <w:link w:val="NTTBodyText"/>
    <w:uiPriority w:val="1"/>
    <w:rsid w:val="00690285"/>
    <w:rPr>
      <w:rFonts w:ascii="Arial" w:eastAsia="Times New Roman" w:hAnsi="Arial" w:cs="Arial"/>
      <w:color w:val="2E404D" w:themeColor="text1"/>
      <w:kern w:val="20"/>
      <w:sz w:val="20"/>
      <w:szCs w:val="20"/>
      <w:lang w:val="en-GB"/>
      <w14:ligatures w14:val="none"/>
    </w:rPr>
  </w:style>
  <w:style w:type="paragraph" w:customStyle="1" w:styleId="NTTFlushBlueBodyBold">
    <w:name w:val="NTT Flush Blue Body Bold"/>
    <w:basedOn w:val="Normal"/>
    <w:link w:val="NTTFlushBlueBodyBoldChar"/>
    <w:rsid w:val="00263F18"/>
    <w:pPr>
      <w:keepNext/>
      <w:keepLines/>
      <w:spacing w:before="160" w:after="160"/>
    </w:pPr>
    <w:rPr>
      <w:rFonts w:ascii="Arial Bold" w:eastAsia="Times New Roman" w:hAnsi="Arial Bold" w:cs="Arial"/>
      <w:b/>
      <w:color w:val="005B96" w:themeColor="accent3"/>
      <w:kern w:val="20"/>
      <w:szCs w:val="20"/>
      <w:lang w:val="en-GB"/>
      <w14:ligatures w14:val="none"/>
    </w:rPr>
  </w:style>
  <w:style w:type="character" w:customStyle="1" w:styleId="NTTFlushBlueBodyBoldChar">
    <w:name w:val="NTT Flush Blue Body Bold Char"/>
    <w:basedOn w:val="DefaultParagraphFont"/>
    <w:link w:val="NTTFlushBlueBodyBold"/>
    <w:rsid w:val="00263F18"/>
    <w:rPr>
      <w:rFonts w:ascii="Arial Bold" w:eastAsia="Times New Roman" w:hAnsi="Arial Bold" w:cs="Arial"/>
      <w:b/>
      <w:color w:val="005B96" w:themeColor="accent3"/>
      <w:kern w:val="20"/>
      <w:sz w:val="20"/>
      <w:szCs w:val="20"/>
      <w:lang w:val="en-GB"/>
      <w14:ligatures w14:val="none"/>
    </w:rPr>
  </w:style>
  <w:style w:type="paragraph" w:customStyle="1" w:styleId="NTTFlushBlueBodyText">
    <w:name w:val="NTT Flush Blue Body Text"/>
    <w:basedOn w:val="Normal"/>
    <w:link w:val="NTTFlushBlueBodyTextChar"/>
    <w:rsid w:val="00E32017"/>
    <w:pPr>
      <w:spacing w:before="160" w:after="160"/>
    </w:pPr>
    <w:rPr>
      <w:rFonts w:eastAsia="Times New Roman" w:cs="Arial"/>
      <w:color w:val="005B96" w:themeColor="accent3"/>
      <w:kern w:val="20"/>
      <w:szCs w:val="20"/>
      <w:lang w:val="en-GB"/>
      <w14:ligatures w14:val="none"/>
    </w:rPr>
  </w:style>
  <w:style w:type="character" w:customStyle="1" w:styleId="NTTFlushBlueBodyTextChar">
    <w:name w:val="NTT Flush Blue Body Text Char"/>
    <w:basedOn w:val="DefaultParagraphFont"/>
    <w:link w:val="NTTFlushBlueBodyText"/>
    <w:rsid w:val="00E32017"/>
    <w:rPr>
      <w:rFonts w:ascii="Arial" w:eastAsia="Times New Roman" w:hAnsi="Arial" w:cs="Arial"/>
      <w:color w:val="005B96" w:themeColor="accent3"/>
      <w:kern w:val="20"/>
      <w:sz w:val="20"/>
      <w:szCs w:val="20"/>
      <w:lang w:val="en-GB"/>
      <w14:ligatures w14:val="none"/>
    </w:rPr>
  </w:style>
  <w:style w:type="paragraph" w:customStyle="1" w:styleId="NTTFlushBodyText">
    <w:name w:val="NTT Flush Body Text"/>
    <w:basedOn w:val="NTTBodyText"/>
    <w:uiPriority w:val="4"/>
    <w:rsid w:val="00E32017"/>
    <w:pPr>
      <w:ind w:left="0"/>
    </w:pPr>
  </w:style>
  <w:style w:type="paragraph" w:customStyle="1" w:styleId="NTTFlushBodyBold">
    <w:name w:val="NTT Flush Body Bold"/>
    <w:basedOn w:val="NTTFlushBodyText"/>
    <w:next w:val="NTTFlushBodyText"/>
    <w:uiPriority w:val="19"/>
    <w:rsid w:val="00C33FA2"/>
    <w:pPr>
      <w:keepNext/>
      <w:keepLines/>
    </w:pPr>
    <w:rPr>
      <w:rFonts w:ascii="Arial Bold" w:hAnsi="Arial Bold"/>
      <w:b/>
    </w:rPr>
  </w:style>
  <w:style w:type="paragraph" w:customStyle="1" w:styleId="NTTFlushPicture">
    <w:name w:val="NTT Flush Picture"/>
    <w:basedOn w:val="NTTFlushBodyText"/>
    <w:next w:val="CaptionWide"/>
    <w:uiPriority w:val="19"/>
    <w:qFormat/>
    <w:rsid w:val="00E32017"/>
  </w:style>
  <w:style w:type="paragraph" w:customStyle="1" w:styleId="NTTLegalBody">
    <w:name w:val="NTT Legal Body"/>
    <w:link w:val="NTTLegalBodyChar"/>
    <w:unhideWhenUsed/>
    <w:locked/>
    <w:rsid w:val="00E32017"/>
    <w:pPr>
      <w:spacing w:before="160" w:after="160" w:line="264" w:lineRule="auto"/>
    </w:pPr>
    <w:rPr>
      <w:rFonts w:ascii="Arial" w:hAnsi="Arial" w:cs="Arial"/>
      <w:color w:val="2E404D" w:themeColor="text1"/>
      <w:kern w:val="20"/>
      <w:sz w:val="20"/>
      <w:szCs w:val="22"/>
      <w:lang w:val="en-GB"/>
      <w14:ligatures w14:val="none"/>
    </w:rPr>
  </w:style>
  <w:style w:type="character" w:customStyle="1" w:styleId="NTTLegalBodyChar">
    <w:name w:val="NTT Legal Body Char"/>
    <w:basedOn w:val="DefaultParagraphFont"/>
    <w:link w:val="NTTLegalBody"/>
    <w:rsid w:val="00E32017"/>
    <w:rPr>
      <w:rFonts w:ascii="Arial" w:hAnsi="Arial" w:cs="Arial"/>
      <w:color w:val="2E404D" w:themeColor="text1"/>
      <w:kern w:val="20"/>
      <w:sz w:val="20"/>
      <w:szCs w:val="22"/>
      <w:lang w:val="en-GB"/>
      <w14:ligatures w14:val="none"/>
    </w:rPr>
  </w:style>
  <w:style w:type="paragraph" w:customStyle="1" w:styleId="NTTLegal1">
    <w:name w:val="NTT Legal_1"/>
    <w:basedOn w:val="Legalnumbering1"/>
    <w:next w:val="Normal"/>
    <w:link w:val="NTTLegal1Char"/>
    <w:unhideWhenUsed/>
    <w:locked/>
    <w:rsid w:val="00241D70"/>
    <w:pPr>
      <w:ind w:left="851" w:hanging="851"/>
    </w:pPr>
  </w:style>
  <w:style w:type="character" w:customStyle="1" w:styleId="NTTLegal1Char">
    <w:name w:val="NTT Legal_1 Char"/>
    <w:basedOn w:val="DefaultParagraphFont"/>
    <w:link w:val="NTTLegal1"/>
    <w:rsid w:val="00241D70"/>
    <w:rPr>
      <w:rFonts w:ascii="Arial" w:eastAsia="Times New Roman" w:hAnsi="Arial" w:cs="Arial"/>
      <w:color w:val="2E404D" w:themeColor="text1"/>
      <w:kern w:val="20"/>
      <w:sz w:val="20"/>
      <w:szCs w:val="20"/>
      <w:lang w:val="en-GB"/>
      <w14:ligatures w14:val="none"/>
    </w:rPr>
  </w:style>
  <w:style w:type="paragraph" w:customStyle="1" w:styleId="NTTLegal2">
    <w:name w:val="NTT Legal_2"/>
    <w:basedOn w:val="Legalnumbering2"/>
    <w:link w:val="NTTLegal2Char"/>
    <w:unhideWhenUsed/>
    <w:rsid w:val="00241D70"/>
    <w:pPr>
      <w:ind w:left="851" w:hanging="851"/>
    </w:pPr>
  </w:style>
  <w:style w:type="character" w:customStyle="1" w:styleId="NTTLegal2Char">
    <w:name w:val="NTT Legal_2 Char"/>
    <w:basedOn w:val="DefaultParagraphFont"/>
    <w:link w:val="NTTLegal2"/>
    <w:rsid w:val="00241D70"/>
    <w:rPr>
      <w:rFonts w:ascii="Arial" w:eastAsia="Times New Roman" w:hAnsi="Arial" w:cs="Arial"/>
      <w:color w:val="2E404D" w:themeColor="text1"/>
      <w:kern w:val="20"/>
      <w:sz w:val="20"/>
      <w:szCs w:val="20"/>
      <w:lang w:val="en-GB"/>
      <w14:ligatures w14:val="none"/>
    </w:rPr>
  </w:style>
  <w:style w:type="paragraph" w:customStyle="1" w:styleId="NTTLegal3">
    <w:name w:val="NTT Legal_3"/>
    <w:basedOn w:val="Legalnumbering3"/>
    <w:link w:val="NTTLegal3Char"/>
    <w:unhideWhenUsed/>
    <w:rsid w:val="00241D70"/>
    <w:pPr>
      <w:ind w:left="851" w:hanging="851"/>
    </w:pPr>
  </w:style>
  <w:style w:type="character" w:customStyle="1" w:styleId="NTTLegal3Char">
    <w:name w:val="NTT Legal_3 Char"/>
    <w:basedOn w:val="DefaultParagraphFont"/>
    <w:link w:val="NTTLegal3"/>
    <w:rsid w:val="00241D70"/>
    <w:rPr>
      <w:rFonts w:ascii="Arial" w:eastAsia="Times New Roman" w:hAnsi="Arial" w:cs="Arial"/>
      <w:color w:val="2E404D" w:themeColor="text1"/>
      <w:kern w:val="20"/>
      <w:sz w:val="20"/>
      <w:szCs w:val="20"/>
      <w:lang w:val="en-GB"/>
      <w14:ligatures w14:val="none"/>
    </w:rPr>
  </w:style>
  <w:style w:type="paragraph" w:customStyle="1" w:styleId="NTTLegal4">
    <w:name w:val="NTT Legal_4"/>
    <w:basedOn w:val="Normal"/>
    <w:link w:val="NTTLegal4Char"/>
    <w:unhideWhenUsed/>
    <w:rsid w:val="00E92B5A"/>
    <w:pPr>
      <w:numPr>
        <w:numId w:val="20"/>
      </w:numPr>
      <w:tabs>
        <w:tab w:val="left" w:pos="1417"/>
      </w:tabs>
      <w:spacing w:before="160" w:after="160"/>
      <w:ind w:left="1191" w:hanging="340"/>
      <w:contextualSpacing/>
      <w:outlineLvl w:val="3"/>
    </w:pPr>
    <w:rPr>
      <w:rFonts w:cs="Arial"/>
      <w:color w:val="2E404D" w:themeColor="text1"/>
      <w:kern w:val="20"/>
      <w:szCs w:val="22"/>
      <w:lang w:val="en-GB"/>
      <w14:ligatures w14:val="none"/>
    </w:rPr>
  </w:style>
  <w:style w:type="character" w:customStyle="1" w:styleId="NTTLegal4Char">
    <w:name w:val="NTT Legal_4 Char"/>
    <w:basedOn w:val="DefaultParagraphFont"/>
    <w:link w:val="NTTLegal4"/>
    <w:rsid w:val="00E92B5A"/>
    <w:rPr>
      <w:rFonts w:ascii="Arial" w:hAnsi="Arial" w:cs="Arial"/>
      <w:color w:val="2E404D" w:themeColor="text1"/>
      <w:kern w:val="20"/>
      <w:sz w:val="20"/>
      <w:szCs w:val="22"/>
      <w:lang w:val="en-GB"/>
      <w14:ligatures w14:val="none"/>
    </w:rPr>
  </w:style>
  <w:style w:type="paragraph" w:customStyle="1" w:styleId="NTTLegal5">
    <w:name w:val="NTT Legal_5"/>
    <w:basedOn w:val="Legalnumbering6"/>
    <w:link w:val="NTTLegal5Char"/>
    <w:unhideWhenUsed/>
    <w:rsid w:val="00E92B5A"/>
    <w:pPr>
      <w:ind w:left="1191"/>
    </w:pPr>
  </w:style>
  <w:style w:type="character" w:customStyle="1" w:styleId="NTTLegal5Char">
    <w:name w:val="NTT Legal_5 Char"/>
    <w:basedOn w:val="DefaultParagraphFont"/>
    <w:link w:val="NTTLegal5"/>
    <w:rsid w:val="00E92B5A"/>
    <w:rPr>
      <w:rFonts w:ascii="Arial" w:eastAsia="Times New Roman" w:hAnsi="Arial" w:cs="Arial"/>
      <w:color w:val="2E404D" w:themeColor="text1"/>
      <w:kern w:val="20"/>
      <w:sz w:val="20"/>
      <w:szCs w:val="20"/>
      <w:lang w:val="en-GB"/>
      <w14:ligatures w14:val="none"/>
    </w:rPr>
  </w:style>
  <w:style w:type="paragraph" w:customStyle="1" w:styleId="NTTLegal6">
    <w:name w:val="NTT Legal_6"/>
    <w:basedOn w:val="NTTLegal5"/>
    <w:link w:val="NTTLegal6Char"/>
    <w:unhideWhenUsed/>
    <w:rsid w:val="00E92B5A"/>
    <w:pPr>
      <w:numPr>
        <w:ilvl w:val="0"/>
        <w:numId w:val="21"/>
      </w:numPr>
      <w:ind w:left="1191" w:hanging="340"/>
    </w:pPr>
  </w:style>
  <w:style w:type="character" w:customStyle="1" w:styleId="NTTLegal6Char">
    <w:name w:val="NTT Legal_6 Char"/>
    <w:basedOn w:val="DefaultParagraphFont"/>
    <w:link w:val="NTTLegal6"/>
    <w:rsid w:val="00E92B5A"/>
    <w:rPr>
      <w:rFonts w:ascii="Arial" w:eastAsia="Times New Roman" w:hAnsi="Arial" w:cs="Arial"/>
      <w:color w:val="2E404D" w:themeColor="text1"/>
      <w:kern w:val="20"/>
      <w:sz w:val="20"/>
      <w:szCs w:val="20"/>
      <w:lang w:val="en-GB"/>
      <w14:ligatures w14:val="none"/>
    </w:rPr>
  </w:style>
  <w:style w:type="paragraph" w:customStyle="1" w:styleId="NTTQuestion">
    <w:name w:val="NTT Question"/>
    <w:basedOn w:val="NTTBlueQuestion"/>
    <w:next w:val="NTTBodyText"/>
    <w:uiPriority w:val="59"/>
    <w:qFormat/>
    <w:rsid w:val="00B3236F"/>
    <w:rPr>
      <w:color w:val="2E404D" w:themeColor="text1"/>
    </w:rPr>
  </w:style>
  <w:style w:type="paragraph" w:customStyle="1" w:styleId="NTTRedBodyText">
    <w:name w:val="NTT Red Body Text"/>
    <w:basedOn w:val="NTTBodyText"/>
    <w:uiPriority w:val="39"/>
    <w:unhideWhenUsed/>
    <w:rsid w:val="00676140"/>
    <w:rPr>
      <w:color w:val="E42600"/>
    </w:rPr>
  </w:style>
  <w:style w:type="paragraph" w:customStyle="1" w:styleId="NTTRedTableBodyText">
    <w:name w:val="NTT Red Table Body Text"/>
    <w:basedOn w:val="Normal"/>
    <w:uiPriority w:val="44"/>
    <w:unhideWhenUsed/>
    <w:rsid w:val="0002263F"/>
    <w:rPr>
      <w:rFonts w:eastAsia="Times New Roman" w:cs="Arial"/>
      <w:color w:val="E42600"/>
      <w:kern w:val="18"/>
      <w:szCs w:val="18"/>
      <w:lang w:val="en-GB"/>
      <w14:ligatures w14:val="none"/>
    </w:rPr>
  </w:style>
  <w:style w:type="paragraph" w:customStyle="1" w:styleId="NTTRqmtHeading">
    <w:name w:val="NTT Rqmt Heading"/>
    <w:next w:val="NTTBodyText"/>
    <w:uiPriority w:val="17"/>
    <w:rsid w:val="00AB7488"/>
    <w:pPr>
      <w:pBdr>
        <w:top w:val="single" w:sz="4" w:space="3" w:color="2E404D" w:themeColor="text1"/>
        <w:bottom w:val="single" w:sz="4" w:space="3" w:color="2E404D" w:themeColor="text1"/>
      </w:pBdr>
      <w:shd w:val="clear" w:color="auto" w:fill="E9E9E9" w:themeFill="accent6" w:themeFillTint="33"/>
      <w:spacing w:before="160" w:after="160" w:line="264" w:lineRule="auto"/>
      <w:ind w:left="851"/>
    </w:pPr>
    <w:rPr>
      <w:rFonts w:ascii="Arial" w:eastAsia="Times New Roman" w:hAnsi="Arial" w:cs="Arial"/>
      <w:color w:val="2E404D" w:themeColor="text1"/>
      <w:kern w:val="20"/>
      <w:sz w:val="20"/>
      <w:szCs w:val="20"/>
      <w:lang w:val="en-GB"/>
      <w14:ligatures w14:val="none"/>
    </w:rPr>
  </w:style>
  <w:style w:type="paragraph" w:customStyle="1" w:styleId="NTTRqmtHeadingWide">
    <w:name w:val="NTT Rqmt Heading Wide"/>
    <w:basedOn w:val="NTTRqmtHeading"/>
    <w:next w:val="NTTFlushBodyText"/>
    <w:uiPriority w:val="17"/>
    <w:rsid w:val="00AB7488"/>
    <w:pPr>
      <w:ind w:left="0"/>
    </w:pPr>
  </w:style>
  <w:style w:type="paragraph" w:customStyle="1" w:styleId="NTTSmallPrint">
    <w:name w:val="NTT Small Print"/>
    <w:basedOn w:val="NTTFlushBodyText"/>
    <w:uiPriority w:val="79"/>
    <w:unhideWhenUsed/>
    <w:rsid w:val="00676140"/>
    <w:rPr>
      <w:kern w:val="17"/>
      <w:sz w:val="17"/>
    </w:rPr>
  </w:style>
  <w:style w:type="paragraph" w:customStyle="1" w:styleId="NTTTableBodyText">
    <w:name w:val="NTT Table Body Text"/>
    <w:uiPriority w:val="14"/>
    <w:rsid w:val="00676140"/>
    <w:pPr>
      <w:spacing w:line="264" w:lineRule="auto"/>
    </w:pPr>
    <w:rPr>
      <w:rFonts w:ascii="Arial" w:eastAsia="Times New Roman" w:hAnsi="Arial" w:cs="Arial"/>
      <w:color w:val="2E404D" w:themeColor="text1"/>
      <w:kern w:val="18"/>
      <w:sz w:val="20"/>
      <w:szCs w:val="18"/>
      <w:lang w:val="en-GB"/>
      <w14:ligatures w14:val="none"/>
    </w:rPr>
  </w:style>
  <w:style w:type="numbering" w:customStyle="1" w:styleId="NTTHeadingsList">
    <w:name w:val="_NTT Headings List"/>
    <w:basedOn w:val="NoList"/>
    <w:uiPriority w:val="89"/>
    <w:rsid w:val="005F1C66"/>
    <w:pPr>
      <w:numPr>
        <w:numId w:val="22"/>
      </w:numPr>
    </w:pPr>
  </w:style>
  <w:style w:type="paragraph" w:customStyle="1" w:styleId="NTTFlushHeading">
    <w:name w:val="NTT Flush Heading"/>
    <w:next w:val="NTTFlushBodyText"/>
    <w:uiPriority w:val="3"/>
    <w:rsid w:val="00B3236F"/>
    <w:pPr>
      <w:keepNext/>
      <w:keepLines/>
      <w:pageBreakBefore/>
      <w:spacing w:after="360" w:line="264" w:lineRule="auto"/>
      <w:outlineLvl w:val="0"/>
    </w:pPr>
    <w:rPr>
      <w:rFonts w:ascii="Georgia" w:eastAsia="MS PGothic" w:hAnsi="Georgia" w:cs="Arial"/>
      <w:bCs/>
      <w:color w:val="0072BC" w:themeColor="accent2"/>
      <w:kern w:val="28"/>
      <w:sz w:val="40"/>
      <w:szCs w:val="28"/>
      <w:lang w:val="en-GB" w:eastAsia="ja-JP"/>
      <w14:ligatures w14:val="none"/>
    </w:rPr>
  </w:style>
  <w:style w:type="paragraph" w:customStyle="1" w:styleId="NTTFlushSubHeading">
    <w:name w:val="NTT Flush Sub Heading"/>
    <w:next w:val="NTTFlushBodyText"/>
    <w:uiPriority w:val="3"/>
    <w:rsid w:val="00AB5773"/>
    <w:pPr>
      <w:keepNext/>
      <w:keepLines/>
      <w:spacing w:before="360" w:after="120" w:line="264" w:lineRule="auto"/>
      <w:outlineLvl w:val="1"/>
    </w:pPr>
    <w:rPr>
      <w:rFonts w:asciiTheme="majorHAnsi" w:eastAsia="MS PGothic" w:hAnsiTheme="majorHAnsi" w:cs="Arial"/>
      <w:b/>
      <w:color w:val="2E404D" w:themeColor="text1"/>
      <w:kern w:val="24"/>
      <w:sz w:val="28"/>
      <w:lang w:val="en-GB" w:eastAsia="ja-JP"/>
      <w14:ligatures w14:val="none"/>
    </w:rPr>
  </w:style>
  <w:style w:type="paragraph" w:customStyle="1" w:styleId="NTTFlushSubSubHeading">
    <w:name w:val="NTT Flush Sub Sub Heading"/>
    <w:basedOn w:val="NTTFlushSubHeading"/>
    <w:next w:val="NTTFlushBodyText"/>
    <w:link w:val="NTTFlushSubSubHeadingChar"/>
    <w:rsid w:val="00627CC5"/>
    <w:pPr>
      <w:outlineLvl w:val="2"/>
    </w:pPr>
    <w:rPr>
      <w:b w:val="0"/>
      <w:szCs w:val="20"/>
    </w:rPr>
  </w:style>
  <w:style w:type="character" w:customStyle="1" w:styleId="NTTFlushSubSubHeadingChar">
    <w:name w:val="NTT Flush Sub Sub Heading Char"/>
    <w:basedOn w:val="NTTBodyTextChar"/>
    <w:link w:val="NTTFlushSubSubHeading"/>
    <w:rsid w:val="00627CC5"/>
    <w:rPr>
      <w:rFonts w:asciiTheme="majorHAnsi" w:eastAsia="MS PGothic" w:hAnsiTheme="majorHAnsi" w:cs="Arial"/>
      <w:color w:val="2E404D" w:themeColor="text1"/>
      <w:kern w:val="24"/>
      <w:sz w:val="28"/>
      <w:szCs w:val="20"/>
      <w:lang w:val="en-GB" w:eastAsia="ja-JP"/>
      <w14:ligatures w14:val="none"/>
    </w:rPr>
  </w:style>
  <w:style w:type="paragraph" w:styleId="TOCHeading">
    <w:name w:val="TOC Heading"/>
    <w:basedOn w:val="Normal"/>
    <w:next w:val="Normal"/>
    <w:uiPriority w:val="39"/>
    <w:unhideWhenUsed/>
    <w:qFormat/>
    <w:rsid w:val="00D24630"/>
    <w:pPr>
      <w:spacing w:after="360"/>
    </w:pPr>
    <w:rPr>
      <w:rFonts w:ascii="Georgia" w:eastAsiaTheme="majorEastAsia" w:hAnsi="Georgia" w:cstheme="majorBidi"/>
      <w:color w:val="0072BC" w:themeColor="accent2"/>
      <w:sz w:val="40"/>
      <w:szCs w:val="32"/>
    </w:rPr>
  </w:style>
  <w:style w:type="numbering" w:customStyle="1" w:styleId="NTTBoldBulletList">
    <w:name w:val="_NTT Bold Bullet List"/>
    <w:uiPriority w:val="89"/>
    <w:rsid w:val="00786EEE"/>
    <w:pPr>
      <w:numPr>
        <w:numId w:val="25"/>
      </w:numPr>
    </w:pPr>
  </w:style>
  <w:style w:type="paragraph" w:customStyle="1" w:styleId="NTTBoldBullet">
    <w:name w:val="NTT Bold Bullet"/>
    <w:basedOn w:val="NTTBullet1"/>
    <w:next w:val="Normal"/>
    <w:uiPriority w:val="9"/>
    <w:rsid w:val="00B52EA2"/>
    <w:pPr>
      <w:keepNext/>
      <w:keepLines/>
      <w:numPr>
        <w:ilvl w:val="2"/>
        <w:numId w:val="27"/>
      </w:numPr>
      <w:ind w:left="1135" w:hanging="284"/>
    </w:pPr>
    <w:rPr>
      <w:rFonts w:ascii="Arial Bold" w:hAnsi="Arial Bold"/>
      <w:b/>
    </w:rPr>
  </w:style>
  <w:style w:type="paragraph" w:customStyle="1" w:styleId="NTTBlueBoldBullet">
    <w:name w:val="NTT Blue Bold Bullet"/>
    <w:basedOn w:val="NTTBoldBullet"/>
    <w:next w:val="Normal"/>
    <w:uiPriority w:val="29"/>
    <w:rsid w:val="005475C3"/>
    <w:pPr>
      <w:numPr>
        <w:ilvl w:val="1"/>
      </w:numPr>
      <w:ind w:left="1135" w:hanging="284"/>
    </w:pPr>
    <w:rPr>
      <w:color w:val="005B96" w:themeColor="accent3"/>
    </w:rPr>
  </w:style>
  <w:style w:type="paragraph" w:customStyle="1" w:styleId="NTTFlushBlueBoldBullet">
    <w:name w:val="NTT Flush Blue Bold Bullet"/>
    <w:basedOn w:val="Normal"/>
    <w:link w:val="NTTFlushBlueBoldBulletChar"/>
    <w:rsid w:val="00263F18"/>
    <w:pPr>
      <w:keepNext/>
      <w:keepLines/>
      <w:numPr>
        <w:ilvl w:val="5"/>
        <w:numId w:val="27"/>
      </w:numPr>
      <w:spacing w:before="160" w:after="160"/>
      <w:contextualSpacing/>
    </w:pPr>
    <w:rPr>
      <w:rFonts w:eastAsia="Times New Roman" w:cs="Arial"/>
      <w:b/>
      <w:color w:val="005B96" w:themeColor="accent3"/>
      <w:kern w:val="20"/>
      <w:szCs w:val="20"/>
      <w:lang w:val="en-GB"/>
      <w14:ligatures w14:val="none"/>
    </w:rPr>
  </w:style>
  <w:style w:type="character" w:customStyle="1" w:styleId="NTTFlushBlueBoldBulletChar">
    <w:name w:val="NTT Flush Blue Bold Bullet Char"/>
    <w:basedOn w:val="DefaultParagraphFont"/>
    <w:link w:val="NTTFlushBlueBoldBullet"/>
    <w:rsid w:val="00263F18"/>
    <w:rPr>
      <w:rFonts w:ascii="Arial" w:eastAsia="Times New Roman" w:hAnsi="Arial" w:cs="Arial"/>
      <w:b/>
      <w:color w:val="005B96" w:themeColor="accent3"/>
      <w:kern w:val="20"/>
      <w:sz w:val="20"/>
      <w:szCs w:val="20"/>
      <w:lang w:val="en-GB"/>
      <w14:ligatures w14:val="none"/>
    </w:rPr>
  </w:style>
  <w:style w:type="paragraph" w:customStyle="1" w:styleId="NTTFlushBoldBullet">
    <w:name w:val="NTT Flush Bold Bullet"/>
    <w:basedOn w:val="NTTBoldBullet"/>
    <w:next w:val="Normal"/>
    <w:uiPriority w:val="19"/>
    <w:rsid w:val="00C33FA2"/>
    <w:pPr>
      <w:numPr>
        <w:ilvl w:val="6"/>
      </w:numPr>
    </w:pPr>
  </w:style>
  <w:style w:type="paragraph" w:customStyle="1" w:styleId="NTTRedBoldBullet">
    <w:name w:val="NTT Red Bold Bullet"/>
    <w:basedOn w:val="NTTBoldBullet"/>
    <w:next w:val="Normal"/>
    <w:uiPriority w:val="39"/>
    <w:unhideWhenUsed/>
    <w:rsid w:val="00F31CD6"/>
    <w:pPr>
      <w:numPr>
        <w:ilvl w:val="3"/>
      </w:numPr>
      <w:ind w:left="1135" w:hanging="284"/>
    </w:pPr>
    <w:rPr>
      <w:b w:val="0"/>
      <w:color w:val="E42600"/>
    </w:rPr>
  </w:style>
  <w:style w:type="numbering" w:customStyle="1" w:styleId="NTTGuidanceTextBullets">
    <w:name w:val="_NTT Guidance Text Bullets"/>
    <w:uiPriority w:val="89"/>
    <w:rsid w:val="00786EEE"/>
    <w:pPr>
      <w:numPr>
        <w:numId w:val="26"/>
      </w:numPr>
    </w:pPr>
  </w:style>
  <w:style w:type="paragraph" w:customStyle="1" w:styleId="GuidanceText3Bullet">
    <w:name w:val="Guidance Text 3 Bullet"/>
    <w:basedOn w:val="Normal"/>
    <w:uiPriority w:val="49"/>
    <w:rsid w:val="0004099E"/>
    <w:pPr>
      <w:numPr>
        <w:numId w:val="28"/>
      </w:numPr>
      <w:pBdr>
        <w:top w:val="single" w:sz="4" w:space="3" w:color="00CB5D" w:themeColor="accent5"/>
        <w:bottom w:val="single" w:sz="4" w:space="3" w:color="00CB5D" w:themeColor="accent5"/>
      </w:pBdr>
      <w:shd w:val="clear" w:color="auto" w:fill="C1FFDD" w:themeFill="accent5" w:themeFillTint="33"/>
      <w:tabs>
        <w:tab w:val="left" w:pos="284"/>
      </w:tabs>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GuidanceText4List">
    <w:name w:val="Guidance Text 4 List"/>
    <w:basedOn w:val="Normal"/>
    <w:uiPriority w:val="49"/>
    <w:rsid w:val="0004099E"/>
    <w:pPr>
      <w:numPr>
        <w:ilvl w:val="1"/>
        <w:numId w:val="28"/>
      </w:numPr>
      <w:pBdr>
        <w:top w:val="single" w:sz="4" w:space="3" w:color="00CB5D" w:themeColor="accent5"/>
        <w:bottom w:val="single" w:sz="4" w:space="3" w:color="00CB5D" w:themeColor="accent5"/>
      </w:pBdr>
      <w:shd w:val="clear" w:color="auto" w:fill="C1FFDD" w:themeFill="accent5" w:themeFillTint="33"/>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NTTBlueNotedText3Bullet">
    <w:name w:val="NTT Blue Noted Text 3 Bullet"/>
    <w:basedOn w:val="NTTBlueNotedText2Body"/>
    <w:uiPriority w:val="36"/>
    <w:rsid w:val="0044104B"/>
    <w:pPr>
      <w:numPr>
        <w:ilvl w:val="2"/>
        <w:numId w:val="28"/>
      </w:numPr>
      <w:ind w:left="284" w:hanging="284"/>
      <w:contextualSpacing/>
    </w:pPr>
  </w:style>
  <w:style w:type="paragraph" w:customStyle="1" w:styleId="NTTBlueNotedText4List">
    <w:name w:val="NTT Blue Noted Text 4 List"/>
    <w:basedOn w:val="NTTBlueNotedText2Body"/>
    <w:uiPriority w:val="36"/>
    <w:rsid w:val="00C40984"/>
    <w:pPr>
      <w:numPr>
        <w:ilvl w:val="3"/>
        <w:numId w:val="28"/>
      </w:numPr>
      <w:tabs>
        <w:tab w:val="left" w:pos="1134"/>
      </w:tabs>
      <w:ind w:left="284" w:hanging="284"/>
      <w:contextualSpacing/>
    </w:pPr>
  </w:style>
  <w:style w:type="paragraph" w:customStyle="1" w:styleId="NTTRedNotedText3Bullet">
    <w:name w:val="NTT Red Noted Text 3 Bullet"/>
    <w:basedOn w:val="NTTRedNotedText2Body"/>
    <w:uiPriority w:val="46"/>
    <w:unhideWhenUsed/>
    <w:rsid w:val="003E307D"/>
    <w:pPr>
      <w:numPr>
        <w:ilvl w:val="6"/>
        <w:numId w:val="28"/>
      </w:numPr>
      <w:ind w:left="284" w:hanging="284"/>
      <w:contextualSpacing/>
    </w:pPr>
  </w:style>
  <w:style w:type="paragraph" w:customStyle="1" w:styleId="NTTRedNotedText4Bullet">
    <w:name w:val="NTT Red Noted Text 4 Bullet"/>
    <w:basedOn w:val="NTTRedNotedText2Body"/>
    <w:uiPriority w:val="46"/>
    <w:unhideWhenUsed/>
    <w:rsid w:val="003E307D"/>
    <w:pPr>
      <w:numPr>
        <w:ilvl w:val="7"/>
        <w:numId w:val="28"/>
      </w:numPr>
      <w:ind w:left="284" w:hanging="284"/>
      <w:contextualSpacing/>
    </w:pPr>
  </w:style>
  <w:style w:type="paragraph" w:customStyle="1" w:styleId="GuidanceText1Bold">
    <w:name w:val="Guidance Text 1 Bold"/>
    <w:basedOn w:val="Guidancetext2body"/>
    <w:next w:val="Normal"/>
    <w:uiPriority w:val="49"/>
    <w:qFormat/>
    <w:rsid w:val="00AE5238"/>
    <w:rPr>
      <w:rFonts w:ascii="Arial Bold" w:hAnsi="Arial Bold"/>
      <w:b/>
    </w:rPr>
  </w:style>
  <w:style w:type="paragraph" w:customStyle="1" w:styleId="NTTBlueBulletText1">
    <w:name w:val="NTT Blue Bullet Text 1"/>
    <w:basedOn w:val="Normal"/>
    <w:uiPriority w:val="29"/>
    <w:rsid w:val="00A43CFD"/>
    <w:pPr>
      <w:spacing w:before="160" w:after="160"/>
      <w:ind w:left="1191"/>
      <w:contextualSpacing/>
    </w:pPr>
    <w:rPr>
      <w:rFonts w:eastAsia="Times New Roman" w:cs="Arial"/>
      <w:color w:val="005B96" w:themeColor="accent3"/>
      <w:kern w:val="20"/>
      <w:szCs w:val="20"/>
      <w:lang w:val="en-GB"/>
      <w14:ligatures w14:val="none"/>
    </w:rPr>
  </w:style>
  <w:style w:type="paragraph" w:customStyle="1" w:styleId="NTTBlueBulletText2">
    <w:name w:val="NTT Blue Bullet Text 2"/>
    <w:basedOn w:val="Normal"/>
    <w:uiPriority w:val="29"/>
    <w:rsid w:val="00B23563"/>
    <w:pPr>
      <w:spacing w:before="160" w:after="160"/>
      <w:ind w:left="1531"/>
      <w:contextualSpacing/>
    </w:pPr>
    <w:rPr>
      <w:rFonts w:eastAsia="Times New Roman" w:cs="Arial"/>
      <w:color w:val="005B96" w:themeColor="accent3"/>
      <w:kern w:val="20"/>
      <w:szCs w:val="20"/>
      <w:lang w:val="en-GB"/>
      <w14:ligatures w14:val="none"/>
    </w:rPr>
  </w:style>
  <w:style w:type="paragraph" w:customStyle="1" w:styleId="NTTBlueBulletText3">
    <w:name w:val="NTT Blue Bullet Text 3"/>
    <w:basedOn w:val="Normal"/>
    <w:uiPriority w:val="29"/>
    <w:rsid w:val="0030602F"/>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4">
    <w:name w:val="NTT Blue Bullet Text 4"/>
    <w:basedOn w:val="Normal"/>
    <w:uiPriority w:val="29"/>
    <w:rsid w:val="004C2406"/>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5">
    <w:name w:val="NTT Blue Bullet Text 5"/>
    <w:basedOn w:val="NTTBlueBulletText4"/>
    <w:uiPriority w:val="29"/>
    <w:rsid w:val="009D3BEB"/>
  </w:style>
  <w:style w:type="paragraph" w:customStyle="1" w:styleId="NTTBlueNotedText2Body">
    <w:name w:val="NTT Blue Noted Text 2 Body"/>
    <w:uiPriority w:val="36"/>
    <w:rsid w:val="00C40984"/>
    <w:pPr>
      <w:pBdr>
        <w:top w:val="single" w:sz="8" w:space="3" w:color="005B96" w:themeColor="accent3"/>
        <w:bottom w:val="single" w:sz="8" w:space="3" w:color="005B96" w:themeColor="accent3"/>
      </w:pBdr>
      <w:shd w:val="clear" w:color="auto" w:fill="D0ECFE" w:themeFill="accent4" w:themeFillTint="33"/>
      <w:spacing w:before="160" w:after="160" w:line="264" w:lineRule="auto"/>
    </w:pPr>
    <w:rPr>
      <w:rFonts w:ascii="Arial" w:eastAsia="Times New Roman" w:hAnsi="Arial" w:cs="Times New Roman"/>
      <w:color w:val="005B96" w:themeColor="accent3"/>
      <w:kern w:val="20"/>
      <w:sz w:val="20"/>
      <w:szCs w:val="20"/>
      <w:lang w:val="en-GB"/>
      <w14:ligatures w14:val="none"/>
    </w:rPr>
  </w:style>
  <w:style w:type="paragraph" w:customStyle="1" w:styleId="NTTBlueNotedText1Bold">
    <w:name w:val="NTT Blue Noted Text 1 Bold"/>
    <w:basedOn w:val="NTTBlueNotedText2Body"/>
    <w:next w:val="NTTBlueNotedText2Body"/>
    <w:uiPriority w:val="36"/>
    <w:rsid w:val="00C40984"/>
    <w:pPr>
      <w:keepNext/>
      <w:keepLines/>
    </w:pPr>
    <w:rPr>
      <w:rFonts w:ascii="Arial Bold" w:hAnsi="Arial Bold"/>
      <w:b/>
    </w:rPr>
  </w:style>
  <w:style w:type="paragraph" w:customStyle="1" w:styleId="NTTBlueTableBoldBullet">
    <w:name w:val="NTT Blue Table Bold Bullet"/>
    <w:basedOn w:val="Normal"/>
    <w:next w:val="Normal"/>
    <w:uiPriority w:val="34"/>
    <w:rsid w:val="00B52EA2"/>
    <w:pPr>
      <w:keepNext/>
      <w:keepLines/>
      <w:numPr>
        <w:numId w:val="29"/>
      </w:numPr>
      <w:contextualSpacing/>
    </w:pPr>
    <w:rPr>
      <w:rFonts w:eastAsia="Times New Roman" w:cs="Arial"/>
      <w:b/>
      <w:color w:val="005B96" w:themeColor="accent3"/>
      <w:kern w:val="18"/>
      <w:szCs w:val="20"/>
      <w:lang w:val="en-GB"/>
      <w14:ligatures w14:val="none"/>
    </w:rPr>
  </w:style>
  <w:style w:type="paragraph" w:customStyle="1" w:styleId="NTTBlueTableBulletText1">
    <w:name w:val="NTT Blue Table Bullet Text 1"/>
    <w:basedOn w:val="Normal"/>
    <w:uiPriority w:val="34"/>
    <w:rsid w:val="0015224D"/>
    <w:pPr>
      <w:ind w:left="340"/>
    </w:pPr>
    <w:rPr>
      <w:rFonts w:eastAsia="Times New Roman" w:cs="Arial"/>
      <w:color w:val="005B96" w:themeColor="accent3"/>
      <w:kern w:val="18"/>
      <w:szCs w:val="20"/>
      <w:lang w:val="en-GB"/>
      <w14:ligatures w14:val="none"/>
    </w:rPr>
  </w:style>
  <w:style w:type="paragraph" w:customStyle="1" w:styleId="NTTBlueTableBulletText2">
    <w:name w:val="NTT Blue Table Bullet Text 2"/>
    <w:basedOn w:val="Normal"/>
    <w:uiPriority w:val="34"/>
    <w:rsid w:val="0040405A"/>
    <w:pPr>
      <w:ind w:left="851"/>
    </w:pPr>
    <w:rPr>
      <w:rFonts w:eastAsia="Times New Roman" w:cs="Arial"/>
      <w:color w:val="005B96" w:themeColor="accent3"/>
      <w:kern w:val="18"/>
      <w:szCs w:val="20"/>
      <w:lang w:val="en-GB"/>
      <w14:ligatures w14:val="none"/>
    </w:rPr>
  </w:style>
  <w:style w:type="paragraph" w:customStyle="1" w:styleId="NTTBlueTableBulletText3">
    <w:name w:val="NTT Blue Table Bullet Text 3"/>
    <w:basedOn w:val="Normal"/>
    <w:uiPriority w:val="34"/>
    <w:rsid w:val="00767F75"/>
    <w:pPr>
      <w:ind w:left="964"/>
    </w:pPr>
    <w:rPr>
      <w:rFonts w:eastAsia="Times New Roman" w:cs="Arial"/>
      <w:color w:val="005B96" w:themeColor="accent3"/>
      <w:kern w:val="18"/>
      <w:szCs w:val="20"/>
      <w:lang w:val="en-GB"/>
      <w14:ligatures w14:val="none"/>
    </w:rPr>
  </w:style>
  <w:style w:type="paragraph" w:customStyle="1" w:styleId="NTTBlueTableBulletText4">
    <w:name w:val="NTT Blue Table Bullet Text 4"/>
    <w:basedOn w:val="NTTBlueTableBulletText3"/>
    <w:uiPriority w:val="34"/>
    <w:rsid w:val="00AD2E63"/>
  </w:style>
  <w:style w:type="paragraph" w:customStyle="1" w:styleId="NTTBlueTableBulletText5">
    <w:name w:val="NTT Blue Table Bullet Text 5"/>
    <w:basedOn w:val="NTTBlueTableBulletText1"/>
    <w:uiPriority w:val="34"/>
    <w:rsid w:val="004C2406"/>
    <w:pPr>
      <w:ind w:left="964"/>
    </w:pPr>
  </w:style>
  <w:style w:type="paragraph" w:customStyle="1" w:styleId="NTTBulletText1">
    <w:name w:val="NTT Bullet Text 1"/>
    <w:basedOn w:val="NTTBodyText"/>
    <w:uiPriority w:val="9"/>
    <w:rsid w:val="008C0602"/>
    <w:pPr>
      <w:ind w:left="1191"/>
      <w:contextualSpacing/>
    </w:pPr>
  </w:style>
  <w:style w:type="paragraph" w:customStyle="1" w:styleId="NTTBulletText2">
    <w:name w:val="NTT Bullet Text 2"/>
    <w:basedOn w:val="NTTBulletText1"/>
    <w:uiPriority w:val="9"/>
    <w:rsid w:val="00B23563"/>
    <w:pPr>
      <w:ind w:left="1531"/>
    </w:pPr>
  </w:style>
  <w:style w:type="paragraph" w:customStyle="1" w:styleId="NTTBulletText3">
    <w:name w:val="NTT Bullet Text 3"/>
    <w:basedOn w:val="NTTBulletText2"/>
    <w:uiPriority w:val="9"/>
    <w:rsid w:val="00252A11"/>
    <w:pPr>
      <w:ind w:left="1814"/>
    </w:pPr>
  </w:style>
  <w:style w:type="paragraph" w:customStyle="1" w:styleId="NTTBulletText4">
    <w:name w:val="NTT Bullet Text 4"/>
    <w:basedOn w:val="NTTBulletText3"/>
    <w:uiPriority w:val="9"/>
    <w:rsid w:val="003E307D"/>
  </w:style>
  <w:style w:type="paragraph" w:customStyle="1" w:styleId="NTTBulletText5">
    <w:name w:val="NTT Bullet Text 5"/>
    <w:basedOn w:val="NTTBulletText4"/>
    <w:uiPriority w:val="9"/>
    <w:rsid w:val="00FC5E53"/>
  </w:style>
  <w:style w:type="character" w:customStyle="1" w:styleId="NTTEmphasis">
    <w:name w:val="NTT Emphasis"/>
    <w:uiPriority w:val="29"/>
    <w:rsid w:val="003768F0"/>
    <w:rPr>
      <w:rFonts w:ascii="Arial" w:hAnsi="Arial"/>
      <w:b w:val="0"/>
      <w:color w:val="0072BC" w:themeColor="accent2"/>
      <w:spacing w:val="0"/>
      <w:kern w:val="20"/>
      <w:sz w:val="24"/>
    </w:rPr>
  </w:style>
  <w:style w:type="paragraph" w:customStyle="1" w:styleId="NTTFlushBlueBulletText1">
    <w:name w:val="NTT Flush Blue Bullet Text 1"/>
    <w:basedOn w:val="Normal"/>
    <w:link w:val="NTTFlushBlueBulletText1Char"/>
    <w:rsid w:val="00E728B1"/>
    <w:pPr>
      <w:spacing w:before="160" w:after="160"/>
      <w:ind w:left="397"/>
      <w:contextualSpacing/>
    </w:pPr>
    <w:rPr>
      <w:rFonts w:eastAsia="Times New Roman" w:cs="Arial"/>
      <w:color w:val="005B96" w:themeColor="accent3"/>
      <w:kern w:val="20"/>
      <w:szCs w:val="20"/>
      <w:lang w:val="en-GB" w:eastAsia="ja-JP"/>
      <w14:ligatures w14:val="none"/>
    </w:rPr>
  </w:style>
  <w:style w:type="character" w:customStyle="1" w:styleId="NTTFlushBlueBulletText1Char">
    <w:name w:val="NTT Flush Blue Bullet Text 1 Char"/>
    <w:basedOn w:val="DefaultParagraphFont"/>
    <w:link w:val="NTTFlushBlueBulletText1"/>
    <w:rsid w:val="00E728B1"/>
    <w:rPr>
      <w:rFonts w:ascii="Arial" w:eastAsia="Times New Roman" w:hAnsi="Arial" w:cs="Arial"/>
      <w:color w:val="005B96" w:themeColor="accent3"/>
      <w:kern w:val="20"/>
      <w:sz w:val="20"/>
      <w:szCs w:val="20"/>
      <w:lang w:val="en-GB" w:eastAsia="ja-JP"/>
      <w14:ligatures w14:val="none"/>
    </w:rPr>
  </w:style>
  <w:style w:type="paragraph" w:customStyle="1" w:styleId="NTTFlushBlueBulletText2">
    <w:name w:val="NTT Flush Blue Bullet Text 2"/>
    <w:basedOn w:val="Normal"/>
    <w:link w:val="NTTFlushBlueBulletText2Char"/>
    <w:rsid w:val="00257804"/>
    <w:pPr>
      <w:spacing w:before="160" w:after="160"/>
      <w:ind w:left="851"/>
    </w:pPr>
    <w:rPr>
      <w:rFonts w:eastAsia="Times New Roman" w:cs="Arial"/>
      <w:color w:val="005B96" w:themeColor="accent3"/>
      <w:kern w:val="20"/>
      <w:szCs w:val="20"/>
      <w:lang w:val="en-GB"/>
      <w14:ligatures w14:val="none"/>
    </w:rPr>
  </w:style>
  <w:style w:type="character" w:customStyle="1" w:styleId="NTTFlushBlueBulletText2Char">
    <w:name w:val="NTT Flush Blue Bullet Text 2 Char"/>
    <w:basedOn w:val="DefaultParagraphFont"/>
    <w:link w:val="NTTFlushBlueBulletText2"/>
    <w:rsid w:val="00257804"/>
    <w:rPr>
      <w:rFonts w:ascii="Arial" w:eastAsia="Times New Roman" w:hAnsi="Arial" w:cs="Arial"/>
      <w:color w:val="005B96" w:themeColor="accent3"/>
      <w:kern w:val="20"/>
      <w:sz w:val="20"/>
      <w:szCs w:val="20"/>
      <w:lang w:val="en-GB"/>
      <w14:ligatures w14:val="none"/>
    </w:rPr>
  </w:style>
  <w:style w:type="paragraph" w:customStyle="1" w:styleId="NTTFlushBlueBulletText3">
    <w:name w:val="NTT Flush Blue Bullet Text 3"/>
    <w:basedOn w:val="Normal"/>
    <w:link w:val="NTTFlushBlueBulletText3Char"/>
    <w:rsid w:val="00251212"/>
    <w:pPr>
      <w:spacing w:before="160" w:after="160"/>
      <w:ind w:left="1077"/>
      <w:contextualSpacing/>
    </w:pPr>
    <w:rPr>
      <w:rFonts w:eastAsia="Times New Roman" w:cs="Arial"/>
      <w:color w:val="005B96" w:themeColor="accent3"/>
      <w:kern w:val="20"/>
      <w:szCs w:val="20"/>
      <w:lang w:val="en-GB"/>
      <w14:ligatures w14:val="none"/>
    </w:rPr>
  </w:style>
  <w:style w:type="character" w:customStyle="1" w:styleId="NTTFlushBlueBulletText3Char">
    <w:name w:val="NTT Flush Blue Bullet Text 3 Char"/>
    <w:basedOn w:val="DefaultParagraphFont"/>
    <w:link w:val="NTTFlushBlueBulletTex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Text4">
    <w:name w:val="NTT Flush Blue Bullet Text 4"/>
    <w:basedOn w:val="NTTFlushBlueBulletText3"/>
    <w:link w:val="NTTFlushBlueBulletText4Char"/>
    <w:rsid w:val="00C33FA2"/>
  </w:style>
  <w:style w:type="character" w:customStyle="1" w:styleId="NTTFlushBlueBulletText4Char">
    <w:name w:val="NTT Flush Blue Bullet Text 4 Char"/>
    <w:basedOn w:val="DefaultParagraphFont"/>
    <w:link w:val="NTTFlushBlueBulletText4"/>
    <w:rsid w:val="00C33FA2"/>
    <w:rPr>
      <w:rFonts w:ascii="Arial" w:eastAsia="Times New Roman" w:hAnsi="Arial" w:cs="Arial"/>
      <w:color w:val="005B96" w:themeColor="accent3"/>
      <w:kern w:val="20"/>
      <w:sz w:val="20"/>
      <w:szCs w:val="20"/>
      <w:lang w:val="en-GB"/>
      <w14:ligatures w14:val="none"/>
    </w:rPr>
  </w:style>
  <w:style w:type="paragraph" w:customStyle="1" w:styleId="NTTFlushBlueBulletText5">
    <w:name w:val="NTT Flush Blue Bullet Text 5"/>
    <w:basedOn w:val="NTTFlushBlueBulletText1"/>
    <w:link w:val="NTTFlushBlueBulletText5Char"/>
    <w:rsid w:val="004C2406"/>
    <w:pPr>
      <w:ind w:left="964"/>
    </w:pPr>
  </w:style>
  <w:style w:type="character" w:customStyle="1" w:styleId="NTTFlushBlueBulletText5Char">
    <w:name w:val="NTT Flush Blue Bullet Text 5 Char"/>
    <w:basedOn w:val="DefaultParagraphFont"/>
    <w:link w:val="NTTFlushBlueBulletText5"/>
    <w:rsid w:val="004C2406"/>
    <w:rPr>
      <w:rFonts w:ascii="Arial" w:eastAsia="Times New Roman" w:hAnsi="Arial" w:cs="Arial"/>
      <w:color w:val="005B96" w:themeColor="accent3"/>
      <w:kern w:val="20"/>
      <w:sz w:val="20"/>
      <w:szCs w:val="20"/>
      <w:lang w:val="en-GB" w:eastAsia="ja-JP"/>
      <w14:ligatures w14:val="none"/>
    </w:rPr>
  </w:style>
  <w:style w:type="paragraph" w:customStyle="1" w:styleId="NTTFlushBulletText1">
    <w:name w:val="NTT Flush Bullet Text 1"/>
    <w:basedOn w:val="NTTBulletText1"/>
    <w:uiPriority w:val="19"/>
    <w:rsid w:val="00E728B1"/>
    <w:pPr>
      <w:ind w:left="397"/>
    </w:pPr>
    <w:rPr>
      <w:rFonts w:eastAsia="MS PGothic"/>
      <w:bCs/>
      <w:lang w:eastAsia="ja-JP"/>
    </w:rPr>
  </w:style>
  <w:style w:type="paragraph" w:customStyle="1" w:styleId="NTTFlushBulletText2">
    <w:name w:val="NTT Flush Bullet Text 2"/>
    <w:basedOn w:val="NTTFlushBulletText1"/>
    <w:uiPriority w:val="19"/>
    <w:rsid w:val="00257804"/>
    <w:pPr>
      <w:ind w:left="851"/>
    </w:pPr>
    <w:rPr>
      <w:lang w:eastAsia="en-US"/>
    </w:rPr>
  </w:style>
  <w:style w:type="paragraph" w:customStyle="1" w:styleId="NTTFlushBulletText3">
    <w:name w:val="NTT Flush Bullet Text 3"/>
    <w:basedOn w:val="NTTFlushBulletText2"/>
    <w:uiPriority w:val="19"/>
    <w:rsid w:val="00594A58"/>
    <w:pPr>
      <w:ind w:left="964"/>
    </w:pPr>
  </w:style>
  <w:style w:type="paragraph" w:customStyle="1" w:styleId="NTTFlushBulletText4">
    <w:name w:val="NTT Flush Bullet Text 4"/>
    <w:basedOn w:val="NTTFlushBulletText3"/>
    <w:uiPriority w:val="19"/>
    <w:rsid w:val="00B3236F"/>
  </w:style>
  <w:style w:type="paragraph" w:customStyle="1" w:styleId="NTTFlushBulletText5">
    <w:name w:val="NTT Flush Bullet Text 5"/>
    <w:basedOn w:val="NTTFlushBulletText1"/>
    <w:uiPriority w:val="19"/>
    <w:rsid w:val="004C2406"/>
    <w:pPr>
      <w:ind w:left="964"/>
    </w:pPr>
  </w:style>
  <w:style w:type="paragraph" w:customStyle="1" w:styleId="NTTRedBodyBoldText">
    <w:name w:val="NTT Red Body Bold Text"/>
    <w:basedOn w:val="NTTBodyBoldText"/>
    <w:next w:val="NTTRedBodyText"/>
    <w:uiPriority w:val="39"/>
    <w:unhideWhenUsed/>
    <w:rsid w:val="00F31CD6"/>
    <w:rPr>
      <w:color w:val="E42600"/>
    </w:rPr>
  </w:style>
  <w:style w:type="paragraph" w:customStyle="1" w:styleId="NTTRedBulletText1">
    <w:name w:val="NTT Red Bullet Text 1"/>
    <w:basedOn w:val="NTTBulletText1"/>
    <w:uiPriority w:val="39"/>
    <w:unhideWhenUsed/>
    <w:rsid w:val="00353C88"/>
    <w:rPr>
      <w:bCs/>
      <w:color w:val="E42600"/>
    </w:rPr>
  </w:style>
  <w:style w:type="paragraph" w:customStyle="1" w:styleId="NTTRedBulletText2">
    <w:name w:val="NTT Red Bullet Text 2"/>
    <w:basedOn w:val="NTTBulletText2"/>
    <w:uiPriority w:val="39"/>
    <w:unhideWhenUsed/>
    <w:rsid w:val="003E307D"/>
    <w:rPr>
      <w:color w:val="E42600"/>
    </w:rPr>
  </w:style>
  <w:style w:type="paragraph" w:customStyle="1" w:styleId="NTTRedBulletText3">
    <w:name w:val="NTT Red Bullet Text 3"/>
    <w:basedOn w:val="NTTBulletText3"/>
    <w:uiPriority w:val="39"/>
    <w:unhideWhenUsed/>
    <w:rsid w:val="003E307D"/>
    <w:rPr>
      <w:color w:val="E42600"/>
    </w:rPr>
  </w:style>
  <w:style w:type="paragraph" w:customStyle="1" w:styleId="NTTRedBulletText4">
    <w:name w:val="NTT Red Bullet Text 4"/>
    <w:basedOn w:val="NTTRedBulletText3"/>
    <w:uiPriority w:val="39"/>
    <w:unhideWhenUsed/>
    <w:rsid w:val="003E307D"/>
  </w:style>
  <w:style w:type="paragraph" w:customStyle="1" w:styleId="NTTRedBulletText5">
    <w:name w:val="NTT Red Bullet Text 5"/>
    <w:basedOn w:val="NTTRedBulletText4"/>
    <w:uiPriority w:val="39"/>
    <w:unhideWhenUsed/>
    <w:rsid w:val="009D3BEB"/>
  </w:style>
  <w:style w:type="paragraph" w:customStyle="1" w:styleId="NTTRedNotedText1Bold">
    <w:name w:val="NTT Red Noted Text 1 Bold"/>
    <w:basedOn w:val="NTTBlueNotedText1Bold"/>
    <w:next w:val="Normal"/>
    <w:uiPriority w:val="46"/>
    <w:unhideWhenUsed/>
    <w:rsid w:val="003E307D"/>
    <w:pPr>
      <w:pBdr>
        <w:top w:val="single" w:sz="8" w:space="3" w:color="E42600"/>
        <w:bottom w:val="single" w:sz="8" w:space="3" w:color="E42600"/>
      </w:pBdr>
      <w:shd w:val="clear" w:color="auto" w:fill="E9E9E9" w:themeFill="accent6" w:themeFillTint="33"/>
    </w:pPr>
    <w:rPr>
      <w:color w:val="E42600"/>
    </w:rPr>
  </w:style>
  <w:style w:type="paragraph" w:customStyle="1" w:styleId="NTTRedNotedText2Body">
    <w:name w:val="NTT Red Noted Text 2 Body"/>
    <w:basedOn w:val="NTTRedNotedText1Bold"/>
    <w:uiPriority w:val="46"/>
    <w:unhideWhenUsed/>
    <w:rsid w:val="003E307D"/>
    <w:rPr>
      <w:rFonts w:asciiTheme="minorHAnsi" w:hAnsiTheme="minorHAnsi"/>
      <w:b w:val="0"/>
    </w:rPr>
  </w:style>
  <w:style w:type="paragraph" w:customStyle="1" w:styleId="NTTRedTableBodyBoldText">
    <w:name w:val="NTT Red Table Body Bold Text"/>
    <w:basedOn w:val="Normal"/>
    <w:next w:val="NTTRedTableBodyText"/>
    <w:uiPriority w:val="44"/>
    <w:unhideWhenUsed/>
    <w:rsid w:val="003E307D"/>
    <w:pPr>
      <w:keepNext/>
      <w:keepLines/>
    </w:pPr>
    <w:rPr>
      <w:rFonts w:ascii="Arial Bold" w:eastAsia="Times New Roman" w:hAnsi="Arial Bold" w:cs="Arial"/>
      <w:color w:val="E42600"/>
      <w:kern w:val="18"/>
      <w:szCs w:val="18"/>
      <w:lang w:val="en-GB"/>
      <w14:ligatures w14:val="none"/>
    </w:rPr>
  </w:style>
  <w:style w:type="paragraph" w:customStyle="1" w:styleId="NTTRedTableBoldBullet">
    <w:name w:val="NTT Red Table Bold Bullet"/>
    <w:basedOn w:val="Normal"/>
    <w:next w:val="Normal"/>
    <w:uiPriority w:val="44"/>
    <w:unhideWhenUsed/>
    <w:qFormat/>
    <w:rsid w:val="003E307D"/>
    <w:pPr>
      <w:keepNext/>
      <w:keepLines/>
      <w:numPr>
        <w:ilvl w:val="2"/>
        <w:numId w:val="29"/>
      </w:numPr>
      <w:contextualSpacing/>
    </w:pPr>
    <w:rPr>
      <w:rFonts w:ascii="Arial Bold" w:eastAsia="Times New Roman" w:hAnsi="Arial Bold" w:cs="Arial"/>
      <w:b/>
      <w:color w:val="E42600"/>
      <w:kern w:val="18"/>
      <w:szCs w:val="20"/>
      <w:lang w:val="en-GB"/>
      <w14:ligatures w14:val="none"/>
    </w:rPr>
  </w:style>
  <w:style w:type="paragraph" w:customStyle="1" w:styleId="NTTRedTableBulletText1">
    <w:name w:val="NTT Red Table Bullet Text 1"/>
    <w:basedOn w:val="Normal"/>
    <w:uiPriority w:val="44"/>
    <w:unhideWhenUsed/>
    <w:rsid w:val="008C0602"/>
    <w:pPr>
      <w:ind w:left="340"/>
    </w:pPr>
    <w:rPr>
      <w:rFonts w:eastAsia="Times New Roman" w:cs="Arial"/>
      <w:bCs/>
      <w:color w:val="E42600"/>
      <w:kern w:val="18"/>
      <w:szCs w:val="20"/>
      <w:lang w:val="en-GB"/>
      <w14:ligatures w14:val="none"/>
    </w:rPr>
  </w:style>
  <w:style w:type="paragraph" w:customStyle="1" w:styleId="NTTRedTableBulletText2">
    <w:name w:val="NTT Red Table Bullet Text 2"/>
    <w:basedOn w:val="Normal"/>
    <w:uiPriority w:val="44"/>
    <w:unhideWhenUsed/>
    <w:rsid w:val="0040405A"/>
    <w:pPr>
      <w:ind w:left="851"/>
      <w:contextualSpacing/>
    </w:pPr>
    <w:rPr>
      <w:rFonts w:eastAsia="Times New Roman" w:cs="Arial"/>
      <w:bCs/>
      <w:color w:val="E42600"/>
      <w:kern w:val="18"/>
      <w:szCs w:val="20"/>
      <w:lang w:val="en-GB"/>
      <w14:ligatures w14:val="none"/>
    </w:rPr>
  </w:style>
  <w:style w:type="paragraph" w:customStyle="1" w:styleId="NTTRedTableBulletText3">
    <w:name w:val="NTT Red Table Bullet Text 3"/>
    <w:basedOn w:val="Normal"/>
    <w:uiPriority w:val="44"/>
    <w:unhideWhenUsed/>
    <w:rsid w:val="008C0602"/>
    <w:pPr>
      <w:ind w:left="964"/>
    </w:pPr>
    <w:rPr>
      <w:rFonts w:eastAsia="Times New Roman" w:cs="Arial"/>
      <w:bCs/>
      <w:color w:val="E42600"/>
      <w:kern w:val="18"/>
      <w:szCs w:val="20"/>
      <w:lang w:val="en-GB"/>
      <w14:ligatures w14:val="none"/>
    </w:rPr>
  </w:style>
  <w:style w:type="paragraph" w:customStyle="1" w:styleId="NTTRedTableBulletText4">
    <w:name w:val="NTT Red Table Bullet Text 4"/>
    <w:basedOn w:val="NTTRedTableBulletText3"/>
    <w:uiPriority w:val="44"/>
    <w:unhideWhenUsed/>
    <w:rsid w:val="0083153F"/>
  </w:style>
  <w:style w:type="paragraph" w:customStyle="1" w:styleId="NTTRedTableBulletText5">
    <w:name w:val="NTT Red Table Bullet Text 5"/>
    <w:basedOn w:val="NTTRedTableBulletText1"/>
    <w:uiPriority w:val="44"/>
    <w:unhideWhenUsed/>
    <w:rsid w:val="004C2406"/>
    <w:pPr>
      <w:ind w:left="964"/>
    </w:pPr>
  </w:style>
  <w:style w:type="paragraph" w:customStyle="1" w:styleId="NTTTableBoldBullet">
    <w:name w:val="NTT Table Bold Bullet"/>
    <w:basedOn w:val="NTTTableBullet1"/>
    <w:next w:val="Normal"/>
    <w:uiPriority w:val="14"/>
    <w:rsid w:val="001D44F0"/>
    <w:pPr>
      <w:keepNext/>
      <w:keepLines/>
      <w:numPr>
        <w:ilvl w:val="3"/>
        <w:numId w:val="29"/>
      </w:numPr>
    </w:pPr>
    <w:rPr>
      <w:rFonts w:ascii="Arial Bold" w:hAnsi="Arial Bold" w:cs="Tahoma"/>
      <w:b/>
      <w:szCs w:val="20"/>
    </w:rPr>
  </w:style>
  <w:style w:type="paragraph" w:customStyle="1" w:styleId="NTTTableBulletText1">
    <w:name w:val="NTT Table Bullet Text 1"/>
    <w:uiPriority w:val="14"/>
    <w:rsid w:val="004703D8"/>
    <w:pPr>
      <w:spacing w:line="264" w:lineRule="auto"/>
      <w:ind w:left="340"/>
    </w:pPr>
    <w:rPr>
      <w:rFonts w:ascii="Arial" w:eastAsia="Times New Roman" w:hAnsi="Arial" w:cs="Arial"/>
      <w:color w:val="2E404D" w:themeColor="text1"/>
      <w:kern w:val="18"/>
      <w:sz w:val="20"/>
      <w:szCs w:val="20"/>
      <w:lang w:val="en-GB"/>
      <w14:ligatures w14:val="none"/>
    </w:rPr>
  </w:style>
  <w:style w:type="paragraph" w:customStyle="1" w:styleId="NTTTableBulletText2">
    <w:name w:val="NTT Table Bullet Text 2"/>
    <w:basedOn w:val="NTTTableBulletText1"/>
    <w:uiPriority w:val="14"/>
    <w:rsid w:val="004D35A5"/>
    <w:pPr>
      <w:ind w:left="851"/>
    </w:pPr>
  </w:style>
  <w:style w:type="paragraph" w:customStyle="1" w:styleId="NTTTableBulletText3">
    <w:name w:val="NTT Table Bullet Text 3"/>
    <w:basedOn w:val="NTTTableBulletText1"/>
    <w:uiPriority w:val="14"/>
    <w:rsid w:val="00251212"/>
    <w:pPr>
      <w:ind w:left="1077"/>
    </w:pPr>
  </w:style>
  <w:style w:type="paragraph" w:customStyle="1" w:styleId="NTTTableBulletText4">
    <w:name w:val="NTT Table Bullet Text 4"/>
    <w:basedOn w:val="NTTTableBulletText3"/>
    <w:uiPriority w:val="14"/>
    <w:rsid w:val="00FD2F8C"/>
  </w:style>
  <w:style w:type="paragraph" w:customStyle="1" w:styleId="NTTTableBulletText5">
    <w:name w:val="NTT Table Bullet Text 5"/>
    <w:basedOn w:val="NTTTableBulletText1"/>
    <w:uiPriority w:val="14"/>
    <w:rsid w:val="004C2406"/>
    <w:pPr>
      <w:ind w:left="964"/>
    </w:pPr>
  </w:style>
  <w:style w:type="paragraph" w:customStyle="1" w:styleId="NTTTableWhiteHeader">
    <w:name w:val="NTT Table White Header"/>
    <w:uiPriority w:val="15"/>
    <w:rsid w:val="00FD2F8C"/>
    <w:pPr>
      <w:spacing w:line="264" w:lineRule="auto"/>
    </w:pPr>
    <w:rPr>
      <w:rFonts w:ascii="Arial Bold" w:eastAsia="Times New Roman" w:hAnsi="Arial Bold" w:cs="Arial"/>
      <w:b/>
      <w:color w:val="FFFFFF"/>
      <w:kern w:val="18"/>
      <w:sz w:val="20"/>
      <w:szCs w:val="18"/>
      <w:lang w:val="en-GB"/>
      <w14:ligatures w14:val="none"/>
    </w:rPr>
  </w:style>
  <w:style w:type="paragraph" w:customStyle="1" w:styleId="NTTtablepicture">
    <w:name w:val="NTT table picture"/>
    <w:basedOn w:val="NTTAPicture"/>
    <w:qFormat/>
    <w:rsid w:val="003D12EC"/>
  </w:style>
  <w:style w:type="paragraph" w:customStyle="1" w:styleId="NTTtablebodyboldtext">
    <w:name w:val="NTT table body bold text"/>
    <w:basedOn w:val="NTTTableBodyText"/>
    <w:qFormat/>
    <w:rsid w:val="00D31309"/>
    <w:rPr>
      <w:rFonts w:ascii="Arial Bold" w:hAnsi="Arial Bold"/>
      <w:b/>
    </w:rPr>
  </w:style>
  <w:style w:type="paragraph" w:customStyle="1" w:styleId="NTTBluetablebodyboldtext">
    <w:name w:val="NTT Blue table body bold text"/>
    <w:basedOn w:val="NTTBlueTableBodyText"/>
    <w:qFormat/>
    <w:rsid w:val="00D31309"/>
    <w:rPr>
      <w:b/>
    </w:rPr>
  </w:style>
  <w:style w:type="paragraph" w:customStyle="1" w:styleId="LOFHeading">
    <w:name w:val="LOF Heading"/>
    <w:next w:val="TOC2"/>
    <w:link w:val="LOFHeadingChar"/>
    <w:rsid w:val="00C57CAF"/>
    <w:pPr>
      <w:keepNext/>
      <w:keepLines/>
      <w:spacing w:before="240" w:after="120" w:line="264" w:lineRule="auto"/>
    </w:pPr>
    <w:rPr>
      <w:rFonts w:asciiTheme="majorHAnsi" w:hAnsiTheme="majorHAnsi"/>
      <w:b/>
      <w:color w:val="0072BC" w:themeColor="accent2"/>
      <w:kern w:val="36"/>
      <w:sz w:val="28"/>
      <w:lang w:val="en-US"/>
    </w:rPr>
  </w:style>
  <w:style w:type="table" w:styleId="PlainTable1">
    <w:name w:val="Plain Table 1"/>
    <w:basedOn w:val="TableNormal"/>
    <w:uiPriority w:val="41"/>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OFHeadingChar">
    <w:name w:val="LOF Heading Char"/>
    <w:basedOn w:val="DefaultParagraphFont"/>
    <w:link w:val="LOFHeading"/>
    <w:rsid w:val="00C57CAF"/>
    <w:rPr>
      <w:rFonts w:asciiTheme="majorHAnsi" w:hAnsiTheme="majorHAnsi"/>
      <w:b/>
      <w:color w:val="0072BC" w:themeColor="accent2"/>
      <w:kern w:val="36"/>
      <w:sz w:val="28"/>
      <w:lang w:val="en-US"/>
    </w:rPr>
  </w:style>
  <w:style w:type="paragraph" w:customStyle="1" w:styleId="NTTHistoryHeading">
    <w:name w:val="NTT History Heading"/>
    <w:link w:val="NTTHistoryHeadingChar"/>
    <w:rsid w:val="004102DE"/>
    <w:pPr>
      <w:keepNext/>
      <w:keepLines/>
      <w:spacing w:before="240" w:after="120" w:line="264" w:lineRule="auto"/>
    </w:pPr>
    <w:rPr>
      <w:rFonts w:asciiTheme="majorHAnsi" w:hAnsiTheme="majorHAnsi"/>
      <w:b/>
      <w:color w:val="0072BC" w:themeColor="accent2"/>
      <w:kern w:val="18"/>
      <w:lang w:val="en-US"/>
    </w:rPr>
  </w:style>
  <w:style w:type="character" w:customStyle="1" w:styleId="NTTHistoryHeadingChar">
    <w:name w:val="NTT History Heading Char"/>
    <w:basedOn w:val="DefaultParagraphFont"/>
    <w:link w:val="NTTHistoryHeading"/>
    <w:rsid w:val="004102DE"/>
    <w:rPr>
      <w:rFonts w:asciiTheme="majorHAnsi" w:hAnsiTheme="majorHAnsi"/>
      <w:b/>
      <w:color w:val="0072BC" w:themeColor="accent2"/>
      <w:kern w:val="18"/>
      <w:lang w:val="en-US"/>
    </w:rPr>
  </w:style>
  <w:style w:type="table" w:styleId="GridTable1Light">
    <w:name w:val="Grid Table 1 Light"/>
    <w:basedOn w:val="TableNormal"/>
    <w:uiPriority w:val="46"/>
    <w:rsid w:val="002921D0"/>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1">
    <w:name w:val="Grid Table 1 Light Accent 1"/>
    <w:basedOn w:val="GridTable1Light"/>
    <w:uiPriority w:val="46"/>
    <w:rsid w:val="002921D0"/>
    <w:tblPr>
      <w:tblBorders>
        <w:top w:val="none" w:sz="0" w:space="0" w:color="auto"/>
        <w:bottom w:val="none" w:sz="0" w:space="0" w:color="auto"/>
        <w:insideH w:val="none" w:sz="0" w:space="0" w:color="auto"/>
        <w:insideV w:val="none" w:sz="0" w:space="0" w:color="auto"/>
      </w:tblBorders>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2">
    <w:name w:val="Grid Table 1 Light Accent 2"/>
    <w:basedOn w:val="TableGrid1"/>
    <w:uiPriority w:val="46"/>
    <w:rsid w:val="00BE551C"/>
    <w:rPr>
      <w:kern w:val="0"/>
      <w:sz w:val="20"/>
      <w:szCs w:val="20"/>
      <w:lang w:val="en-US" w:eastAsia="en-GB"/>
      <w14:ligatures w14:val="none"/>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12" w:space="0" w:color="3DB2FF" w:themeColor="accent2" w:themeTint="99"/>
        </w:tcBorders>
      </w:tcPr>
    </w:tblStylePr>
    <w:tblStylePr w:type="lastRow">
      <w:rPr>
        <w:b/>
        <w:bCs/>
        <w:i/>
        <w:iCs/>
      </w:rPr>
      <w:tblPr/>
      <w:tcPr>
        <w:tcBorders>
          <w:top w:val="double" w:sz="2" w:space="0" w:color="3DB2FF" w:themeColor="accent2" w:themeTint="99"/>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style>
  <w:style w:type="table" w:styleId="GridTable1Light-Accent3">
    <w:name w:val="Grid Table 1 Light Accent 3"/>
    <w:basedOn w:val="TableNormal"/>
    <w:uiPriority w:val="46"/>
    <w:rsid w:val="00BE551C"/>
    <w:rPr>
      <w:sz w:val="20"/>
    </w:rPr>
    <w:tblPr>
      <w:tblStyleRowBandSize w:val="1"/>
      <w:tblStyleColBandSize w:val="1"/>
      <w:tblBorders>
        <w:top w:val="single" w:sz="4" w:space="0" w:color="6FC5FF" w:themeColor="accent3" w:themeTint="66"/>
        <w:left w:val="single" w:sz="4" w:space="0" w:color="6FC5FF" w:themeColor="accent3" w:themeTint="66"/>
        <w:bottom w:val="single" w:sz="4" w:space="0" w:color="6FC5FF" w:themeColor="accent3" w:themeTint="66"/>
        <w:right w:val="single" w:sz="4" w:space="0" w:color="6FC5FF" w:themeColor="accent3" w:themeTint="66"/>
        <w:insideH w:val="single" w:sz="4" w:space="0" w:color="6FC5FF" w:themeColor="accent3" w:themeTint="66"/>
        <w:insideV w:val="single" w:sz="4" w:space="0" w:color="6FC5FF" w:themeColor="accent3" w:themeTint="66"/>
      </w:tblBorders>
      <w:tblCellMar>
        <w:top w:w="85" w:type="dxa"/>
        <w:left w:w="85" w:type="dxa"/>
        <w:bottom w:w="85" w:type="dxa"/>
        <w:right w:w="85" w:type="dxa"/>
      </w:tblCellMar>
    </w:tblPr>
    <w:tblStylePr w:type="firstRow">
      <w:rPr>
        <w:b/>
        <w:bCs/>
      </w:rPr>
      <w:tblPr/>
      <w:tcPr>
        <w:tcBorders>
          <w:bottom w:val="single" w:sz="12" w:space="0" w:color="27A9FF" w:themeColor="accent3" w:themeTint="99"/>
        </w:tcBorders>
      </w:tcPr>
    </w:tblStylePr>
    <w:tblStylePr w:type="lastRow">
      <w:rPr>
        <w:b/>
        <w:bCs/>
      </w:rPr>
      <w:tblPr/>
      <w:tcPr>
        <w:tcBorders>
          <w:top w:val="double" w:sz="2" w:space="0" w:color="27A9FF"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921D0"/>
    <w:rPr>
      <w:sz w:val="20"/>
    </w:rPr>
    <w:tblPr>
      <w:tblStyleRowBandSize w:val="1"/>
      <w:tblStyleColBandSize w:val="1"/>
      <w:tblBorders>
        <w:top w:val="single" w:sz="4" w:space="0" w:color="84FFBB" w:themeColor="accent5" w:themeTint="66"/>
        <w:left w:val="single" w:sz="4" w:space="0" w:color="84FFBB" w:themeColor="accent5" w:themeTint="66"/>
        <w:bottom w:val="single" w:sz="4" w:space="0" w:color="84FFBB" w:themeColor="accent5" w:themeTint="66"/>
        <w:right w:val="single" w:sz="4" w:space="0" w:color="84FFBB" w:themeColor="accent5" w:themeTint="66"/>
        <w:insideH w:val="single" w:sz="4" w:space="0" w:color="84FFBB" w:themeColor="accent5" w:themeTint="66"/>
        <w:insideV w:val="single" w:sz="4" w:space="0" w:color="84FFBB" w:themeColor="accent5" w:themeTint="66"/>
      </w:tblBorders>
      <w:tblCellMar>
        <w:top w:w="85" w:type="dxa"/>
        <w:left w:w="85" w:type="dxa"/>
        <w:bottom w:w="85" w:type="dxa"/>
        <w:right w:w="85" w:type="dxa"/>
      </w:tblCellMar>
    </w:tblPr>
    <w:tblStylePr w:type="firstRow">
      <w:rPr>
        <w:b/>
        <w:bCs/>
      </w:rPr>
      <w:tblPr/>
      <w:tcPr>
        <w:tcBorders>
          <w:bottom w:val="single" w:sz="12" w:space="0" w:color="46FF9A" w:themeColor="accent5" w:themeTint="99"/>
        </w:tcBorders>
      </w:tcPr>
    </w:tblStylePr>
    <w:tblStylePr w:type="lastRow">
      <w:rPr>
        <w:b/>
        <w:bCs/>
      </w:rPr>
      <w:tblPr/>
      <w:tcPr>
        <w:tcBorders>
          <w:top w:val="double" w:sz="2" w:space="0" w:color="46FF9A"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921D0"/>
    <w:rPr>
      <w:sz w:val="20"/>
    </w:rPr>
    <w:tblPr>
      <w:tblStyleRowBandSize w:val="1"/>
      <w:tblStyleColBandSize w:val="1"/>
      <w:tblBorders>
        <w:top w:val="single" w:sz="4" w:space="0" w:color="A2DAFD" w:themeColor="accent4" w:themeTint="66"/>
        <w:left w:val="single" w:sz="4" w:space="0" w:color="A2DAFD" w:themeColor="accent4" w:themeTint="66"/>
        <w:bottom w:val="single" w:sz="4" w:space="0" w:color="A2DAFD" w:themeColor="accent4" w:themeTint="66"/>
        <w:right w:val="single" w:sz="4" w:space="0" w:color="A2DAFD" w:themeColor="accent4" w:themeTint="66"/>
        <w:insideH w:val="single" w:sz="4" w:space="0" w:color="A2DAFD" w:themeColor="accent4" w:themeTint="66"/>
        <w:insideV w:val="single" w:sz="4" w:space="0" w:color="A2DAFD" w:themeColor="accent4" w:themeTint="66"/>
      </w:tblBorders>
      <w:tblCellMar>
        <w:top w:w="85" w:type="dxa"/>
        <w:left w:w="85" w:type="dxa"/>
        <w:bottom w:w="85" w:type="dxa"/>
        <w:right w:w="85" w:type="dxa"/>
      </w:tblCellMar>
    </w:tblPr>
    <w:tblStylePr w:type="firstRow">
      <w:rPr>
        <w:b/>
        <w:bCs/>
      </w:rPr>
      <w:tblPr/>
      <w:tcPr>
        <w:tcBorders>
          <w:bottom w:val="single" w:sz="12" w:space="0" w:color="74C7FD" w:themeColor="accent4" w:themeTint="99"/>
        </w:tcBorders>
      </w:tcPr>
    </w:tblStylePr>
    <w:tblStylePr w:type="lastRow">
      <w:rPr>
        <w:b/>
        <w:bCs/>
      </w:rPr>
      <w:tblPr/>
      <w:tcPr>
        <w:tcBorders>
          <w:top w:val="double" w:sz="2" w:space="0" w:color="74C7FD"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921D0"/>
    <w:rPr>
      <w:sz w:val="20"/>
    </w:rPr>
    <w:tblPr>
      <w:tblStyleRowBandSize w:val="1"/>
      <w:tblStyleColBandSize w:val="1"/>
      <w:tblBorders>
        <w:top w:val="single" w:sz="4" w:space="0" w:color="D4D4D4" w:themeColor="accent6" w:themeTint="66"/>
        <w:left w:val="single" w:sz="4" w:space="0" w:color="D4D4D4" w:themeColor="accent6" w:themeTint="66"/>
        <w:bottom w:val="single" w:sz="4" w:space="0" w:color="D4D4D4" w:themeColor="accent6" w:themeTint="66"/>
        <w:right w:val="single" w:sz="4" w:space="0" w:color="D4D4D4" w:themeColor="accent6" w:themeTint="66"/>
        <w:insideH w:val="single" w:sz="4" w:space="0" w:color="D4D4D4" w:themeColor="accent6" w:themeTint="66"/>
        <w:insideV w:val="single" w:sz="4" w:space="0" w:color="D4D4D4" w:themeColor="accent6" w:themeTint="66"/>
      </w:tblBorders>
      <w:tblCellMar>
        <w:top w:w="85" w:type="dxa"/>
        <w:left w:w="85" w:type="dxa"/>
        <w:bottom w:w="85" w:type="dxa"/>
        <w:right w:w="85" w:type="dxa"/>
      </w:tblCellMar>
    </w:tblPr>
    <w:tblStylePr w:type="firstRow">
      <w:rPr>
        <w:b/>
        <w:bCs/>
      </w:rPr>
      <w:tblPr/>
      <w:tcPr>
        <w:tcBorders>
          <w:bottom w:val="single" w:sz="12" w:space="0" w:color="BEBEBE" w:themeColor="accent6" w:themeTint="99"/>
        </w:tcBorders>
      </w:tcPr>
    </w:tblStylePr>
    <w:tblStylePr w:type="lastRow">
      <w:rPr>
        <w:b/>
        <w:bCs/>
      </w:rPr>
      <w:tblPr/>
      <w:tcPr>
        <w:tcBorders>
          <w:top w:val="double" w:sz="2" w:space="0" w:color="BEBEB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921D0"/>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shd w:val="clear" w:color="auto" w:fill="0072BC" w:themeFill="accent2"/>
      </w:tcPr>
    </w:tblStylePr>
    <w:tblStylePr w:type="lastRow">
      <w:rPr>
        <w:b/>
        <w:bCs/>
      </w:rPr>
      <w:tblPr/>
      <w:tcPr>
        <w:tcBorders>
          <w:top w:val="nil"/>
          <w:bottom w:val="single" w:sz="4" w:space="0" w:color="949494" w:themeColor="accent6"/>
          <w:insideH w:val="nil"/>
          <w:insideV w:val="single" w:sz="4" w:space="0" w:color="949494" w:themeColor="accent6"/>
        </w:tcBorders>
        <w:shd w:val="clear" w:color="auto" w:fill="FFFFFF" w:themeFill="background1"/>
      </w:tcPr>
    </w:tblStylePr>
    <w:tblStylePr w:type="firstCol">
      <w:rPr>
        <w:b/>
        <w:bCs/>
      </w:rPr>
    </w:tblStylePr>
    <w:tblStylePr w:type="lastCol">
      <w:rPr>
        <w:b/>
        <w:bCs/>
      </w:rPr>
    </w:tblStylePr>
    <w:tblStylePr w:type="band1Vert">
      <w:rPr>
        <w:color w:val="2E404D" w:themeColor="text1"/>
      </w:rPr>
    </w:tblStylePr>
  </w:style>
  <w:style w:type="table" w:styleId="GridTable4">
    <w:name w:val="Grid Table 4"/>
    <w:basedOn w:val="TableNormal"/>
    <w:uiPriority w:val="49"/>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insideV w:val="nil"/>
        </w:tcBorders>
        <w:shd w:val="clear" w:color="auto" w:fill="2E404D" w:themeFill="text1"/>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eGrid1">
    <w:name w:val="Table Grid 1"/>
    <w:basedOn w:val="TableNormal"/>
    <w:uiPriority w:val="99"/>
    <w:semiHidden/>
    <w:unhideWhenUsed/>
    <w:rsid w:val="002921D0"/>
    <w:pPr>
      <w:spacing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dTable2-Accent1">
    <w:name w:val="Grid Table 2 Accent 1"/>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bottom w:val="single" w:sz="12" w:space="0" w:color="244CC3" w:themeColor="accent1" w:themeTint="99"/>
          <w:insideH w:val="nil"/>
          <w:insideV w:val="nil"/>
        </w:tcBorders>
        <w:shd w:val="clear" w:color="auto" w:fill="FFFFFF" w:themeFill="background1"/>
      </w:tcPr>
    </w:tblStylePr>
    <w:tblStylePr w:type="lastRow">
      <w:rPr>
        <w:b/>
        <w:bCs/>
      </w:rPr>
      <w:tblPr/>
      <w:tcPr>
        <w:tcBorders>
          <w:top w:val="double" w:sz="2" w:space="0" w:color="244C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C0F0" w:themeFill="accent1" w:themeFillTint="33"/>
      </w:tcPr>
    </w:tblStylePr>
    <w:tblStylePr w:type="band1Horz">
      <w:tblPr/>
      <w:tcPr>
        <w:shd w:val="clear" w:color="auto" w:fill="B0C0F0" w:themeFill="accent1" w:themeFillTint="33"/>
      </w:tcPr>
    </w:tblStylePr>
  </w:style>
  <w:style w:type="table" w:styleId="GridTable5Dark">
    <w:name w:val="Grid Table 5 Dark"/>
    <w:basedOn w:val="TableNormal"/>
    <w:uiPriority w:val="50"/>
    <w:rsid w:val="003A6929"/>
    <w:rPr>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85" w:type="dxa"/>
        <w:bottom w:w="85" w:type="dxa"/>
        <w:right w:w="85" w:type="dxa"/>
      </w:tblCellMar>
    </w:tblPr>
    <w:tcPr>
      <w:shd w:val="clear" w:color="auto" w:fill="CED9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E404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E404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E404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E404D" w:themeFill="text1"/>
      </w:tcPr>
    </w:tblStylePr>
    <w:tblStylePr w:type="band1Vert">
      <w:tblPr/>
      <w:tcPr>
        <w:shd w:val="clear" w:color="auto" w:fill="9DB4C5" w:themeFill="text1" w:themeFillTint="66"/>
      </w:tcPr>
    </w:tblStylePr>
    <w:tblStylePr w:type="band1Horz">
      <w:tblPr/>
      <w:tcPr>
        <w:shd w:val="clear" w:color="auto" w:fill="9DB4C5" w:themeFill="text1" w:themeFillTint="66"/>
      </w:tcPr>
    </w:tblStylePr>
  </w:style>
  <w:style w:type="table" w:styleId="GridTable6Colorful">
    <w:name w:val="Grid Table 6 Colorful"/>
    <w:basedOn w:val="TableNormal"/>
    <w:uiPriority w:val="51"/>
    <w:rsid w:val="003A6929"/>
    <w:rPr>
      <w:color w:val="2E404D" w:themeColor="text1"/>
      <w:sz w:val="20"/>
    </w:rPr>
    <w:tblPr>
      <w:tblStyleRowBandSize w:val="1"/>
      <w:tblStyleColBandSize w:val="1"/>
      <w:tblBorders>
        <w:top w:val="single" w:sz="4" w:space="0" w:color="6D8FA8" w:themeColor="text1" w:themeTint="99"/>
        <w:left w:val="single" w:sz="4" w:space="0" w:color="6D8FA8" w:themeColor="text1" w:themeTint="99"/>
        <w:bottom w:val="single" w:sz="4" w:space="0" w:color="6D8FA8" w:themeColor="text1" w:themeTint="99"/>
        <w:right w:val="single" w:sz="4" w:space="0" w:color="6D8FA8" w:themeColor="text1" w:themeTint="99"/>
        <w:insideH w:val="single" w:sz="4" w:space="0" w:color="6D8FA8" w:themeColor="text1" w:themeTint="99"/>
        <w:insideV w:val="single" w:sz="4" w:space="0" w:color="6D8FA8" w:themeColor="text1" w:themeTint="99"/>
      </w:tblBorders>
      <w:tblCellMar>
        <w:top w:w="85" w:type="dxa"/>
        <w:left w:w="85" w:type="dxa"/>
        <w:bottom w:w="85" w:type="dxa"/>
        <w:right w:w="85" w:type="dxa"/>
      </w:tblCellMar>
    </w:tblPr>
    <w:tblStylePr w:type="firstRow">
      <w:rPr>
        <w:b/>
        <w:bCs/>
      </w:rPr>
      <w:tblPr/>
      <w:tcPr>
        <w:tcBorders>
          <w:bottom w:val="single" w:sz="12" w:space="0" w:color="6D8FA8" w:themeColor="text1" w:themeTint="99"/>
        </w:tcBorders>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GridTable7Colorful">
    <w:name w:val="Grid Table 7 Colorful"/>
    <w:basedOn w:val="TableNormal"/>
    <w:uiPriority w:val="52"/>
    <w:rsid w:val="003A6929"/>
    <w:rPr>
      <w:color w:val="2E404D" w:themeColor="text1"/>
      <w:sz w:val="20"/>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bottom w:val="single" w:sz="4" w:space="0" w:color="6D8FA8" w:themeColor="text1" w:themeTint="99"/>
        </w:tcBorders>
      </w:tcPr>
    </w:tblStylePr>
    <w:tblStylePr w:type="nwCell">
      <w:tblPr/>
      <w:tcPr>
        <w:tcBorders>
          <w:bottom w:val="single" w:sz="4" w:space="0" w:color="6D8FA8" w:themeColor="text1" w:themeTint="99"/>
        </w:tcBorders>
      </w:tcPr>
    </w:tblStylePr>
    <w:tblStylePr w:type="seCell">
      <w:tblPr/>
      <w:tcPr>
        <w:tcBorders>
          <w:top w:val="single" w:sz="4" w:space="0" w:color="6D8FA8" w:themeColor="text1" w:themeTint="99"/>
        </w:tcBorders>
      </w:tcPr>
    </w:tblStylePr>
    <w:tblStylePr w:type="swCell">
      <w:tblPr/>
      <w:tcPr>
        <w:tcBorders>
          <w:top w:val="single" w:sz="4" w:space="0" w:color="6D8FA8" w:themeColor="text1" w:themeTint="99"/>
        </w:tcBorders>
      </w:tcPr>
    </w:tblStylePr>
  </w:style>
  <w:style w:type="table" w:styleId="ListTable1Light">
    <w:name w:val="List Table 1 Light"/>
    <w:basedOn w:val="TableNormal"/>
    <w:uiPriority w:val="46"/>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6D8FA8" w:themeColor="text1" w:themeTint="99"/>
        </w:tcBorders>
      </w:tcPr>
    </w:tblStylePr>
    <w:tblStylePr w:type="lastRow">
      <w:rPr>
        <w:b/>
        <w:bCs/>
      </w:rPr>
      <w:tblPr/>
      <w:tcPr>
        <w:tcBorders>
          <w:top w:val="sing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2">
    <w:name w:val="List Table 2"/>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3">
    <w:name w:val="List Table 3"/>
    <w:basedOn w:val="TableNormal"/>
    <w:uiPriority w:val="48"/>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shd w:val="clear" w:color="auto" w:fill="2E404D" w:themeFill="text1"/>
      </w:tcPr>
    </w:tblStylePr>
    <w:tblStylePr w:type="lastRow">
      <w:rPr>
        <w:b/>
        <w:bCs/>
      </w:rPr>
      <w:tblPr/>
      <w:tcPr>
        <w:tcBorders>
          <w:top w:val="double" w:sz="4" w:space="0" w:color="2E40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404D" w:themeColor="text1"/>
          <w:right w:val="single" w:sz="4" w:space="0" w:color="2E404D" w:themeColor="text1"/>
        </w:tcBorders>
      </w:tcPr>
    </w:tblStylePr>
    <w:tblStylePr w:type="band1Horz">
      <w:tblPr/>
      <w:tcPr>
        <w:tcBorders>
          <w:top w:val="single" w:sz="4" w:space="0" w:color="2E404D" w:themeColor="text1"/>
          <w:bottom w:val="single" w:sz="4" w:space="0" w:color="2E40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404D" w:themeColor="text1"/>
          <w:left w:val="nil"/>
        </w:tcBorders>
      </w:tcPr>
    </w:tblStylePr>
    <w:tblStylePr w:type="swCell">
      <w:tblPr/>
      <w:tcPr>
        <w:tcBorders>
          <w:top w:val="double" w:sz="4" w:space="0" w:color="2E404D" w:themeColor="text1"/>
          <w:right w:val="nil"/>
        </w:tcBorders>
      </w:tcPr>
    </w:tblStylePr>
  </w:style>
  <w:style w:type="table" w:styleId="ListTable4">
    <w:name w:val="List Table 4"/>
    <w:basedOn w:val="TableNormal"/>
    <w:uiPriority w:val="49"/>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tcBorders>
        <w:shd w:val="clear" w:color="auto" w:fill="2E404D" w:themeFill="text1"/>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5Dark">
    <w:name w:val="List Table 5 Dark"/>
    <w:basedOn w:val="TableNormal"/>
    <w:uiPriority w:val="50"/>
    <w:rsid w:val="003A6929"/>
    <w:rPr>
      <w:color w:val="FFFFFF" w:themeColor="background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2E404D"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2E404D" w:themeColor="text1"/>
        </w:tcBorders>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7Colorful">
    <w:name w:val="List Table 7 Colorful"/>
    <w:basedOn w:val="TableNormal"/>
    <w:uiPriority w:val="52"/>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2E404D"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E404D"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E404D"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E404D" w:themeColor="text1"/>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85A1B6" w:themeColor="text1" w:themeTint="80"/>
        </w:tcBorders>
      </w:tcPr>
    </w:tblStylePr>
    <w:tblStylePr w:type="lastRow">
      <w:rPr>
        <w:b/>
        <w:bCs/>
      </w:rPr>
      <w:tblPr/>
      <w:tcPr>
        <w:tcBorders>
          <w:top w:val="single" w:sz="4" w:space="0" w:color="85A1B6" w:themeColor="text1" w:themeTint="80"/>
        </w:tcBorders>
      </w:tcPr>
    </w:tblStylePr>
    <w:tblStylePr w:type="firstCol">
      <w:rPr>
        <w:b/>
        <w:bCs/>
      </w:rPr>
    </w:tblStylePr>
    <w:tblStylePr w:type="lastCol">
      <w:rPr>
        <w:b/>
        <w:bCs/>
      </w:rPr>
    </w:tblStylePr>
    <w:tblStylePr w:type="band1Vert">
      <w:tblPr/>
      <w:tcPr>
        <w:tcBorders>
          <w:left w:val="single" w:sz="4" w:space="0" w:color="85A1B6" w:themeColor="text1" w:themeTint="80"/>
          <w:right w:val="single" w:sz="4" w:space="0" w:color="85A1B6" w:themeColor="text1" w:themeTint="80"/>
        </w:tcBorders>
      </w:tcPr>
    </w:tblStylePr>
    <w:tblStylePr w:type="band2Vert">
      <w:tblPr/>
      <w:tcPr>
        <w:tcBorders>
          <w:left w:val="single" w:sz="4" w:space="0" w:color="85A1B6" w:themeColor="text1" w:themeTint="80"/>
          <w:right w:val="single" w:sz="4" w:space="0" w:color="85A1B6" w:themeColor="text1" w:themeTint="80"/>
        </w:tcBorders>
      </w:tcPr>
    </w:tblStylePr>
    <w:tblStylePr w:type="band1Horz">
      <w:tblPr/>
      <w:tcPr>
        <w:tcBorders>
          <w:top w:val="single" w:sz="4" w:space="0" w:color="85A1B6" w:themeColor="text1" w:themeTint="80"/>
          <w:bottom w:val="single" w:sz="4" w:space="0" w:color="85A1B6" w:themeColor="text1" w:themeTint="80"/>
        </w:tcBorders>
      </w:tcPr>
    </w:tblStylePr>
  </w:style>
  <w:style w:type="table" w:styleId="PlainTable3">
    <w:name w:val="Plain Table 3"/>
    <w:basedOn w:val="TableNormal"/>
    <w:uiPriority w:val="43"/>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aps/>
      </w:rPr>
      <w:tblPr/>
      <w:tcPr>
        <w:tcBorders>
          <w:bottom w:val="single" w:sz="4" w:space="0" w:color="85A1B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A1B6"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85A1B6"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A1B6"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A1B6"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A1B6"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A6929"/>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style>
  <w:style w:type="paragraph" w:customStyle="1" w:styleId="NTTLegalIndent">
    <w:name w:val="NTT Legal Indent"/>
    <w:basedOn w:val="NTTLegalBody"/>
    <w:qFormat/>
    <w:rsid w:val="00DD5864"/>
    <w:pPr>
      <w:ind w:left="851"/>
    </w:pPr>
  </w:style>
  <w:style w:type="paragraph" w:styleId="CommentSubject">
    <w:name w:val="annotation subject"/>
    <w:basedOn w:val="CommentText"/>
    <w:next w:val="CommentText"/>
    <w:link w:val="CommentSubjectChar"/>
    <w:uiPriority w:val="99"/>
    <w:semiHidden/>
    <w:unhideWhenUsed/>
    <w:rsid w:val="001E6B53"/>
    <w:rPr>
      <w:b/>
      <w:bCs/>
    </w:rPr>
  </w:style>
  <w:style w:type="character" w:customStyle="1" w:styleId="CommentSubjectChar">
    <w:name w:val="Comment Subject Char"/>
    <w:basedOn w:val="CommentTextChar"/>
    <w:link w:val="CommentSubject"/>
    <w:uiPriority w:val="99"/>
    <w:semiHidden/>
    <w:rsid w:val="001E6B53"/>
    <w:rPr>
      <w:rFonts w:ascii="Arial" w:hAnsi="Arial"/>
      <w:b/>
      <w:bCs/>
      <w:sz w:val="20"/>
      <w:szCs w:val="20"/>
      <w:lang w:val="en-US"/>
    </w:rPr>
  </w:style>
  <w:style w:type="character" w:styleId="FollowedHyperlink">
    <w:name w:val="FollowedHyperlink"/>
    <w:basedOn w:val="DefaultParagraphFont"/>
    <w:uiPriority w:val="99"/>
    <w:semiHidden/>
    <w:unhideWhenUsed/>
    <w:rsid w:val="000B25ED"/>
    <w:rPr>
      <w:color w:val="0072BC" w:themeColor="followedHyperlink"/>
      <w:u w:val="single"/>
    </w:rPr>
  </w:style>
  <w:style w:type="numbering" w:customStyle="1" w:styleId="NTTFlushBulletList1">
    <w:name w:val="_NTT Flush Bullet List1"/>
    <w:basedOn w:val="NoList"/>
    <w:rsid w:val="001C3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909771">
      <w:bodyDiv w:val="1"/>
      <w:marLeft w:val="0"/>
      <w:marRight w:val="0"/>
      <w:marTop w:val="0"/>
      <w:marBottom w:val="0"/>
      <w:divBdr>
        <w:top w:val="none" w:sz="0" w:space="0" w:color="auto"/>
        <w:left w:val="none" w:sz="0" w:space="0" w:color="auto"/>
        <w:bottom w:val="none" w:sz="0" w:space="0" w:color="auto"/>
        <w:right w:val="none" w:sz="0" w:space="0" w:color="auto"/>
      </w:divBdr>
      <w:divsChild>
        <w:div w:id="1351183749">
          <w:marLeft w:val="0"/>
          <w:marRight w:val="0"/>
          <w:marTop w:val="0"/>
          <w:marBottom w:val="0"/>
          <w:divBdr>
            <w:top w:val="none" w:sz="0" w:space="0" w:color="auto"/>
            <w:left w:val="none" w:sz="0" w:space="0" w:color="auto"/>
            <w:bottom w:val="none" w:sz="0" w:space="0" w:color="auto"/>
            <w:right w:val="none" w:sz="0" w:space="0" w:color="auto"/>
          </w:divBdr>
          <w:divsChild>
            <w:div w:id="99956442">
              <w:marLeft w:val="0"/>
              <w:marRight w:val="0"/>
              <w:marTop w:val="0"/>
              <w:marBottom w:val="0"/>
              <w:divBdr>
                <w:top w:val="none" w:sz="0" w:space="0" w:color="auto"/>
                <w:left w:val="none" w:sz="0" w:space="0" w:color="auto"/>
                <w:bottom w:val="none" w:sz="0" w:space="0" w:color="auto"/>
                <w:right w:val="none" w:sz="0" w:space="0" w:color="auto"/>
              </w:divBdr>
              <w:divsChild>
                <w:div w:id="1969428899">
                  <w:marLeft w:val="0"/>
                  <w:marRight w:val="0"/>
                  <w:marTop w:val="0"/>
                  <w:marBottom w:val="0"/>
                  <w:divBdr>
                    <w:top w:val="none" w:sz="0" w:space="0" w:color="auto"/>
                    <w:left w:val="none" w:sz="0" w:space="0" w:color="auto"/>
                    <w:bottom w:val="none" w:sz="0" w:space="0" w:color="auto"/>
                    <w:right w:val="none" w:sz="0" w:space="0" w:color="auto"/>
                  </w:divBdr>
                  <w:divsChild>
                    <w:div w:id="1874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fca.org.uk/firms/regulatory-reporting/product-sales-data-reporting" TargetMode="External"/><Relationship Id="rId26" Type="http://schemas.openxmlformats.org/officeDocument/2006/relationships/hyperlink" Target="https://www.eba.europa.eu/risk-analysis-and-data/reporting-frameworks" TargetMode="External"/><Relationship Id="rId39" Type="http://schemas.openxmlformats.org/officeDocument/2006/relationships/fontTable" Target="fontTable.xml"/><Relationship Id="rId21" Type="http://schemas.openxmlformats.org/officeDocument/2006/relationships/hyperlink" Target="https://www.fca.org.uk/multimedia/fca-explains-regdata-submitting-and-managing-product-sales-data-psd" TargetMode="External"/><Relationship Id="rId34" Type="http://schemas.openxmlformats.org/officeDocument/2006/relationships/hyperlink" Target="https://www.data.gov.u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ca.org.uk/firms/regdata/product-sales-data-help-text-faqs" TargetMode="External"/><Relationship Id="rId29" Type="http://schemas.openxmlformats.org/officeDocument/2006/relationships/hyperlink" Target="https://www.bankofengland.co.uk/prudential-regulation/regulatory-reporting/regulatory-reporting-banking-sector/banks-building-societies-and-investment-firm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fca.org.uk/firms/regdata/corep-finrep-reporting" TargetMode="External"/><Relationship Id="rId32" Type="http://schemas.openxmlformats.org/officeDocument/2006/relationships/hyperlink" Target="https://www.prarulebook.co.uk/pra-rules/regulatory-reporting/" TargetMode="External"/><Relationship Id="rId37" Type="http://schemas.openxmlformats.org/officeDocument/2006/relationships/header" Target="header5.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regdata.fca.org.uk/" TargetMode="External"/><Relationship Id="rId28" Type="http://schemas.openxmlformats.org/officeDocument/2006/relationships/hyperlink" Target="https://www.bankofengland.co.uk/prudential-regulation/regulatory-reporting/regulatory-reporting-banking-sector" TargetMode="Externa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handbook.fca.org.uk/handbook/sup16/sup16s30?timeline=true" TargetMode="External"/><Relationship Id="rId31" Type="http://schemas.openxmlformats.org/officeDocument/2006/relationships/hyperlink" Target="https://www.bankofengland.co.uk/prudential-regulation/prudential-and-resolution-policy-index/banking/report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handbook.fca.org.uk/handbook" TargetMode="External"/><Relationship Id="rId27" Type="http://schemas.openxmlformats.org/officeDocument/2006/relationships/hyperlink" Target="https://www.fca.org.uk/sites/default/files/regdata-taxonomy-entry-point-mapping.xlsx" TargetMode="External"/><Relationship Id="rId30" Type="http://schemas.openxmlformats.org/officeDocument/2006/relationships/hyperlink" Target="http://www.prarulebook.co.uk/" TargetMode="External"/><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ww.fca.org.uk/publication/consumer-credit-information/credit-agreement-psd-data-elements.xlsx" TargetMode="External"/><Relationship Id="rId25" Type="http://schemas.openxmlformats.org/officeDocument/2006/relationships/hyperlink" Target="https://www.bankofengland.co.uk/prudential-regulation/publication/2021/october/implementation-of-basel-standards" TargetMode="External"/><Relationship Id="rId33" Type="http://schemas.openxmlformats.org/officeDocument/2006/relationships/hyperlink" Target="https://www.kaggle.com/datasets/polartech/uk-mortgage-product-dataset?utm_source=chatgpt.com" TargetMode="External"/><Relationship Id="rId38"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994FB-CE9A-4296-A86B-8438FEAF527F}"/>
      </w:docPartPr>
      <w:docPartBody>
        <w:p w:rsidR="005A6B75" w:rsidRDefault="000620EA">
          <w:r w:rsidRPr="00790150">
            <w:rPr>
              <w:rStyle w:val="PlaceholderText"/>
            </w:rPr>
            <w:t>Click or tap here to enter text.</w:t>
          </w:r>
        </w:p>
      </w:docPartBody>
    </w:docPart>
    <w:docPart>
      <w:docPartPr>
        <w:name w:val="DB458E9C4BAE473FAAF5D63304686574"/>
        <w:category>
          <w:name w:val="General"/>
          <w:gallery w:val="placeholder"/>
        </w:category>
        <w:types>
          <w:type w:val="bbPlcHdr"/>
        </w:types>
        <w:behaviors>
          <w:behavior w:val="content"/>
        </w:behaviors>
        <w:guid w:val="{5DF899F3-CF39-4951-8FAD-54F8FAE7014C}"/>
      </w:docPartPr>
      <w:docPartBody>
        <w:p w:rsidR="005A6B75" w:rsidRDefault="000620EA" w:rsidP="000620EA">
          <w:pPr>
            <w:pStyle w:val="DB458E9C4BAE473FAAF5D63304686574"/>
          </w:pPr>
          <w:r w:rsidRPr="00790150">
            <w:rPr>
              <w:rStyle w:val="PlaceholderText"/>
            </w:rPr>
            <w:t>Click or tap here to enter text.</w:t>
          </w:r>
        </w:p>
      </w:docPartBody>
    </w:docPart>
    <w:docPart>
      <w:docPartPr>
        <w:name w:val="95B71A9760304E7D856A924CBB85946C"/>
        <w:category>
          <w:name w:val="General"/>
          <w:gallery w:val="placeholder"/>
        </w:category>
        <w:types>
          <w:type w:val="bbPlcHdr"/>
        </w:types>
        <w:behaviors>
          <w:behavior w:val="content"/>
        </w:behaviors>
        <w:guid w:val="{F195DF81-70D9-431B-AC8F-633F2350487C}"/>
      </w:docPartPr>
      <w:docPartBody>
        <w:p w:rsidR="00B206CE" w:rsidRDefault="00622C7E" w:rsidP="00622C7E">
          <w:pPr>
            <w:pStyle w:val="95B71A9760304E7D856A924CBB85946C"/>
          </w:pPr>
          <w:r w:rsidRPr="00790150">
            <w:rPr>
              <w:rStyle w:val="PlaceholderText"/>
            </w:rPr>
            <w:t>Click or tap here to enter text.</w:t>
          </w:r>
        </w:p>
      </w:docPartBody>
    </w:docPart>
    <w:docPart>
      <w:docPartPr>
        <w:name w:val="7CEF6F5123C545DEAF3672169BE6A63D"/>
        <w:category>
          <w:name w:val="General"/>
          <w:gallery w:val="placeholder"/>
        </w:category>
        <w:types>
          <w:type w:val="bbPlcHdr"/>
        </w:types>
        <w:behaviors>
          <w:behavior w:val="content"/>
        </w:behaviors>
        <w:guid w:val="{8F033BF1-E6BB-4A96-8AE2-11F1F5A536CD}"/>
      </w:docPartPr>
      <w:docPartBody>
        <w:p w:rsidR="00E563C7" w:rsidRDefault="00AE0F69" w:rsidP="00AE0F69">
          <w:pPr>
            <w:pStyle w:val="7CEF6F5123C545DEAF3672169BE6A63D"/>
          </w:pPr>
          <w:r w:rsidRPr="00790150">
            <w:rPr>
              <w:rStyle w:val="PlaceholderText"/>
            </w:rPr>
            <w:t>Click or tap here to enter text.</w:t>
          </w:r>
        </w:p>
      </w:docPartBody>
    </w:docPart>
    <w:docPart>
      <w:docPartPr>
        <w:name w:val="07F13BF82FC6447CAC9D511CF9723222"/>
        <w:category>
          <w:name w:val="General"/>
          <w:gallery w:val="placeholder"/>
        </w:category>
        <w:types>
          <w:type w:val="bbPlcHdr"/>
        </w:types>
        <w:behaviors>
          <w:behavior w:val="content"/>
        </w:behaviors>
        <w:guid w:val="{438CD938-07FA-4E6E-92E9-7452029ABA9C}"/>
      </w:docPartPr>
      <w:docPartBody>
        <w:p w:rsidR="008809DA" w:rsidRDefault="008809DA" w:rsidP="008809DA">
          <w:pPr>
            <w:pStyle w:val="07F13BF82FC6447CAC9D511CF9723222"/>
          </w:pPr>
          <w:r w:rsidRPr="00C14A14">
            <w:rPr>
              <w:bCs/>
              <w:lang w:val="en-GB"/>
            </w:rPr>
            <w:t>[Legal Entity Information]</w:t>
          </w:r>
        </w:p>
      </w:docPartBody>
    </w:docPart>
    <w:docPart>
      <w:docPartPr>
        <w:name w:val="F9B3FD16871F4C54ACF12EFE83A2BD4C"/>
        <w:category>
          <w:name w:val="General"/>
          <w:gallery w:val="placeholder"/>
        </w:category>
        <w:types>
          <w:type w:val="bbPlcHdr"/>
        </w:types>
        <w:behaviors>
          <w:behavior w:val="content"/>
        </w:behaviors>
        <w:guid w:val="{4B24693D-798D-445E-B310-428280FDF684}"/>
      </w:docPartPr>
      <w:docPartBody>
        <w:p w:rsidR="008809DA" w:rsidRDefault="008809DA" w:rsidP="008809DA">
          <w:pPr>
            <w:pStyle w:val="F9B3FD16871F4C54ACF12EFE83A2BD4C"/>
          </w:pPr>
          <w:r w:rsidRPr="00C14A14">
            <w:rPr>
              <w:bCs/>
              <w:lang w:val="en-GB"/>
            </w:rPr>
            <w:t>[Legal Entity Information]</w:t>
          </w:r>
        </w:p>
      </w:docPartBody>
    </w:docPart>
    <w:docPart>
      <w:docPartPr>
        <w:name w:val="7E69470399464888BD163DC6228BD769"/>
        <w:category>
          <w:name w:val="General"/>
          <w:gallery w:val="placeholder"/>
        </w:category>
        <w:types>
          <w:type w:val="bbPlcHdr"/>
        </w:types>
        <w:behaviors>
          <w:behavior w:val="content"/>
        </w:behaviors>
        <w:guid w:val="{A6E574F4-9DCB-4E88-9DF2-794FFCF9AB82}"/>
      </w:docPartPr>
      <w:docPartBody>
        <w:p w:rsidR="00BA4DB5" w:rsidRDefault="008A30B5" w:rsidP="008A30B5">
          <w:pPr>
            <w:pStyle w:val="7E69470399464888BD163DC6228BD769"/>
          </w:pPr>
          <w:r w:rsidRPr="00C14A14">
            <w:rPr>
              <w:bCs/>
              <w:lang w:val="en-GB"/>
            </w:rPr>
            <w:t>[Legal Entity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A"/>
    <w:rsid w:val="0004590D"/>
    <w:rsid w:val="000532B6"/>
    <w:rsid w:val="000620EA"/>
    <w:rsid w:val="00084AD9"/>
    <w:rsid w:val="00155B5A"/>
    <w:rsid w:val="00210CA2"/>
    <w:rsid w:val="002373FC"/>
    <w:rsid w:val="00266407"/>
    <w:rsid w:val="002975E1"/>
    <w:rsid w:val="002F0554"/>
    <w:rsid w:val="004125B6"/>
    <w:rsid w:val="00414E8F"/>
    <w:rsid w:val="00470BDF"/>
    <w:rsid w:val="00471DE8"/>
    <w:rsid w:val="004B5539"/>
    <w:rsid w:val="005A6B75"/>
    <w:rsid w:val="005D341F"/>
    <w:rsid w:val="00622C7E"/>
    <w:rsid w:val="006610D4"/>
    <w:rsid w:val="006E06FA"/>
    <w:rsid w:val="006E3CF5"/>
    <w:rsid w:val="006F66E8"/>
    <w:rsid w:val="007E030B"/>
    <w:rsid w:val="008809DA"/>
    <w:rsid w:val="008A30B5"/>
    <w:rsid w:val="008E120C"/>
    <w:rsid w:val="00A410C9"/>
    <w:rsid w:val="00AE0F69"/>
    <w:rsid w:val="00B206CE"/>
    <w:rsid w:val="00B53CFB"/>
    <w:rsid w:val="00B546AF"/>
    <w:rsid w:val="00BA4DB5"/>
    <w:rsid w:val="00CB581E"/>
    <w:rsid w:val="00CF1F60"/>
    <w:rsid w:val="00D85A7F"/>
    <w:rsid w:val="00E563C7"/>
    <w:rsid w:val="00ED79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0F69"/>
    <w:rPr>
      <w:color w:val="808080"/>
    </w:rPr>
  </w:style>
  <w:style w:type="paragraph" w:customStyle="1" w:styleId="DB458E9C4BAE473FAAF5D63304686574">
    <w:name w:val="DB458E9C4BAE473FAAF5D63304686574"/>
    <w:rsid w:val="000620EA"/>
  </w:style>
  <w:style w:type="paragraph" w:customStyle="1" w:styleId="95B71A9760304E7D856A924CBB85946C">
    <w:name w:val="95B71A9760304E7D856A924CBB85946C"/>
    <w:rsid w:val="00622C7E"/>
  </w:style>
  <w:style w:type="paragraph" w:customStyle="1" w:styleId="7CEF6F5123C545DEAF3672169BE6A63D">
    <w:name w:val="7CEF6F5123C545DEAF3672169BE6A63D"/>
    <w:rsid w:val="00AE0F69"/>
  </w:style>
  <w:style w:type="paragraph" w:customStyle="1" w:styleId="07F13BF82FC6447CAC9D511CF9723222">
    <w:name w:val="07F13BF82FC6447CAC9D511CF9723222"/>
    <w:rsid w:val="008809DA"/>
    <w:pPr>
      <w:tabs>
        <w:tab w:val="center" w:pos="4513"/>
        <w:tab w:val="right" w:pos="9026"/>
      </w:tabs>
      <w:spacing w:before="240" w:after="0" w:line="264" w:lineRule="auto"/>
    </w:pPr>
    <w:rPr>
      <w:rFonts w:ascii="Arial" w:eastAsiaTheme="minorHAnsi" w:hAnsi="Arial"/>
      <w:sz w:val="16"/>
      <w:szCs w:val="24"/>
    </w:rPr>
  </w:style>
  <w:style w:type="paragraph" w:customStyle="1" w:styleId="F9B3FD16871F4C54ACF12EFE83A2BD4C">
    <w:name w:val="F9B3FD16871F4C54ACF12EFE83A2BD4C"/>
    <w:rsid w:val="008809DA"/>
  </w:style>
  <w:style w:type="paragraph" w:customStyle="1" w:styleId="7E69470399464888BD163DC6228BD769">
    <w:name w:val="7E69470399464888BD163DC6228BD769"/>
    <w:rsid w:val="008A30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TT DATA">
      <a:dk1>
        <a:srgbClr val="2E404D"/>
      </a:dk1>
      <a:lt1>
        <a:srgbClr val="FFFFFF"/>
      </a:lt1>
      <a:dk2>
        <a:srgbClr val="2E404D"/>
      </a:dk2>
      <a:lt2>
        <a:srgbClr val="19A3FC"/>
      </a:lt2>
      <a:accent1>
        <a:srgbClr val="070F26"/>
      </a:accent1>
      <a:accent2>
        <a:srgbClr val="0072BC"/>
      </a:accent2>
      <a:accent3>
        <a:srgbClr val="005B96"/>
      </a:accent3>
      <a:accent4>
        <a:srgbClr val="19A3FC"/>
      </a:accent4>
      <a:accent5>
        <a:srgbClr val="00CB5D"/>
      </a:accent5>
      <a:accent6>
        <a:srgbClr val="949494"/>
      </a:accent6>
      <a:hlink>
        <a:srgbClr val="005B96"/>
      </a:hlink>
      <a:folHlink>
        <a:srgbClr val="0072B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a4165b4-fc7f-4d7a-8007-17f42f4afb25" xsi:nil="true"/>
    <lcf76f155ced4ddcb4097134ff3c332f xmlns="2caa3919-3f46-49eb-990e-1104efe356a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A255B86466DD41B2C4751DCAECCF04" ma:contentTypeVersion="11" ma:contentTypeDescription="Create a new document." ma:contentTypeScope="" ma:versionID="4c87891aa7322ec1e0870051eb1afbc3">
  <xsd:schema xmlns:xsd="http://www.w3.org/2001/XMLSchema" xmlns:xs="http://www.w3.org/2001/XMLSchema" xmlns:p="http://schemas.microsoft.com/office/2006/metadata/properties" xmlns:ns2="2caa3919-3f46-49eb-990e-1104efe356a8" xmlns:ns3="1a4165b4-fc7f-4d7a-8007-17f42f4afb25" xmlns:ns4="802a95dd-29c4-44ec-b2fd-c21e72e69761" xmlns:ns5="c332f347-e7a5-4532-9a35-6cf4a7069e74" targetNamespace="http://schemas.microsoft.com/office/2006/metadata/properties" ma:root="true" ma:fieldsID="fd790d1110c2e3bb3af2e810536d78d0" ns2:_="" ns3:_="" ns4:_="" ns5:_="">
    <xsd:import namespace="2caa3919-3f46-49eb-990e-1104efe356a8"/>
    <xsd:import namespace="1a4165b4-fc7f-4d7a-8007-17f42f4afb25"/>
    <xsd:import namespace="802a95dd-29c4-44ec-b2fd-c21e72e69761"/>
    <xsd:import namespace="c332f347-e7a5-4532-9a35-6cf4a7069e74"/>
    <xsd:element name="properties">
      <xsd:complexType>
        <xsd:sequence>
          <xsd:element name="documentManagement">
            <xsd:complexType>
              <xsd:all>
                <xsd:element ref="ns2:lcf76f155ced4ddcb4097134ff3c332f" minOccurs="0"/>
                <xsd:element ref="ns3:TaxCatchAll" minOccurs="0"/>
                <xsd:element ref="ns4:MediaServiceMetadata" minOccurs="0"/>
                <xsd:element ref="ns4:MediaServiceFastMetadata" minOccurs="0"/>
                <xsd:element ref="ns4:MediaServiceOCR" minOccurs="0"/>
                <xsd:element ref="ns4:MediaServiceGenerationTime" minOccurs="0"/>
                <xsd:element ref="ns4:MediaServiceEventHashCode" minOccurs="0"/>
                <xsd:element ref="ns5:SharedWithUsers" minOccurs="0"/>
                <xsd:element ref="ns5:SharedWithDetails" minOccurs="0"/>
                <xsd:element ref="ns2:MediaServiceObjectDetectorVersions" minOccurs="0"/>
                <xsd:element ref="ns2:MediaServiceDateTake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a3919-3f46-49eb-990e-1104efe356a8" elementFormDefault="qualified">
    <xsd:import namespace="http://schemas.microsoft.com/office/2006/documentManagement/types"/>
    <xsd:import namespace="http://schemas.microsoft.com/office/infopath/2007/PartnerControls"/>
    <xsd:element name="lcf76f155ced4ddcb4097134ff3c332f" ma:index="8" nillable="true" ma:taxonomy="true" ma:internalName="lcf76f155ced4ddcb4097134ff3c332f" ma:taxonomyFieldName="MediaServiceImageTags" ma:displayName="Image Tags" ma:readOnly="false" ma:fieldId="{5cf76f15-5ced-4ddc-b409-7134ff3c332f}" ma:taxonomyMulti="true" ma:sspId="5855accf-cd10-4d20-8551-6939a56d4c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4165b4-fc7f-4d7a-8007-17f42f4afb25"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f3d2bbf-fe5e-4bdb-9d90-81f845ce9d96}" ma:internalName="TaxCatchAll" ma:showField="CatchAllData" ma:web="1a4165b4-fc7f-4d7a-8007-17f42f4afb2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2a95dd-29c4-44ec-b2fd-c21e72e697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32f347-e7a5-4532-9a35-6cf4a7069e7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BD03B9-BFAB-42BE-8091-69031DD3A8CE}">
  <ds:schemaRefs>
    <ds:schemaRef ds:uri="http://schemas.openxmlformats.org/officeDocument/2006/bibliography"/>
  </ds:schemaRefs>
</ds:datastoreItem>
</file>

<file path=customXml/itemProps2.xml><?xml version="1.0" encoding="utf-8"?>
<ds:datastoreItem xmlns:ds="http://schemas.openxmlformats.org/officeDocument/2006/customXml" ds:itemID="{B6ADF4F3-5389-4261-BA50-D9C1C4EE966F}">
  <ds:schemaRefs>
    <ds:schemaRef ds:uri="http://schemas.microsoft.com/office/2006/metadata/properties"/>
    <ds:schemaRef ds:uri="http://schemas.microsoft.com/office/infopath/2007/PartnerControls"/>
    <ds:schemaRef ds:uri="1a4165b4-fc7f-4d7a-8007-17f42f4afb25"/>
    <ds:schemaRef ds:uri="2caa3919-3f46-49eb-990e-1104efe356a8"/>
  </ds:schemaRefs>
</ds:datastoreItem>
</file>

<file path=customXml/itemProps3.xml><?xml version="1.0" encoding="utf-8"?>
<ds:datastoreItem xmlns:ds="http://schemas.openxmlformats.org/officeDocument/2006/customXml" ds:itemID="{F4033E51-A133-484E-A999-B47BB42AC722}">
  <ds:schemaRefs>
    <ds:schemaRef ds:uri="http://schemas.microsoft.com/sharepoint/v3/contenttype/forms"/>
  </ds:schemaRefs>
</ds:datastoreItem>
</file>

<file path=customXml/itemProps4.xml><?xml version="1.0" encoding="utf-8"?>
<ds:datastoreItem xmlns:ds="http://schemas.openxmlformats.org/officeDocument/2006/customXml" ds:itemID="{A486488D-E077-42AE-9FC2-47A30B49C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a3919-3f46-49eb-990e-1104efe356a8"/>
    <ds:schemaRef ds:uri="1a4165b4-fc7f-4d7a-8007-17f42f4afb25"/>
    <ds:schemaRef ds:uri="802a95dd-29c4-44ec-b2fd-c21e72e69761"/>
    <ds:schemaRef ds:uri="c332f347-e7a5-4532-9a35-6cf4a7069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183</TotalTime>
  <Pages>75</Pages>
  <Words>17245</Words>
  <Characters>98298</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Manager/>
  <Company>NTT DATA, Inc.</Company>
  <LinksUpToDate>false</LinksUpToDate>
  <CharactersWithSpaces>115313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Kelly</dc:creator>
  <cp:keywords/>
  <dc:description/>
  <cp:lastModifiedBy>Vijay Rangari</cp:lastModifiedBy>
  <cp:revision>213</cp:revision>
  <dcterms:created xsi:type="dcterms:W3CDTF">2026-01-23T13:55:00Z</dcterms:created>
  <dcterms:modified xsi:type="dcterms:W3CDTF">2026-01-30T17:31:00Z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2023-07-27T09:24:30Z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08988646-045d-4317-80d0-b25e5da4eed3</vt:lpwstr>
  </property>
  <property fmtid="{D5CDD505-2E9C-101B-9397-08002B2CF9AE}" pid="8" name="MSIP_Label_4637e5cc-ed1f-4ad6-a881-35c0f1c6f3d8_ContentBits">
    <vt:lpwstr>0</vt:lpwstr>
  </property>
  <property fmtid="{D5CDD505-2E9C-101B-9397-08002B2CF9AE}" pid="9" name="Client">
    <vt:lpwstr/>
  </property>
  <property fmtid="{D5CDD505-2E9C-101B-9397-08002B2CF9AE}" pid="10" name="Security">
    <vt:lpwstr>General</vt:lpwstr>
  </property>
  <property fmtid="{D5CDD505-2E9C-101B-9397-08002B2CF9AE}" pid="11" name="ContentTypeId">
    <vt:lpwstr>0x010100C8A255B86466DD41B2C4751DCAECCF04</vt:lpwstr>
  </property>
  <property fmtid="{D5CDD505-2E9C-101B-9397-08002B2CF9AE}" pid="12" name="_dlc_DocIdItemGuid">
    <vt:lpwstr>f40f45ac-4477-4c90-a82f-ef0710930987</vt:lpwstr>
  </property>
  <property fmtid="{D5CDD505-2E9C-101B-9397-08002B2CF9AE}" pid="13" name="T2KCategory">
    <vt:lpwstr>3;#Brand|832b67cf-1f4d-4e03-97fa-b9a01cdb780b</vt:lpwstr>
  </property>
  <property fmtid="{D5CDD505-2E9C-101B-9397-08002B2CF9AE}" pid="14" name="TogoLocations">
    <vt:lpwstr/>
  </property>
  <property fmtid="{D5CDD505-2E9C-101B-9397-08002B2CF9AE}" pid="15" name="MediaServiceImageTags">
    <vt:lpwstr/>
  </property>
  <property fmtid="{D5CDD505-2E9C-101B-9397-08002B2CF9AE}" pid="16" name="a01feae194714aa882aedc460c3c0dc2">
    <vt:lpwstr/>
  </property>
  <property fmtid="{D5CDD505-2E9C-101B-9397-08002B2CF9AE}" pid="17" name="TogoDepartments">
    <vt:lpwstr/>
  </property>
  <property fmtid="{D5CDD505-2E9C-101B-9397-08002B2CF9AE}" pid="18" name="TogoDocumentsCategory">
    <vt:lpwstr/>
  </property>
  <property fmtid="{D5CDD505-2E9C-101B-9397-08002B2CF9AE}" pid="19" name="TogoTags">
    <vt:lpwstr/>
  </property>
  <property fmtid="{D5CDD505-2E9C-101B-9397-08002B2CF9AE}" pid="20" name="GrammarlyDocumentId">
    <vt:lpwstr>23415086-9efe-40a9-a24f-80a0c789f9bb</vt:lpwstr>
  </property>
  <property fmtid="{D5CDD505-2E9C-101B-9397-08002B2CF9AE}" pid="21" name="docLang">
    <vt:lpwstr>en</vt:lpwstr>
  </property>
</Properties>
</file>