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44"/>
          <w:szCs w:val="44"/>
        </w:rPr>
        <w:t xml:space="preserve">COMPUTER SYSTEM VALIDATION PROJECT</w:t>
      </w:r>
    </w:p>
    <w:p>
      <w:pPr>
        <w:spacing w:after="100"/>
        <w:jc w:val="center"/>
      </w:pPr>
      <w:r>
        <w:rPr>
          <w:rFonts w:ascii="Calibri" w:cs="Calibri" w:eastAsia="Calibri" w:hAnsi="Calibri"/>
          <w:b/>
          <w:bCs/>
          <w:color w:val="404040"/>
          <w:sz w:val="30"/>
          <w:szCs w:val="30"/>
        </w:rPr>
        <w:t xml:space="preserve">Laboratory Information Management System (LIMS) Implementation</w:t>
      </w:r>
    </w:p>
    <w:p>
      <w:pPr>
        <w:spacing w:after="900"/>
        <w:jc w:val="center"/>
      </w:pPr>
      <w:r>
        <w:rPr>
          <w:rFonts w:ascii="Calibri" w:cs="Calibri" w:eastAsia="Calibri" w:hAnsi="Calibri"/>
          <w:i/>
          <w:iCs/>
          <w:color w:val="595959"/>
          <w:sz w:val="24"/>
          <w:szCs w:val="24"/>
        </w:rPr>
        <w:t xml:space="preserve">QC / Analytical R&amp;D Laboratory  |  GAMP 5 Category 4 (Configured Product)</w:t>
      </w:r>
    </w:p>
    <w:p>
      <w:pPr>
        <w:spacing w:after="60"/>
        <w:jc w:val="center"/>
      </w:pPr>
      <w:r>
        <w:rPr>
          <w:rFonts w:ascii="Calibri" w:cs="Calibri" w:eastAsia="Calibri" w:hAnsi="Calibri"/>
          <w:b/>
          <w:bCs/>
          <w:sz w:val="22"/>
          <w:szCs w:val="22"/>
        </w:rPr>
        <w:t xml:space="preserve">Portfolio Project — CSV / Computer System Validation</w:t>
      </w:r>
    </w:p>
    <w:p>
      <w:pPr>
        <w:spacing w:after="60"/>
        <w:jc w:val="center"/>
      </w:pPr>
      <w:r>
        <w:rPr>
          <w:rFonts w:ascii="Calibri" w:cs="Calibri" w:eastAsia="Calibri" w:hAnsi="Calibri"/>
          <w:sz w:val="22"/>
          <w:szCs w:val="22"/>
        </w:rPr>
        <w:t xml:space="preserve">Regulatory Framework: 21 CFR Part 11 | EU GMP Annex 11 | GAMP 5 (2nd Ed.)</w:t>
      </w:r>
    </w:p>
    <w:p>
      <w:pPr>
        <w:spacing w:after="60"/>
        <w:jc w:val="center"/>
      </w:pPr>
      <w:r>
        <w:rPr>
          <w:rFonts w:ascii="Calibri" w:cs="Calibri" w:eastAsia="Calibri" w:hAnsi="Calibri"/>
          <w:sz w:val="22"/>
          <w:szCs w:val="22"/>
        </w:rPr>
        <w:t xml:space="preserve">Prepared by: [Your Name]  |  Role: CSV / Validation Specialist (Candidate Portfolio)</w:t>
      </w:r>
    </w:p>
    <w:p>
      <w:pPr>
        <w:spacing w:after="1200"/>
        <w:jc w:val="center"/>
      </w:pPr>
      <w:r>
        <w:rPr>
          <w:rFonts w:ascii="Calibri" w:cs="Calibri" w:eastAsia="Calibri" w:hAnsi="Calibri"/>
          <w:i/>
          <w:iCs/>
          <w:color w:val="808080"/>
          <w:sz w:val="18"/>
          <w:szCs w:val="18"/>
        </w:rPr>
        <w:t xml:space="preserve">Document Status: Illustrative / Portfolio Demonstration — Not an Actual Regulated Record</w:t>
      </w:r>
    </w:p>
    <w:p>
      <w:r>
        <w:br w:type="page"/>
      </w:r>
    </w:p>
    <w:p>
      <w:pPr>
        <w:pStyle w:val="Heading1"/>
        <w:spacing w:after="160" w:before="360"/>
      </w:pPr>
      <w:r>
        <w:t xml:space="preserve">Table of Contents</w:t>
      </w:r>
    </w:p>
    <w:p>
      <w:pPr>
        <w:pStyle w:val="ListParagraph"/>
        <w:numPr>
          <w:ilvl w:val="0"/>
          <w:numId w:val="1"/>
        </w:numPr>
        <w:spacing w:after="60"/>
      </w:pPr>
      <w:r>
        <w:rPr>
          <w:rFonts w:ascii="Calibri" w:cs="Calibri" w:eastAsia="Calibri" w:hAnsi="Calibri"/>
          <w:sz w:val="21"/>
          <w:szCs w:val="21"/>
        </w:rPr>
        <w:t xml:space="preserve">1. Project Scope &amp; Background</w:t>
      </w:r>
    </w:p>
    <w:p>
      <w:pPr>
        <w:pStyle w:val="ListParagraph"/>
        <w:numPr>
          <w:ilvl w:val="0"/>
          <w:numId w:val="1"/>
        </w:numPr>
        <w:spacing w:after="60"/>
      </w:pPr>
      <w:r>
        <w:rPr>
          <w:rFonts w:ascii="Calibri" w:cs="Calibri" w:eastAsia="Calibri" w:hAnsi="Calibri"/>
          <w:sz w:val="21"/>
          <w:szCs w:val="21"/>
        </w:rPr>
        <w:t xml:space="preserve">2. Validation Master Plan (VMP) Summary</w:t>
      </w:r>
    </w:p>
    <w:p>
      <w:pPr>
        <w:pStyle w:val="ListParagraph"/>
        <w:numPr>
          <w:ilvl w:val="0"/>
          <w:numId w:val="1"/>
        </w:numPr>
        <w:spacing w:after="60"/>
      </w:pPr>
      <w:r>
        <w:rPr>
          <w:rFonts w:ascii="Calibri" w:cs="Calibri" w:eastAsia="Calibri" w:hAnsi="Calibri"/>
          <w:sz w:val="21"/>
          <w:szCs w:val="21"/>
        </w:rPr>
        <w:t xml:space="preserve">3. User Requirement Specification (URS)</w:t>
      </w:r>
    </w:p>
    <w:p>
      <w:pPr>
        <w:pStyle w:val="ListParagraph"/>
        <w:numPr>
          <w:ilvl w:val="0"/>
          <w:numId w:val="1"/>
        </w:numPr>
        <w:spacing w:after="60"/>
      </w:pPr>
      <w:r>
        <w:rPr>
          <w:rFonts w:ascii="Calibri" w:cs="Calibri" w:eastAsia="Calibri" w:hAnsi="Calibri"/>
          <w:sz w:val="21"/>
          <w:szCs w:val="21"/>
        </w:rPr>
        <w:t xml:space="preserve">4. Functional &amp; Design Specification (FS/DS)</w:t>
      </w:r>
    </w:p>
    <w:p>
      <w:pPr>
        <w:pStyle w:val="ListParagraph"/>
        <w:numPr>
          <w:ilvl w:val="0"/>
          <w:numId w:val="1"/>
        </w:numPr>
        <w:spacing w:after="60"/>
      </w:pPr>
      <w:r>
        <w:rPr>
          <w:rFonts w:ascii="Calibri" w:cs="Calibri" w:eastAsia="Calibri" w:hAnsi="Calibri"/>
          <w:sz w:val="21"/>
          <w:szCs w:val="21"/>
        </w:rPr>
        <w:t xml:space="preserve">5. Data Integrity Risk Assessment</w:t>
      </w:r>
    </w:p>
    <w:p>
      <w:pPr>
        <w:pStyle w:val="ListParagraph"/>
        <w:numPr>
          <w:ilvl w:val="0"/>
          <w:numId w:val="1"/>
        </w:numPr>
        <w:spacing w:after="60"/>
      </w:pPr>
      <w:r>
        <w:rPr>
          <w:rFonts w:ascii="Calibri" w:cs="Calibri" w:eastAsia="Calibri" w:hAnsi="Calibri"/>
          <w:sz w:val="21"/>
          <w:szCs w:val="21"/>
        </w:rPr>
        <w:t xml:space="preserve">6. Validation Protocols — DQ / IQ / OQ / PQ</w:t>
      </w:r>
    </w:p>
    <w:p>
      <w:pPr>
        <w:pStyle w:val="ListParagraph"/>
        <w:numPr>
          <w:ilvl w:val="0"/>
          <w:numId w:val="1"/>
        </w:numPr>
        <w:spacing w:after="60"/>
      </w:pPr>
      <w:r>
        <w:rPr>
          <w:rFonts w:ascii="Calibri" w:cs="Calibri" w:eastAsia="Calibri" w:hAnsi="Calibri"/>
          <w:sz w:val="21"/>
          <w:szCs w:val="21"/>
        </w:rPr>
        <w:t xml:space="preserve">7. Traceability Matrix</w:t>
      </w:r>
    </w:p>
    <w:p>
      <w:pPr>
        <w:pStyle w:val="ListParagraph"/>
        <w:numPr>
          <w:ilvl w:val="0"/>
          <w:numId w:val="1"/>
        </w:numPr>
        <w:spacing w:after="60"/>
      </w:pPr>
      <w:r>
        <w:rPr>
          <w:rFonts w:ascii="Calibri" w:cs="Calibri" w:eastAsia="Calibri" w:hAnsi="Calibri"/>
          <w:sz w:val="21"/>
          <w:szCs w:val="21"/>
        </w:rPr>
        <w:t xml:space="preserve">8. Deviation &amp; CAPA Example</w:t>
      </w:r>
    </w:p>
    <w:p>
      <w:pPr>
        <w:pStyle w:val="ListParagraph"/>
        <w:numPr>
          <w:ilvl w:val="0"/>
          <w:numId w:val="1"/>
        </w:numPr>
        <w:spacing w:after="60"/>
      </w:pPr>
      <w:r>
        <w:rPr>
          <w:rFonts w:ascii="Calibri" w:cs="Calibri" w:eastAsia="Calibri" w:hAnsi="Calibri"/>
          <w:sz w:val="21"/>
          <w:szCs w:val="21"/>
        </w:rPr>
        <w:t xml:space="preserve">9. Validation Summary Report</w:t>
      </w:r>
    </w:p>
    <w:p>
      <w:r>
        <w:br w:type="page"/>
      </w:r>
    </w:p>
    <w:p>
      <w:pPr>
        <w:pStyle w:val="Heading1"/>
        <w:spacing w:after="160" w:before="360"/>
      </w:pPr>
      <w:r>
        <w:t xml:space="preserve">1. Project Scope &amp; Background</w:t>
      </w:r>
    </w:p>
    <w:p>
      <w:pPr>
        <w:spacing w:after="160" w:line="276"/>
        <w:jc w:val="both"/>
      </w:pPr>
      <w:r>
        <w:rPr>
          <w:rFonts w:ascii="Calibri" w:cs="Calibri" w:eastAsia="Calibri" w:hAnsi="Calibri"/>
          <w:sz w:val="21"/>
          <w:szCs w:val="21"/>
        </w:rPr>
        <w:t xml:space="preserve">This project documents the Computer System Validation (CSV) of a Laboratory Information Management System (QC-LIMS v8.2) implemented in the Quality Control and Analytical Research &amp; Development laboratories of a pharmaceutical manufacturing site. The system manages sample login and chain of custody, instrument and test-method master data, specification limits, raw and calculated result capture, electronic review/approval workflows, and Certificate of Analysis (CoA) generation for raw materials, in-process samples, finished product, and stability studies. Because the LIMS directly generates, processes, and stores GxP data used for batch release and regulatory submissions, and replaces manual/paper-based recording of analytical results, it is a GxP-critical, Part 11/Annex 11-applicable system. Validation is required to demonstrate — with documented, objective evidence — that the system consistently performs as intended, that master data governing test methods and calculations is configured and controlled correctly, and that electronic records and electronic signatures meet data integrity (ALCOA+) and regulatory expectations prior to use in GMP operations. The project follows GAMP 5 risk-based principles, classifying the LIMS as Category 4 (Configured Product), and applies a V-model validation lifecycle from the site's Validation Master Plan (VMP).</w:t>
      </w:r>
    </w:p>
    <w:p>
      <w:pPr>
        <w:pStyle w:val="Heading1"/>
        <w:spacing w:after="160" w:before="360"/>
      </w:pPr>
      <w:r>
        <w:t xml:space="preserve">2. Validation Master Plan (VMP) Summary</w:t>
      </w:r>
    </w:p>
    <w:p>
      <w:pPr>
        <w:pStyle w:val="Heading2"/>
        <w:spacing w:after="120" w:before="240"/>
      </w:pPr>
      <w:r>
        <w:t xml:space="preserve">2.1 Scope</w:t>
      </w:r>
    </w:p>
    <w:p>
      <w:pPr>
        <w:spacing w:after="160" w:line="276"/>
        <w:jc w:val="both"/>
      </w:pPr>
      <w:r>
        <w:rPr>
          <w:rFonts w:ascii="Calibri" w:cs="Calibri" w:eastAsia="Calibri" w:hAnsi="Calibri"/>
          <w:sz w:val="21"/>
          <w:szCs w:val="21"/>
        </w:rPr>
        <w:t xml:space="preserve">The VMP covers the end-to-end validation lifecycle of QC-LIMS v8.2, from planning through decommissioning of legacy paper/Excel-based data recording. In scope: master data build (instruments, methods, specifications, calculations, units, reference standards), user role/access configuration, electronic signature workflows, audit trail functionality, interfaces to instrument data systems (e.g., Chromatography Data System) and ERP, and system infrastructure (server, database, backup). Out of scope: validation of the underlying operating system and database engine (covered under IT Infrastructure Qualification) and validation of interfaced instrument systems (validated independently).</w:t>
      </w:r>
    </w:p>
    <w:p>
      <w:pPr>
        <w:pStyle w:val="Heading2"/>
        <w:spacing w:after="120" w:before="240"/>
      </w:pPr>
      <w:r>
        <w:t xml:space="preserve">2.2 Validation Approach</w:t>
      </w:r>
    </w:p>
    <w:p>
      <w:pPr>
        <w:pStyle w:val="ListParagraph"/>
        <w:numPr>
          <w:ilvl w:val="0"/>
          <w:numId w:val="1"/>
        </w:numPr>
        <w:spacing w:after="60"/>
      </w:pPr>
      <w:r>
        <w:rPr>
          <w:rFonts w:ascii="Calibri" w:cs="Calibri" w:eastAsia="Calibri" w:hAnsi="Calibri"/>
          <w:sz w:val="21"/>
          <w:szCs w:val="21"/>
        </w:rPr>
        <w:t xml:space="preserve">GAMP 5 risk-based, lifecycle approach using the V-model, with validation rigor scaled to GAMP Category 4 (Configured Product).</w:t>
      </w:r>
    </w:p>
    <w:p>
      <w:pPr>
        <w:pStyle w:val="ListParagraph"/>
        <w:numPr>
          <w:ilvl w:val="0"/>
          <w:numId w:val="1"/>
        </w:numPr>
        <w:spacing w:after="60"/>
      </w:pPr>
      <w:r>
        <w:rPr>
          <w:rFonts w:ascii="Calibri" w:cs="Calibri" w:eastAsia="Calibri" w:hAnsi="Calibri"/>
          <w:sz w:val="21"/>
          <w:szCs w:val="21"/>
        </w:rPr>
        <w:t xml:space="preserve">Supplier assessment/audit performed to leverage vendor testing evidence and reduce duplicate in-house IQ effort per GAMP 5.</w:t>
      </w:r>
    </w:p>
    <w:p>
      <w:pPr>
        <w:pStyle w:val="ListParagraph"/>
        <w:numPr>
          <w:ilvl w:val="0"/>
          <w:numId w:val="1"/>
        </w:numPr>
        <w:spacing w:after="60"/>
      </w:pPr>
      <w:r>
        <w:rPr>
          <w:rFonts w:ascii="Calibri" w:cs="Calibri" w:eastAsia="Calibri" w:hAnsi="Calibri"/>
          <w:sz w:val="21"/>
          <w:szCs w:val="21"/>
        </w:rPr>
        <w:t xml:space="preserve">Data Integrity Risk Assessment (DIRA) performed prior to OQ to identify and mitigate ALCOA+ gaps, in line with Annex 11 and Part 11.</w:t>
      </w:r>
    </w:p>
    <w:p>
      <w:pPr>
        <w:pStyle w:val="ListParagraph"/>
        <w:numPr>
          <w:ilvl w:val="0"/>
          <w:numId w:val="1"/>
        </w:numPr>
        <w:spacing w:after="60"/>
      </w:pPr>
      <w:r>
        <w:rPr>
          <w:rFonts w:ascii="Calibri" w:cs="Calibri" w:eastAsia="Calibri" w:hAnsi="Calibri"/>
          <w:sz w:val="21"/>
          <w:szCs w:val="21"/>
        </w:rPr>
        <w:t xml:space="preserve">Configuration-first approach: master data (methods, calculations, specs) is treated as a validated deliverable, not "IT setup," with its own test evidence.</w:t>
      </w:r>
    </w:p>
    <w:p>
      <w:pPr>
        <w:pStyle w:val="ListParagraph"/>
        <w:numPr>
          <w:ilvl w:val="0"/>
          <w:numId w:val="1"/>
        </w:numPr>
        <w:spacing w:after="60"/>
      </w:pPr>
      <w:r>
        <w:rPr>
          <w:rFonts w:ascii="Calibri" w:cs="Calibri" w:eastAsia="Calibri" w:hAnsi="Calibri"/>
          <w:sz w:val="21"/>
          <w:szCs w:val="21"/>
        </w:rPr>
        <w:t xml:space="preserve">Change control and periodic review procedures applied post-validation to maintain the validated state.</w:t>
      </w:r>
    </w:p>
    <w:p>
      <w:pPr>
        <w:pStyle w:val="Heading2"/>
        <w:spacing w:after="120" w:before="240"/>
      </w:pPr>
      <w:r>
        <w:t xml:space="preserve">2.3 Roles &amp; Responsibilities</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3200"/>
        <w:gridCol w:w="6160"/>
      </w:tblGrid>
      <w:tr>
        <w:trPr>
          <w:tblHeader/>
        </w:trPr>
        <w:tc>
          <w:tcPr>
            <w:tcW w:type="dxa" w:w="32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Role</w:t>
            </w:r>
          </w:p>
        </w:tc>
        <w:tc>
          <w:tcPr>
            <w:tcW w:type="dxa" w:w="61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Responsibility</w:t>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System/Process Owner (QC Manager)</w:t>
            </w:r>
          </w:p>
        </w:tc>
        <w:tc>
          <w:tcPr>
            <w:tcW w:type="dxa" w:w="61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Owns business process, approves URS, approves system for GMP use</w:t>
            </w:r>
          </w:p>
        </w:tc>
      </w:tr>
      <w:tr>
        <w:tc>
          <w:tcPr>
            <w:tcW w:type="dxa" w:w="3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QA (Validation/CSV)</w:t>
            </w:r>
          </w:p>
        </w:tc>
        <w:tc>
          <w:tcPr>
            <w:tcW w:type="dxa" w:w="61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Approves validation strategy, DIRA, protocols and final report; ensures Part 11/Annex 11 compliance</w:t>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CSV Specialist / Validation Lead</w:t>
            </w:r>
          </w:p>
        </w:tc>
        <w:tc>
          <w:tcPr>
            <w:tcW w:type="dxa" w:w="61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Authors VMP, URS, FS traceability, protocols; executes/coordinates testing; compiles Validation Summary Report</w:t>
            </w:r>
          </w:p>
        </w:tc>
      </w:tr>
      <w:tr>
        <w:tc>
          <w:tcPr>
            <w:tcW w:type="dxa" w:w="3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IT / System Administrator</w:t>
            </w:r>
          </w:p>
        </w:tc>
        <w:tc>
          <w:tcPr>
            <w:tcW w:type="dxa" w:w="61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Installs and configures infrastructure; executes IQ; manages backup, DR, and technical access controls</w:t>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LIMS Configuration Specialist (SME)</w:t>
            </w:r>
          </w:p>
        </w:tc>
        <w:tc>
          <w:tcPr>
            <w:tcW w:type="dxa" w:w="61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Builds and controls master data: methods, calculations, specifications, instrument records, workflows</w:t>
            </w:r>
          </w:p>
        </w:tc>
      </w:tr>
      <w:tr>
        <w:tc>
          <w:tcPr>
            <w:tcW w:type="dxa" w:w="3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End Users (QC Analysts/Reviewers)</w:t>
            </w:r>
          </w:p>
        </w:tc>
        <w:tc>
          <w:tcPr>
            <w:tcW w:type="dxa" w:w="61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Execute OQ/PQ test scripts under supervision; provide UAT feedback</w:t>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Supplier / Vendor</w:t>
            </w:r>
          </w:p>
        </w:tc>
        <w:tc>
          <w:tcPr>
            <w:tcW w:type="dxa" w:w="61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Provides Design Specification, source-level testing evidence, and support during IQ</w:t>
            </w:r>
          </w:p>
        </w:tc>
      </w:tr>
    </w:tbl>
    <w:p>
      <w:pPr>
        <w:pStyle w:val="Heading2"/>
        <w:spacing w:after="120" w:before="240"/>
      </w:pPr>
      <w:r>
        <w:t xml:space="preserve">2.4 Key Deliverables</w:t>
      </w:r>
    </w:p>
    <w:p>
      <w:pPr>
        <w:pStyle w:val="ListParagraph"/>
        <w:numPr>
          <w:ilvl w:val="0"/>
          <w:numId w:val="1"/>
        </w:numPr>
        <w:spacing w:after="60"/>
      </w:pPr>
      <w:r>
        <w:rPr>
          <w:rFonts w:ascii="Calibri" w:cs="Calibri" w:eastAsia="Calibri" w:hAnsi="Calibri"/>
          <w:sz w:val="21"/>
          <w:szCs w:val="21"/>
        </w:rPr>
        <w:t xml:space="preserve">Validation Master Plan (VMP)</w:t>
      </w:r>
    </w:p>
    <w:p>
      <w:pPr>
        <w:pStyle w:val="ListParagraph"/>
        <w:numPr>
          <w:ilvl w:val="0"/>
          <w:numId w:val="1"/>
        </w:numPr>
        <w:spacing w:after="60"/>
      </w:pPr>
      <w:r>
        <w:rPr>
          <w:rFonts w:ascii="Calibri" w:cs="Calibri" w:eastAsia="Calibri" w:hAnsi="Calibri"/>
          <w:sz w:val="21"/>
          <w:szCs w:val="21"/>
        </w:rPr>
        <w:t xml:space="preserve">User Requirement Specification (URS)</w:t>
      </w:r>
    </w:p>
    <w:p>
      <w:pPr>
        <w:pStyle w:val="ListParagraph"/>
        <w:numPr>
          <w:ilvl w:val="0"/>
          <w:numId w:val="1"/>
        </w:numPr>
        <w:spacing w:after="60"/>
      </w:pPr>
      <w:r>
        <w:rPr>
          <w:rFonts w:ascii="Calibri" w:cs="Calibri" w:eastAsia="Calibri" w:hAnsi="Calibri"/>
          <w:sz w:val="21"/>
          <w:szCs w:val="21"/>
        </w:rPr>
        <w:t xml:space="preserve">Functional Specification (FS) &amp; Design Specification (DS)</w:t>
      </w:r>
    </w:p>
    <w:p>
      <w:pPr>
        <w:pStyle w:val="ListParagraph"/>
        <w:numPr>
          <w:ilvl w:val="0"/>
          <w:numId w:val="1"/>
        </w:numPr>
        <w:spacing w:after="60"/>
      </w:pPr>
      <w:r>
        <w:rPr>
          <w:rFonts w:ascii="Calibri" w:cs="Calibri" w:eastAsia="Calibri" w:hAnsi="Calibri"/>
          <w:sz w:val="21"/>
          <w:szCs w:val="21"/>
        </w:rPr>
        <w:t xml:space="preserve">GAMP 5 Category &amp; Supplier Assessment</w:t>
      </w:r>
    </w:p>
    <w:p>
      <w:pPr>
        <w:pStyle w:val="ListParagraph"/>
        <w:numPr>
          <w:ilvl w:val="0"/>
          <w:numId w:val="1"/>
        </w:numPr>
        <w:spacing w:after="60"/>
      </w:pPr>
      <w:r>
        <w:rPr>
          <w:rFonts w:ascii="Calibri" w:cs="Calibri" w:eastAsia="Calibri" w:hAnsi="Calibri"/>
          <w:sz w:val="21"/>
          <w:szCs w:val="21"/>
        </w:rPr>
        <w:t xml:space="preserve">Data Integrity Risk Assessment (DIRA)</w:t>
      </w:r>
    </w:p>
    <w:p>
      <w:pPr>
        <w:pStyle w:val="ListParagraph"/>
        <w:numPr>
          <w:ilvl w:val="0"/>
          <w:numId w:val="1"/>
        </w:numPr>
        <w:spacing w:after="60"/>
      </w:pPr>
      <w:r>
        <w:rPr>
          <w:rFonts w:ascii="Calibri" w:cs="Calibri" w:eastAsia="Calibri" w:hAnsi="Calibri"/>
          <w:sz w:val="21"/>
          <w:szCs w:val="21"/>
        </w:rPr>
        <w:t xml:space="preserve">Installation Qualification (IQ) Protocol &amp; Report</w:t>
      </w:r>
    </w:p>
    <w:p>
      <w:pPr>
        <w:pStyle w:val="ListParagraph"/>
        <w:numPr>
          <w:ilvl w:val="0"/>
          <w:numId w:val="1"/>
        </w:numPr>
        <w:spacing w:after="60"/>
      </w:pPr>
      <w:r>
        <w:rPr>
          <w:rFonts w:ascii="Calibri" w:cs="Calibri" w:eastAsia="Calibri" w:hAnsi="Calibri"/>
          <w:sz w:val="21"/>
          <w:szCs w:val="21"/>
        </w:rPr>
        <w:t xml:space="preserve">Operational Qualification (OQ) Protocol &amp; Report</w:t>
      </w:r>
    </w:p>
    <w:p>
      <w:pPr>
        <w:pStyle w:val="ListParagraph"/>
        <w:numPr>
          <w:ilvl w:val="0"/>
          <w:numId w:val="1"/>
        </w:numPr>
        <w:spacing w:after="60"/>
      </w:pPr>
      <w:r>
        <w:rPr>
          <w:rFonts w:ascii="Calibri" w:cs="Calibri" w:eastAsia="Calibri" w:hAnsi="Calibri"/>
          <w:sz w:val="21"/>
          <w:szCs w:val="21"/>
        </w:rPr>
        <w:t xml:space="preserve">Performance Qualification (PQ) Protocol &amp; Report</w:t>
      </w:r>
    </w:p>
    <w:p>
      <w:pPr>
        <w:pStyle w:val="ListParagraph"/>
        <w:numPr>
          <w:ilvl w:val="0"/>
          <w:numId w:val="1"/>
        </w:numPr>
        <w:spacing w:after="60"/>
      </w:pPr>
      <w:r>
        <w:rPr>
          <w:rFonts w:ascii="Calibri" w:cs="Calibri" w:eastAsia="Calibri" w:hAnsi="Calibri"/>
          <w:sz w:val="21"/>
          <w:szCs w:val="21"/>
        </w:rPr>
        <w:t xml:space="preserve">Traceability Matrix (URS–FS–Test Case)</w:t>
      </w:r>
    </w:p>
    <w:p>
      <w:pPr>
        <w:pStyle w:val="ListParagraph"/>
        <w:numPr>
          <w:ilvl w:val="0"/>
          <w:numId w:val="1"/>
        </w:numPr>
        <w:spacing w:after="60"/>
      </w:pPr>
      <w:r>
        <w:rPr>
          <w:rFonts w:ascii="Calibri" w:cs="Calibri" w:eastAsia="Calibri" w:hAnsi="Calibri"/>
          <w:sz w:val="21"/>
          <w:szCs w:val="21"/>
        </w:rPr>
        <w:t xml:space="preserve">Master Data Verification Records (methods, calculations, specs, roles)</w:t>
      </w:r>
    </w:p>
    <w:p>
      <w:pPr>
        <w:pStyle w:val="ListParagraph"/>
        <w:numPr>
          <w:ilvl w:val="0"/>
          <w:numId w:val="1"/>
        </w:numPr>
        <w:spacing w:after="60"/>
      </w:pPr>
      <w:r>
        <w:rPr>
          <w:rFonts w:ascii="Calibri" w:cs="Calibri" w:eastAsia="Calibri" w:hAnsi="Calibri"/>
          <w:sz w:val="21"/>
          <w:szCs w:val="21"/>
        </w:rPr>
        <w:t xml:space="preserve">SOPs: System Administration, User Access Management, Audit Trail Review, Backup/Restore, Change Control</w:t>
      </w:r>
    </w:p>
    <w:p>
      <w:pPr>
        <w:pStyle w:val="ListParagraph"/>
        <w:numPr>
          <w:ilvl w:val="0"/>
          <w:numId w:val="1"/>
        </w:numPr>
        <w:spacing w:after="60"/>
      </w:pPr>
      <w:r>
        <w:rPr>
          <w:rFonts w:ascii="Calibri" w:cs="Calibri" w:eastAsia="Calibri" w:hAnsi="Calibri"/>
          <w:sz w:val="21"/>
          <w:szCs w:val="21"/>
        </w:rPr>
        <w:t xml:space="preserve">Deviation/CAPA Records</w:t>
      </w:r>
    </w:p>
    <w:p>
      <w:pPr>
        <w:pStyle w:val="ListParagraph"/>
        <w:numPr>
          <w:ilvl w:val="0"/>
          <w:numId w:val="1"/>
        </w:numPr>
        <w:spacing w:after="60"/>
      </w:pPr>
      <w:r>
        <w:rPr>
          <w:rFonts w:ascii="Calibri" w:cs="Calibri" w:eastAsia="Calibri" w:hAnsi="Calibri"/>
          <w:sz w:val="21"/>
          <w:szCs w:val="21"/>
        </w:rPr>
        <w:t xml:space="preserve">Validation Summary Report (VSR)</w:t>
      </w:r>
    </w:p>
    <w:p>
      <w:pPr>
        <w:pStyle w:val="Heading2"/>
        <w:spacing w:after="120" w:before="240"/>
      </w:pPr>
      <w:r>
        <w:t xml:space="preserve">2.5 V-Model (Lifecycle Overview)</w:t>
      </w:r>
    </w:p>
    <w:p>
      <w:pPr>
        <w:spacing w:after="160" w:line="276"/>
        <w:jc w:val="both"/>
      </w:pPr>
      <w:r>
        <w:rPr>
          <w:rFonts w:ascii="Calibri" w:cs="Calibri" w:eastAsia="Calibri" w:hAnsi="Calibri"/>
          <w:sz w:val="21"/>
          <w:szCs w:val="21"/>
        </w:rPr>
        <w:t xml:space="preserve">The V-model maps each specification level to its corresponding test/verification phase, establishing bidirectional traceability from user need through to qualified system.</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4200"/>
        <w:gridCol w:w="900"/>
        <w:gridCol w:w="4260"/>
      </w:tblGrid>
      <w:tr>
        <w:trPr>
          <w:tblHeader/>
        </w:trPr>
        <w:tc>
          <w:tcPr>
            <w:tcW w:type="dxa" w:w="42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Specification Side (Left)</w:t>
            </w:r>
          </w:p>
        </w:tc>
        <w:tc>
          <w:tcPr>
            <w:tcW w:type="dxa" w:w="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w:t>
            </w:r>
          </w:p>
        </w:tc>
        <w:tc>
          <w:tcPr>
            <w:tcW w:type="dxa" w:w="42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Verification Side (Right)</w:t>
            </w:r>
          </w:p>
        </w:tc>
      </w:tr>
      <w:tr>
        <w:tc>
          <w:tcPr>
            <w:tcW w:type="dxa" w:w="4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User Requirement Specification (URS) — what the business needs</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w:t>
            </w:r>
          </w:p>
        </w:tc>
        <w:tc>
          <w:tcPr>
            <w:tcW w:type="dxa" w:w="4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Performance Qualification (PQ) — proves the system meets URS in real operational use</w:t>
            </w:r>
          </w:p>
        </w:tc>
      </w:tr>
      <w:tr>
        <w:tc>
          <w:tcPr>
            <w:tcW w:type="dxa" w:w="4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Functional Specification (FS) — what the system must do</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w:t>
            </w:r>
          </w:p>
        </w:tc>
        <w:tc>
          <w:tcPr>
            <w:tcW w:type="dxa" w:w="4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Operational Qualification (OQ) — proves functions operate correctly, incl. master data &amp; calculations</w:t>
            </w:r>
          </w:p>
        </w:tc>
      </w:tr>
      <w:tr>
        <w:tc>
          <w:tcPr>
            <w:tcW w:type="dxa" w:w="4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Design Specification (DS) — how it's built/configured</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w:t>
            </w:r>
          </w:p>
        </w:tc>
        <w:tc>
          <w:tcPr>
            <w:tcW w:type="dxa" w:w="4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Installation Qualification (IQ) — proves the system is installed/configured as designed</w:t>
            </w:r>
          </w:p>
        </w:tc>
      </w:tr>
      <w:tr>
        <w:tc>
          <w:tcPr>
            <w:tcW w:type="dxa" w:w="4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Configuration / Build (master data, roles, workflows)</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w:t>
            </w:r>
          </w:p>
        </w:tc>
        <w:tc>
          <w:tcPr>
            <w:tcW w:type="dxa" w:w="4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(Base of the V — system build activity)</w:t>
            </w:r>
          </w:p>
        </w:tc>
      </w:tr>
    </w:tbl>
    <w:p>
      <w:pPr>
        <w:spacing w:after="160"/>
      </w:pPr>
    </w:p>
    <w:p>
      <w:r>
        <w:br w:type="page"/>
      </w:r>
    </w:p>
    <w:p>
      <w:pPr>
        <w:pStyle w:val="Heading1"/>
        <w:spacing w:after="160" w:before="360"/>
      </w:pPr>
      <w:r>
        <w:t xml:space="preserve">3. User Requirement Specification (URS)</w:t>
      </w:r>
    </w:p>
    <w:p>
      <w:pPr>
        <w:spacing w:after="160" w:line="276"/>
        <w:jc w:val="both"/>
      </w:pPr>
      <w:r>
        <w:rPr>
          <w:rFonts w:ascii="Calibri" w:cs="Calibri" w:eastAsia="Calibri" w:hAnsi="Calibri"/>
          <w:sz w:val="21"/>
          <w:szCs w:val="21"/>
        </w:rPr>
        <w:t xml:space="preserve">Sample requirements below are anchored in hands-on master data management and analytical R&amp;D experience — covering master data governance, audit trail, e-signature, access control, and result approval workflow, per Part 11 §11.10 and Annex 11.</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900"/>
        <w:gridCol w:w="1500"/>
        <w:gridCol w:w="6260"/>
        <w:gridCol w:w="700"/>
      </w:tblGrid>
      <w:tr>
        <w:trPr>
          <w:tblHeader/>
        </w:trPr>
        <w:tc>
          <w:tcPr>
            <w:tcW w:type="dxa" w:w="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URS ID</w:t>
            </w:r>
          </w:p>
        </w:tc>
        <w:tc>
          <w:tcPr>
            <w:tcW w:type="dxa" w:w="15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Category</w:t>
            </w:r>
          </w:p>
        </w:tc>
        <w:tc>
          <w:tcPr>
            <w:tcW w:type="dxa" w:w="62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Requirement</w:t>
            </w:r>
          </w:p>
        </w:tc>
        <w:tc>
          <w:tcPr>
            <w:tcW w:type="dxa" w:w="7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Priority</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URS-01</w:t>
            </w:r>
          </w:p>
        </w:tc>
        <w:tc>
          <w:tcPr>
            <w:tcW w:type="dxa" w:w="15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Master Data</w:t>
            </w:r>
          </w:p>
        </w:tc>
        <w:tc>
          <w:tcPr>
            <w:tcW w:type="dxa" w:w="6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maintain a centralized, version-controlled repository of test method master data (parameters, acceptance criteria, calculation formulas) such that any change generates a new controlled version and preserves prior versions for audit.</w:t>
            </w:r>
          </w:p>
        </w:tc>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URS-02</w:t>
            </w:r>
          </w:p>
        </w:tc>
        <w:tc>
          <w:tcPr>
            <w:tcW w:type="dxa" w:w="15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Master Data</w:t>
            </w:r>
          </w:p>
        </w:tc>
        <w:tc>
          <w:tcPr>
            <w:tcW w:type="dxa" w:w="62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allow configuration of instrument and equipment master records (ID, calibration due date, status) and shall block result entry against instruments that are Out-of-Calibration or Inactive.</w:t>
            </w:r>
          </w:p>
        </w:tc>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URS-03</w:t>
            </w:r>
          </w:p>
        </w:tc>
        <w:tc>
          <w:tcPr>
            <w:tcW w:type="dxa" w:w="15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Calculations</w:t>
            </w:r>
          </w:p>
        </w:tc>
        <w:tc>
          <w:tcPr>
            <w:tcW w:type="dxa" w:w="6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perform result calculations (e.g., % assay, RSD, unit conversions) using validated, locked calculation formulas linked to method master data, with no ability for end users to edit formulas at the result-entry screen.</w:t>
            </w:r>
          </w:p>
        </w:tc>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URS-04</w:t>
            </w:r>
          </w:p>
        </w:tc>
        <w:tc>
          <w:tcPr>
            <w:tcW w:type="dxa" w:w="15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Access Control</w:t>
            </w:r>
          </w:p>
        </w:tc>
        <w:tc>
          <w:tcPr>
            <w:tcW w:type="dxa" w:w="62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enforce unique user IDs and role-based access control (e.g., Analyst, Reviewer, Approver, Administrator) such that no individual can both generate and approve the same result (segregation of duties).</w:t>
            </w:r>
          </w:p>
        </w:tc>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URS-05</w:t>
            </w:r>
          </w:p>
        </w:tc>
        <w:tc>
          <w:tcPr>
            <w:tcW w:type="dxa" w:w="15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Access Control</w:t>
            </w:r>
          </w:p>
        </w:tc>
        <w:tc>
          <w:tcPr>
            <w:tcW w:type="dxa" w:w="6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automatically log off or lock a user session after a configurable period of inactivity (target: 15 minutes).</w:t>
            </w:r>
          </w:p>
        </w:tc>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Medium</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URS-06</w:t>
            </w:r>
          </w:p>
        </w:tc>
        <w:tc>
          <w:tcPr>
            <w:tcW w:type="dxa" w:w="15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w:t>
            </w:r>
          </w:p>
        </w:tc>
        <w:tc>
          <w:tcPr>
            <w:tcW w:type="dxa" w:w="62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generate a secure, time-stamped, computer-generated audit trail that records the creation, modification, and deletion of GxP data (who, what, old value, new value, date/time, reason for change where applicable), and shall not permit the audit trail to be disabled or altered by any user.</w:t>
            </w:r>
          </w:p>
        </w:tc>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URS-07</w:t>
            </w:r>
          </w:p>
        </w:tc>
        <w:tc>
          <w:tcPr>
            <w:tcW w:type="dxa" w:w="15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w:t>
            </w:r>
          </w:p>
        </w:tc>
        <w:tc>
          <w:tcPr>
            <w:tcW w:type="dxa" w:w="6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provide a human-readable audit trail report, filterable by user, date range, record, and field, exportable for QA periodic review.</w:t>
            </w:r>
          </w:p>
        </w:tc>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URS-08</w:t>
            </w:r>
          </w:p>
        </w:tc>
        <w:tc>
          <w:tcPr>
            <w:tcW w:type="dxa" w:w="15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E-Signature</w:t>
            </w:r>
          </w:p>
        </w:tc>
        <w:tc>
          <w:tcPr>
            <w:tcW w:type="dxa" w:w="62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support electronic signatures compliant with 21 CFR Part 11 Subpart C, requiring two distinct identification components (user ID + password) at the point of signing, and shall permanently link the signature to the specific record, meaning, and timestamp.</w:t>
            </w:r>
          </w:p>
        </w:tc>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URS-09</w:t>
            </w:r>
          </w:p>
        </w:tc>
        <w:tc>
          <w:tcPr>
            <w:tcW w:type="dxa" w:w="15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Workflow</w:t>
            </w:r>
          </w:p>
        </w:tc>
        <w:tc>
          <w:tcPr>
            <w:tcW w:type="dxa" w:w="62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enforce a sequential, multi-stage result approval workflow (Analyst Entry → Peer/Supervisor Review → QA Approval) and shall prevent release of a Certificate of Analysis before all required approvals are completed.</w:t>
            </w:r>
          </w:p>
        </w:tc>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URS-10</w:t>
            </w:r>
          </w:p>
        </w:tc>
        <w:tc>
          <w:tcPr>
            <w:tcW w:type="dxa" w:w="15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Data Integrity</w:t>
            </w:r>
          </w:p>
        </w:tc>
        <w:tc>
          <w:tcPr>
            <w:tcW w:type="dxa" w:w="62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system shall ensure raw data (instrument-acquired results) is captured directly and contemporaneously, retained in its original format, and attributable to the individual and instrument that generated it (ALCOA+).</w:t>
            </w:r>
          </w:p>
        </w:tc>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High</w:t>
            </w:r>
          </w:p>
        </w:tc>
      </w:tr>
    </w:tbl>
    <w:p>
      <w:r>
        <w:br w:type="page"/>
      </w:r>
    </w:p>
    <w:p>
      <w:pPr>
        <w:pStyle w:val="Heading1"/>
        <w:spacing w:after="160" w:before="360"/>
      </w:pPr>
      <w:r>
        <w:t xml:space="preserve">4. Functional &amp; Design Specification (FS/DS) — Summary</w:t>
      </w:r>
    </w:p>
    <w:p>
      <w:pPr>
        <w:spacing w:after="160" w:line="276"/>
        <w:jc w:val="both"/>
      </w:pPr>
      <w:r>
        <w:rPr>
          <w:rFonts w:ascii="Calibri" w:cs="Calibri" w:eastAsia="Calibri" w:hAnsi="Calibri"/>
          <w:sz w:val="21"/>
          <w:szCs w:val="21"/>
        </w:rPr>
        <w:t xml:space="preserve">The FS translates each URS into system functions to be configured; the DS defines the concrete configuration/build. Full traceability to test cases is provided in Section 7.</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750"/>
        <w:gridCol w:w="1000"/>
        <w:gridCol w:w="2400"/>
        <w:gridCol w:w="5210"/>
      </w:tblGrid>
      <w:tr>
        <w:trPr>
          <w:tblHeader/>
        </w:trPr>
        <w:tc>
          <w:tcPr>
            <w:tcW w:type="dxa" w:w="75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FS ID</w:t>
            </w:r>
          </w:p>
        </w:tc>
        <w:tc>
          <w:tcPr>
            <w:tcW w:type="dxa" w:w="10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URS Ref.</w:t>
            </w:r>
          </w:p>
        </w:tc>
        <w:tc>
          <w:tcPr>
            <w:tcW w:type="dxa" w:w="24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Function</w:t>
            </w:r>
          </w:p>
        </w:tc>
        <w:tc>
          <w:tcPr>
            <w:tcW w:type="dxa" w:w="521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Design / Configuration Detail</w:t>
            </w:r>
          </w:p>
        </w:tc>
      </w:tr>
      <w:tr>
        <w:tc>
          <w:tcPr>
            <w:tcW w:type="dxa" w:w="7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FS-01</w:t>
            </w:r>
          </w:p>
        </w:tc>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URS-01</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Method Master Data Versioning</w:t>
            </w:r>
          </w:p>
        </w:tc>
        <w:tc>
          <w:tcPr>
            <w:tcW w:type="dxa" w:w="52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Method records held in a version-controlled Method Library object; each edit creates a new revision (v1, v2…); prior revisions read-only and retained; "Effective Method" flag controls which version is used for new samples.</w:t>
            </w:r>
          </w:p>
        </w:tc>
      </w:tr>
      <w:tr>
        <w:tc>
          <w:tcPr>
            <w:tcW w:type="dxa" w:w="7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FS-02</w:t>
            </w:r>
          </w:p>
        </w:tc>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URS-02</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Instrument Status Gating</w:t>
            </w:r>
          </w:p>
        </w:tc>
        <w:tc>
          <w:tcPr>
            <w:tcW w:type="dxa" w:w="52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Equipment master table with Status field (Active/Calibration Due/Out of Service) fed by Calibration Due Date; result-entry module queries instrument status in real time and blocks entry with a hard-stop error if not Active.</w:t>
            </w:r>
          </w:p>
        </w:tc>
      </w:tr>
      <w:tr>
        <w:tc>
          <w:tcPr>
            <w:tcW w:type="dxa" w:w="7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FS-03</w:t>
            </w:r>
          </w:p>
        </w:tc>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URS-03</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Locked Calculation Engine</w:t>
            </w:r>
          </w:p>
        </w:tc>
        <w:tc>
          <w:tcPr>
            <w:tcW w:type="dxa" w:w="52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Calculation formulas configured once by LIMS Administrator/SME role in the Formula Builder module, then locked; result-entry screen displays calculated output as a read-only, system-generated field.</w:t>
            </w:r>
          </w:p>
        </w:tc>
      </w:tr>
      <w:tr>
        <w:tc>
          <w:tcPr>
            <w:tcW w:type="dxa" w:w="7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FS-04</w:t>
            </w:r>
          </w:p>
        </w:tc>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URS-04, URS-09</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Role-Based Workflow &amp; Segregation of Duties</w:t>
            </w:r>
          </w:p>
        </w:tc>
        <w:tc>
          <w:tcPr>
            <w:tcW w:type="dxa" w:w="52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Security matrix mapping roles to permissions; workflow engine enforces that the user who performed Entry cannot select themselves at the Review or Approve step (system-enforced, not procedural-only).</w:t>
            </w:r>
          </w:p>
        </w:tc>
      </w:tr>
      <w:tr>
        <w:tc>
          <w:tcPr>
            <w:tcW w:type="dxa" w:w="7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FS-05</w:t>
            </w:r>
          </w:p>
        </w:tc>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URS-05</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Session Timeout</w:t>
            </w:r>
          </w:p>
        </w:tc>
        <w:tc>
          <w:tcPr>
            <w:tcW w:type="dxa" w:w="52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Configurable idle-timeout parameter in System Administration module; default set to 15 minutes; session lock requires password re-entry.</w:t>
            </w:r>
          </w:p>
        </w:tc>
      </w:tr>
      <w:tr>
        <w:tc>
          <w:tcPr>
            <w:tcW w:type="dxa" w:w="7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FS-06</w:t>
            </w:r>
          </w:p>
        </w:tc>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URS-06, URS-07</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Engine</w:t>
            </w:r>
          </w:p>
        </w:tc>
        <w:tc>
          <w:tcPr>
            <w:tcW w:type="dxa" w:w="52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Database-level audit trail table capturing all Create/Read/Update/Delete events on GxP tables; not exposed to standard user roles for edit/delete; Audit Trail Report screen with filter and export-to-PDF/CSV function.</w:t>
            </w:r>
          </w:p>
        </w:tc>
      </w:tr>
      <w:tr>
        <w:tc>
          <w:tcPr>
            <w:tcW w:type="dxa" w:w="7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FS-07</w:t>
            </w:r>
          </w:p>
        </w:tc>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URS-08</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Electronic Signature Manifestation</w:t>
            </w:r>
          </w:p>
        </w:tc>
        <w:tc>
          <w:tcPr>
            <w:tcW w:type="dxa" w:w="52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E-signature pop-up requiring User ID + Password re-entry at each signing event; signed record displays printed name, meaning of signature (e.g., "Reviewed by"), and date/time stamp non-editably in the record header.</w:t>
            </w:r>
          </w:p>
        </w:tc>
      </w:tr>
      <w:tr>
        <w:tc>
          <w:tcPr>
            <w:tcW w:type="dxa" w:w="7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FS-08</w:t>
            </w:r>
          </w:p>
        </w:tc>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URS-10</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Instrument Data Capture Interface</w:t>
            </w:r>
          </w:p>
        </w:tc>
        <w:tc>
          <w:tcPr>
            <w:tcW w:type="dxa" w:w="52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Validated interface from Chromatography Data System to LIMS transfers raw result files automatically (no manual transcription); original files archived read-only in the LIMS raw data repository.</w:t>
            </w:r>
          </w:p>
        </w:tc>
      </w:tr>
    </w:tbl>
    <w:p>
      <w:r>
        <w:br w:type="page"/>
      </w:r>
    </w:p>
    <w:p>
      <w:pPr>
        <w:pStyle w:val="Heading1"/>
        <w:spacing w:after="160" w:before="360"/>
      </w:pPr>
      <w:r>
        <w:t xml:space="preserve">5. Data Integrity Risk Assessment (ALCOA+ Based)</w:t>
      </w:r>
    </w:p>
    <w:p>
      <w:pPr>
        <w:spacing w:after="160" w:line="276"/>
        <w:jc w:val="both"/>
      </w:pPr>
      <w:r>
        <w:rPr>
          <w:rFonts w:ascii="Calibri" w:cs="Calibri" w:eastAsia="Calibri" w:hAnsi="Calibri"/>
          <w:sz w:val="21"/>
          <w:szCs w:val="21"/>
        </w:rPr>
        <w:t xml:space="preserve">Risk rating = Likelihood (L) × Severity (S), each scored 1–3 (Low–High); Risk Level: 1–3 Low, 4–6 Medium, 7–9 High. Assessment performed prior to OQ per Annex 11 §5 and Part 11 §11.10, and informs which controls are formally challenged in OQ test scripts.</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700"/>
        <w:gridCol w:w="1300"/>
        <w:gridCol w:w="1150"/>
        <w:gridCol w:w="2200"/>
        <w:gridCol w:w="900"/>
        <w:gridCol w:w="2400"/>
        <w:gridCol w:w="710"/>
      </w:tblGrid>
      <w:tr>
        <w:trPr>
          <w:tblHeader/>
        </w:trPr>
        <w:tc>
          <w:tcPr>
            <w:tcW w:type="dxa" w:w="7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Risk ID</w:t>
            </w:r>
          </w:p>
        </w:tc>
        <w:tc>
          <w:tcPr>
            <w:tcW w:type="dxa" w:w="13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Risk Area</w:t>
            </w:r>
          </w:p>
        </w:tc>
        <w:tc>
          <w:tcPr>
            <w:tcW w:type="dxa" w:w="115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ALCOA+ Attribute</w:t>
            </w:r>
          </w:p>
        </w:tc>
        <w:tc>
          <w:tcPr>
            <w:tcW w:type="dxa" w:w="22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Risk Description</w:t>
            </w:r>
          </w:p>
        </w:tc>
        <w:tc>
          <w:tcPr>
            <w:tcW w:type="dxa" w:w="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Initial Rating</w:t>
            </w:r>
          </w:p>
        </w:tc>
        <w:tc>
          <w:tcPr>
            <w:tcW w:type="dxa" w:w="24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Mitigation / Control</w:t>
            </w:r>
          </w:p>
        </w:tc>
        <w:tc>
          <w:tcPr>
            <w:tcW w:type="dxa" w:w="71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Residual</w:t>
            </w:r>
          </w:p>
        </w:tc>
      </w:tr>
      <w:tr>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DI-01</w:t>
            </w:r>
          </w:p>
        </w:tc>
        <w:tc>
          <w:tcPr>
            <w:tcW w:type="dxa" w:w="13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Review</w:t>
            </w:r>
          </w:p>
        </w:tc>
        <w:tc>
          <w:tcPr>
            <w:tcW w:type="dxa" w:w="11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Attributable / Original</w:t>
            </w:r>
          </w:p>
        </w:tc>
        <w:tc>
          <w:tcPr>
            <w:tcW w:type="dxa" w:w="2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generated but never reviewed, allowing unauthorized data changes to go undetected.</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2×3=6 (Med)</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SOP mandates periodic (e.g., per-batch and monthly) QA audit trail review with documented sign-off; audit trail report filterable to support risk-based review.</w:t>
            </w:r>
          </w:p>
        </w:tc>
        <w:tc>
          <w:tcPr>
            <w:tcW w:type="dxa" w:w="7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1×2=2 (Low)</w:t>
            </w:r>
          </w:p>
        </w:tc>
      </w:tr>
      <w:tr>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DI-02</w:t>
            </w:r>
          </w:p>
        </w:tc>
        <w:tc>
          <w:tcPr>
            <w:tcW w:type="dxa" w:w="13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Backup / Restore</w:t>
            </w:r>
          </w:p>
        </w:tc>
        <w:tc>
          <w:tcPr>
            <w:tcW w:type="dxa" w:w="11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Enduring / Available</w:t>
            </w:r>
          </w:p>
        </w:tc>
        <w:tc>
          <w:tcPr>
            <w:tcW w:type="dxa" w:w="2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Incomplete or untested backups result in data loss or inability to restore GxP records within required retention period.</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2×3=6 (Med)</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Automated daily incremental + weekly full backup to validated storage; quarterly restore test performed and documented; backup job failure alerts to IT.</w:t>
            </w:r>
          </w:p>
        </w:tc>
        <w:tc>
          <w:tcPr>
            <w:tcW w:type="dxa" w:w="7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1×2=2 (Low)</w:t>
            </w:r>
          </w:p>
        </w:tc>
      </w:tr>
      <w:tr>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DI-03</w:t>
            </w:r>
          </w:p>
        </w:tc>
        <w:tc>
          <w:tcPr>
            <w:tcW w:type="dxa" w:w="13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User Privilege Management</w:t>
            </w:r>
          </w:p>
        </w:tc>
        <w:tc>
          <w:tcPr>
            <w:tcW w:type="dxa" w:w="11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Attributable</w:t>
            </w:r>
          </w:p>
        </w:tc>
        <w:tc>
          <w:tcPr>
            <w:tcW w:type="dxa" w:w="2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Over-privileged accounts (e.g., Analyst with Administrator rights) allow bypass of segregation of duties and undetected data manipulation.</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3×3=9 (High)</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Role-based access matrix approved by QA; quarterly user access review/re-certification by System Owner; shared logins prohibited by policy and system-enforced unique IDs.</w:t>
            </w:r>
          </w:p>
        </w:tc>
        <w:tc>
          <w:tcPr>
            <w:tcW w:type="dxa" w:w="7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1×3=3 (Low)</w:t>
            </w:r>
          </w:p>
        </w:tc>
      </w:tr>
      <w:tr>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DI-04</w:t>
            </w:r>
          </w:p>
        </w:tc>
        <w:tc>
          <w:tcPr>
            <w:tcW w:type="dxa" w:w="13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Raw Data Storage</w:t>
            </w:r>
          </w:p>
        </w:tc>
        <w:tc>
          <w:tcPr>
            <w:tcW w:type="dxa" w:w="11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Original / Enduring</w:t>
            </w:r>
          </w:p>
        </w:tc>
        <w:tc>
          <w:tcPr>
            <w:tcW w:type="dxa" w:w="2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Instrument raw data files manually copied/renamed outside the validated interface, breaking attributability and risking loss of original data.</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2×3=6 (Med)</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Validated automated interface transfers raw files directly to LIMS repository; manual upload path restricted/disabled for routine use; repository is read-only post-transfer.</w:t>
            </w:r>
          </w:p>
        </w:tc>
        <w:tc>
          <w:tcPr>
            <w:tcW w:type="dxa" w:w="7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1×2=2 (Low)</w:t>
            </w:r>
          </w:p>
        </w:tc>
      </w:tr>
      <w:tr>
        <w:tc>
          <w:tcPr>
            <w:tcW w:type="dxa" w:w="7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DI-05</w:t>
            </w:r>
          </w:p>
        </w:tc>
        <w:tc>
          <w:tcPr>
            <w:tcW w:type="dxa" w:w="13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 Time Synchronization</w:t>
            </w:r>
          </w:p>
        </w:tc>
        <w:tc>
          <w:tcPr>
            <w:tcW w:type="dxa" w:w="115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Contemporaneous</w:t>
            </w:r>
          </w:p>
        </w:tc>
        <w:tc>
          <w:tcPr>
            <w:tcW w:type="dxa" w:w="2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LIMS server clock drifts from site's reference time source, causing inaccurate/inconsistent audit trail and e-signature timestamps across systems.</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2×2=4 (Med)</w:t>
            </w:r>
          </w:p>
        </w:tc>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Server time synchronized to site NTP reference server; time-sync configuration verified in IQ; deviation alert configured for drift beyond tolerance.</w:t>
            </w:r>
          </w:p>
        </w:tc>
        <w:tc>
          <w:tcPr>
            <w:tcW w:type="dxa" w:w="71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1×1=1 (Low)</w:t>
            </w:r>
          </w:p>
        </w:tc>
      </w:tr>
      <w:tr>
        <w:tc>
          <w:tcPr>
            <w:tcW w:type="dxa" w:w="7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DI-06</w:t>
            </w:r>
          </w:p>
        </w:tc>
        <w:tc>
          <w:tcPr>
            <w:tcW w:type="dxa" w:w="13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Master Data (Method/Calculation) Change Control</w:t>
            </w:r>
          </w:p>
        </w:tc>
        <w:tc>
          <w:tcPr>
            <w:tcW w:type="dxa" w:w="115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Accurate / Consistent</w:t>
            </w:r>
          </w:p>
        </w:tc>
        <w:tc>
          <w:tcPr>
            <w:tcW w:type="dxa" w:w="22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Uncontrolled edit to a method's calculation formula or specification limit after go-live silently alters results for all future samples.</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2×3=6 (Med)</w:t>
            </w:r>
          </w:p>
        </w:tc>
        <w:tc>
          <w:tcPr>
            <w:tcW w:type="dxa" w:w="24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Formula/spec changes restricted to LIMS SME/Administrator role; all changes routed through Change Control with QA impact assessment and re-verification testing before activation.</w:t>
            </w:r>
          </w:p>
        </w:tc>
        <w:tc>
          <w:tcPr>
            <w:tcW w:type="dxa" w:w="71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1×2=2 (Low)</w:t>
            </w:r>
          </w:p>
        </w:tc>
      </w:tr>
    </w:tbl>
    <w:p>
      <w:r>
        <w:br w:type="page"/>
      </w:r>
    </w:p>
    <w:p>
      <w:pPr>
        <w:pStyle w:val="Heading1"/>
        <w:spacing w:after="160" w:before="360"/>
      </w:pPr>
      <w:r>
        <w:t xml:space="preserve">6. Validation Protocols — DQ / IQ / OQ / PQ</w:t>
      </w:r>
    </w:p>
    <w:p>
      <w:pPr>
        <w:spacing w:after="160" w:line="276"/>
        <w:jc w:val="both"/>
      </w:pPr>
      <w:r>
        <w:rPr>
          <w:rFonts w:ascii="Calibri" w:cs="Calibri" w:eastAsia="Calibri" w:hAnsi="Calibri"/>
          <w:sz w:val="21"/>
          <w:szCs w:val="21"/>
        </w:rPr>
        <w:t xml:space="preserve">Test cases are illustrative extracts from each protocol. Entries marked ★ are master-data-specific test cases, anchored in hands-on method/instrument configuration experience.</w:t>
      </w:r>
    </w:p>
    <w:p>
      <w:pPr>
        <w:pStyle w:val="Heading2"/>
        <w:spacing w:after="120" w:before="240"/>
      </w:pPr>
      <w:r>
        <w:t xml:space="preserve">6.1 Design Qualification (DQ)</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000"/>
        <w:gridCol w:w="4900"/>
        <w:gridCol w:w="3460"/>
      </w:tblGrid>
      <w:tr>
        <w:trPr>
          <w:tblHeader/>
        </w:trPr>
        <w:tc>
          <w:tcPr>
            <w:tcW w:type="dxa" w:w="10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ID</w:t>
            </w:r>
          </w:p>
        </w:tc>
        <w:tc>
          <w:tcPr>
            <w:tcW w:type="dxa" w:w="4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Case / Objective</w:t>
            </w:r>
          </w:p>
        </w:tc>
        <w:tc>
          <w:tcPr>
            <w:tcW w:type="dxa" w:w="34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Expected Result</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DQ-01</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GAMP 5 category assignment (Category 4 – Configured Product) is documented and justified based on system architecture.</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 report documents Category 4 rationale; approved by QA prior to build.</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DQ-02</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vendor/supplier assessment (audit or questionnaire) confirms adequate quality management system.</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Supplier assessment on file; acceptable rating; leveraged to scope IQ.</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DQ-03</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Review FS/DS against URS for completeness (design review meeting).</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Design review minutes show all URS items addressed with no open gaps.</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DQ-04</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infrastructure design (server sizing, redundancy, network segregation) meets site IT policy and 21 CFR Part 11 technical controls.</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Infrastructure design document approved by IT/QA; no deviations from policy.</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DQ-05</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data retention and archival design meets site record-retention SOP for GMP records.</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Design specifies retention period ≥ regulatory requirement; approved.</w:t>
            </w:r>
          </w:p>
        </w:tc>
      </w:tr>
    </w:tbl>
    <w:p>
      <w:pPr>
        <w:pStyle w:val="Heading2"/>
        <w:spacing w:after="120" w:before="240"/>
      </w:pPr>
      <w:r>
        <w:t xml:space="preserve">6.2 Installation Qualification (IQ)</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000"/>
        <w:gridCol w:w="4900"/>
        <w:gridCol w:w="3460"/>
      </w:tblGrid>
      <w:tr>
        <w:trPr>
          <w:tblHeader/>
        </w:trPr>
        <w:tc>
          <w:tcPr>
            <w:tcW w:type="dxa" w:w="10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ID</w:t>
            </w:r>
          </w:p>
        </w:tc>
        <w:tc>
          <w:tcPr>
            <w:tcW w:type="dxa" w:w="4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Case / Objective</w:t>
            </w:r>
          </w:p>
        </w:tc>
        <w:tc>
          <w:tcPr>
            <w:tcW w:type="dxa" w:w="34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Expected Result</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IQ-01</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server and client hardware match approved DS specifications (CPU, RAM, storage).</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Installed hardware matches DS; recorded with serial/asset numbers.</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IQ-02</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LIMS application and database software versions installed match the approved/validated version.</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Installed version = approved version; screenshot/log evidence attached.</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IQ-03</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system time is synchronized to the site NTP reference server (linked to DI-05).</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 clock within ±1 minute of reference source; NTP config screenshot attached.</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IQ-04</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backup software/job is installed and scheduled per DS.</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Backup schedule configured and first test backup completes successfully.</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IQ-05★</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instrument master data table structure is installed per DS, ready for method/instrument configuration.</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Instrument master table present with all required fields (ID, cal. due date, status).</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IQ-06</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security/user directory integration (e.g., LDAP/AD) is installed and functional.</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Test login via directory service succeeds; unauthorized login attempt fails.</w:t>
            </w:r>
          </w:p>
        </w:tc>
      </w:tr>
    </w:tbl>
    <w:p>
      <w:pPr>
        <w:pStyle w:val="Heading2"/>
        <w:spacing w:after="120" w:before="240"/>
      </w:pPr>
      <w:r>
        <w:t xml:space="preserve">6.3 Operational Qualification (OQ)</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000"/>
        <w:gridCol w:w="4900"/>
        <w:gridCol w:w="3460"/>
      </w:tblGrid>
      <w:tr>
        <w:trPr>
          <w:tblHeader/>
        </w:trPr>
        <w:tc>
          <w:tcPr>
            <w:tcW w:type="dxa" w:w="10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ID</w:t>
            </w:r>
          </w:p>
        </w:tc>
        <w:tc>
          <w:tcPr>
            <w:tcW w:type="dxa" w:w="4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Case / Objective</w:t>
            </w:r>
          </w:p>
        </w:tc>
        <w:tc>
          <w:tcPr>
            <w:tcW w:type="dxa" w:w="34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Expected Result</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OQ-01</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unique user ID/password enforcement and role-based access control per FS-04 (URS-04).</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Duplicate user IDs rejected by system; each role sees only permitted menus/functions.</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OQ-02</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segregation of duties: user who entered a result cannot select self at Review/Approve step (FS-04).</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 blocks self-approval with an on-screen error; action logged.</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OQ-03</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audit trail captures create/modify/delete on a GxP record and cannot be disabled or edited (FS-06).</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entry created for each action with user, timestamp, old/new value; no delete/edit option available to any role.</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OQ-04</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electronic signature requires two-component identification and binds signer, meaning, and timestamp to the record (FS-07).</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Signature only completes after valid User ID + password; signed record shows non-editable signer/meaning/date-time block.</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OQ-05★</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method master data: create a new test method version with defined parameters, acceptance criteria, and calculation formula; confirm prior version is retained read-only (FS-01).</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New version created and marked Effective; prior version viewable but not editable/selectable for new testing.</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OQ-06★</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instrument master data gating: attempt result entry against an instrument flagged "Calibration Due" (FS-02).</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 blocks result entry with hard-stop error referencing instrument status.</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OQ-07★</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calculation formula accuracy: enter known raw values into a locked % Assay formula and compare system output to manually calculated expected value (FS-03).</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System-calculated result matches independently calculated expected value within specification precision; formula field is read-only.</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OQ-08</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session auto-logoff after 15 minutes of inactivity (FS-05).</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Session locks/logs off at configured interval; re-authentication required.</w:t>
            </w:r>
          </w:p>
        </w:tc>
      </w:tr>
    </w:tbl>
    <w:p>
      <w:pPr>
        <w:pStyle w:val="Heading2"/>
        <w:spacing w:after="120" w:before="240"/>
      </w:pPr>
      <w:r>
        <w:t xml:space="preserve">6.4 Performance Qualification (PQ)</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000"/>
        <w:gridCol w:w="4900"/>
        <w:gridCol w:w="3460"/>
      </w:tblGrid>
      <w:tr>
        <w:trPr>
          <w:tblHeader/>
        </w:trPr>
        <w:tc>
          <w:tcPr>
            <w:tcW w:type="dxa" w:w="10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ID</w:t>
            </w:r>
          </w:p>
        </w:tc>
        <w:tc>
          <w:tcPr>
            <w:tcW w:type="dxa" w:w="4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Case / Objective</w:t>
            </w:r>
          </w:p>
        </w:tc>
        <w:tc>
          <w:tcPr>
            <w:tcW w:type="dxa" w:w="34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Expected Result</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PQ-01</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Execute a full, real-world sample lifecycle (login → instrument acquisition → result entry → review → QA approval → CoA release) using trained end users under normal operating conditions.</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Sample progresses through all workflow stages without manual workaround; CoA generated only after full approval chain, per URS-09.</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PQ-02</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Perform result approval workflow for an Out-of-Specification (OOS) result to confirm system correctly flags and routes for investigation rather than auto-releasing.</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System flags OOS result, blocks CoA release, and routes to investigation workflow.</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PQ-03★</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User role mapping under live conditions: confirm that a representative sample of live user accounts (Analyst, Reviewer, QA Approver) have access strictly matching the approved security matrix.</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100% of sampled accounts match approved role matrix; no excess privileges identified.</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PQ-04</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Verify interface with Chromatography Data System under production load: acquire and transfer a live analytical run into LIMS.</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Raw data transferred automatically, matches source file, and is attributable to correct sample/analyst/instrument.</w:t>
            </w:r>
          </w:p>
        </w:tc>
      </w:tr>
      <w:tr>
        <w:tc>
          <w:tcPr>
            <w:tcW w:type="dxa" w:w="10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PQ-05</w:t>
            </w:r>
          </w:p>
        </w:tc>
        <w:tc>
          <w:tcPr>
            <w:tcW w:type="dxa" w:w="4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Execute a QA audit trail review on a live batch of records per the Audit Trail Review SOP.</w:t>
            </w:r>
          </w:p>
        </w:tc>
        <w:tc>
          <w:tcPr>
            <w:tcW w:type="dxa" w:w="3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Reviewer able to identify and document all changes made to the batch's records using system audit trail report.</w:t>
            </w:r>
          </w:p>
        </w:tc>
      </w:tr>
      <w:tr>
        <w:tc>
          <w:tcPr>
            <w:tcW w:type="dxa" w:w="10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PQ-06</w:t>
            </w:r>
          </w:p>
        </w:tc>
        <w:tc>
          <w:tcPr>
            <w:tcW w:type="dxa" w:w="4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Perform a live backup/restore rehearsal on the production-representative environment.</w:t>
            </w:r>
          </w:p>
        </w:tc>
        <w:tc>
          <w:tcPr>
            <w:tcW w:type="dxa" w:w="34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Backup successfully restored; data integrity confirmed via checksum/record count comparison.</w:t>
            </w:r>
          </w:p>
        </w:tc>
      </w:tr>
    </w:tbl>
    <w:p>
      <w:r>
        <w:br w:type="page"/>
      </w:r>
    </w:p>
    <w:p>
      <w:pPr>
        <w:pStyle w:val="Heading1"/>
        <w:spacing w:after="160" w:before="360"/>
      </w:pPr>
      <w:r>
        <w:t xml:space="preserve">7. Traceability Matrix</w:t>
      </w:r>
    </w:p>
    <w:p>
      <w:pPr>
        <w:spacing w:after="160" w:line="276"/>
        <w:jc w:val="both"/>
      </w:pPr>
      <w:r>
        <w:rPr>
          <w:rFonts w:ascii="Calibri" w:cs="Calibri" w:eastAsia="Calibri" w:hAnsi="Calibri"/>
          <w:sz w:val="21"/>
          <w:szCs w:val="21"/>
        </w:rPr>
        <w:t xml:space="preserve">Demonstrates bidirectional coverage: every URS traces to an FS and at least one test case, and no test case exists without a source requirement.</w:t>
      </w:r>
    </w:p>
    <w:tbl>
      <w:tblPr>
        <w:tblW w:type="dxa" w:w="8360"/>
        <w:tblBorders>
          <w:top w:val="single" w:color="999999" w:sz="2"/>
          <w:left w:val="single" w:color="999999" w:sz="2"/>
          <w:bottom w:val="single" w:color="999999" w:sz="2"/>
          <w:right w:val="single" w:color="999999" w:sz="2"/>
          <w:insideH w:val="single" w:color="CCCCCC" w:sz="2"/>
          <w:insideV w:val="single" w:color="CCCCCC" w:sz="2"/>
        </w:tblBorders>
      </w:tblPr>
      <w:tblGrid>
        <w:gridCol w:w="900"/>
        <w:gridCol w:w="900"/>
        <w:gridCol w:w="2960"/>
        <w:gridCol w:w="3600"/>
      </w:tblGrid>
      <w:tr>
        <w:trPr>
          <w:tblHeader/>
        </w:trPr>
        <w:tc>
          <w:tcPr>
            <w:tcW w:type="dxa" w:w="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URS ID</w:t>
            </w:r>
          </w:p>
        </w:tc>
        <w:tc>
          <w:tcPr>
            <w:tcW w:type="dxa" w:w="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FS ID</w:t>
            </w:r>
          </w:p>
        </w:tc>
        <w:tc>
          <w:tcPr>
            <w:tcW w:type="dxa" w:w="29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Case ID(s)</w:t>
            </w:r>
          </w:p>
        </w:tc>
        <w:tc>
          <w:tcPr>
            <w:tcW w:type="dxa" w:w="36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Coverage Topic</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URS-01</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FS-01</w:t>
            </w:r>
          </w:p>
        </w:tc>
        <w:tc>
          <w:tcPr>
            <w:tcW w:type="dxa" w:w="2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OQ-05★</w:t>
            </w:r>
          </w:p>
        </w:tc>
        <w:tc>
          <w:tcPr>
            <w:tcW w:type="dxa" w:w="36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Method master data version control</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URS-02</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FS-02</w:t>
            </w:r>
          </w:p>
        </w:tc>
        <w:tc>
          <w:tcPr>
            <w:tcW w:type="dxa" w:w="29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IQ-05★, OQ-06★</w:t>
            </w:r>
          </w:p>
        </w:tc>
        <w:tc>
          <w:tcPr>
            <w:tcW w:type="dxa" w:w="36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Instrument master data &amp; calibration gating</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URS-03</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FS-03</w:t>
            </w:r>
          </w:p>
        </w:tc>
        <w:tc>
          <w:tcPr>
            <w:tcW w:type="dxa" w:w="2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OQ-07★</w:t>
            </w:r>
          </w:p>
        </w:tc>
        <w:tc>
          <w:tcPr>
            <w:tcW w:type="dxa" w:w="36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Locked calculation formula accuracy</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URS-04</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FS-04</w:t>
            </w:r>
          </w:p>
        </w:tc>
        <w:tc>
          <w:tcPr>
            <w:tcW w:type="dxa" w:w="29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OQ-01, OQ-02, PQ-03★</w:t>
            </w:r>
          </w:p>
        </w:tc>
        <w:tc>
          <w:tcPr>
            <w:tcW w:type="dxa" w:w="36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Access control &amp; segregation of duties</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URS-05</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FS-05</w:t>
            </w:r>
          </w:p>
        </w:tc>
        <w:tc>
          <w:tcPr>
            <w:tcW w:type="dxa" w:w="2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OQ-08</w:t>
            </w:r>
          </w:p>
        </w:tc>
        <w:tc>
          <w:tcPr>
            <w:tcW w:type="dxa" w:w="36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Session timeout</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URS-06</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FS-06</w:t>
            </w:r>
          </w:p>
        </w:tc>
        <w:tc>
          <w:tcPr>
            <w:tcW w:type="dxa" w:w="29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OQ-03, PQ-05</w:t>
            </w:r>
          </w:p>
        </w:tc>
        <w:tc>
          <w:tcPr>
            <w:tcW w:type="dxa" w:w="36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generation &amp; review</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URS-07</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FS-06</w:t>
            </w:r>
          </w:p>
        </w:tc>
        <w:tc>
          <w:tcPr>
            <w:tcW w:type="dxa" w:w="2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OQ-03, PQ-05</w:t>
            </w:r>
          </w:p>
        </w:tc>
        <w:tc>
          <w:tcPr>
            <w:tcW w:type="dxa" w:w="36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Audit trail reporting</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URS-08</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FS-07</w:t>
            </w:r>
          </w:p>
        </w:tc>
        <w:tc>
          <w:tcPr>
            <w:tcW w:type="dxa" w:w="29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OQ-04</w:t>
            </w:r>
          </w:p>
        </w:tc>
        <w:tc>
          <w:tcPr>
            <w:tcW w:type="dxa" w:w="36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Electronic signature</w:t>
            </w:r>
          </w:p>
        </w:tc>
      </w:tr>
      <w:tr>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URS-09</w:t>
            </w:r>
          </w:p>
        </w:tc>
        <w:tc>
          <w:tcPr>
            <w:tcW w:type="dxa" w:w="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FS-04</w:t>
            </w:r>
          </w:p>
        </w:tc>
        <w:tc>
          <w:tcPr>
            <w:tcW w:type="dxa" w:w="2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PQ-01, PQ-02</w:t>
            </w:r>
          </w:p>
        </w:tc>
        <w:tc>
          <w:tcPr>
            <w:tcW w:type="dxa" w:w="36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Sequential approval workflow / CoA release control</w:t>
            </w:r>
          </w:p>
        </w:tc>
      </w:tr>
      <w:tr>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URS-10</w:t>
            </w:r>
          </w:p>
        </w:tc>
        <w:tc>
          <w:tcPr>
            <w:tcW w:type="dxa" w:w="9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FS-08</w:t>
            </w:r>
          </w:p>
        </w:tc>
        <w:tc>
          <w:tcPr>
            <w:tcW w:type="dxa" w:w="296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PQ-04</w:t>
            </w:r>
          </w:p>
        </w:tc>
        <w:tc>
          <w:tcPr>
            <w:tcW w:type="dxa" w:w="3600"/>
            <w:shd w:fill="F2F2F2" w:val="clear"/>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Raw data attributability (interface)</w:t>
            </w:r>
          </w:p>
        </w:tc>
      </w:tr>
    </w:tbl>
    <w:p>
      <w:r>
        <w:br w:type="page"/>
      </w:r>
    </w:p>
    <w:p>
      <w:pPr>
        <w:pStyle w:val="Heading1"/>
        <w:spacing w:after="160" w:before="360"/>
      </w:pPr>
      <w:r>
        <w:t xml:space="preserve">8. Deviation &amp; CAPA Example (Identified During OQ)</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6960"/>
      </w:tblGrid>
      <w:tr>
        <w:trPr>
          <w:tblHeader/>
        </w:trPr>
        <w:tc>
          <w:tcPr>
            <w:tcW w:type="dxa" w:w="24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Field</w:t>
            </w:r>
          </w:p>
        </w:tc>
        <w:tc>
          <w:tcPr>
            <w:tcW w:type="dxa" w:w="69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Detail</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Deviation ID</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DEV-LIMS-OQ-003</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Test Reference</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OQ-06★ — Instrument master data gating (Calibration Due status)</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Date Identified</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During OQ execution (Week 6 of validation)</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Observation</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During execution of OQ-06, the system correctly blocked result entry for an instrument with status "Calibration Due." However, it was observed that the block was bypassable: a user with the "Analyst" role could manually override the instrument selection field via a secondary "Quick Entry" screen that did not perform the same status check as the primary result-entry screen.</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Immediate Risk</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Analytical results could be recorded against an out-of-calibration instrument without system prevention, undermining data integrity (Accurate/Consistent attribute) and creating a potential product quality risk if undetected.</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Root Cause (Investigation)</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The Quick Entry screen was configured by the vendor as an alternate data-entry path for legacy migration use and was inadvertently left enabled in the production configuration; the instrument-status validation rule configured under FS-02 had only been applied to the primary result-entry screen, not replicated to the Quick Entry screen.</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Corrective Action</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LIMS Configuration Specialist disabled the Quick Entry screen for standard Analyst roles (restricted to Administrator role only, for data-migration use) and applied the instrument-status validation rule to any remaining path capable of result entry.</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Preventive Action (CAPA)</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1) Updated the FS/DS to explicitly document all data-entry paths and require the instrument-status control on each. 2) Added a dedicated OQ test case (OQ-06b) to challenge every entry path, not only the primary screen, for future releases/changes. 3) Updated the Configuration Review checklist used in Change Control to include a "functional equivalence across entry points" check.</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Retest / Closure</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OQ-06 and new OQ-06b re-executed successfully — Quick Entry screen no longer accessible to Analyst role, and instrument-status check confirmed on all remaining entry paths. QA approved deviation closure prior to PQ start.</w:t>
            </w:r>
          </w:p>
        </w:tc>
      </w:tr>
      <w:tr>
        <w:tc>
          <w:tcPr>
            <w:tcW w:type="dxa" w:w="24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Status</w:t>
            </w:r>
          </w:p>
        </w:tc>
        <w:tc>
          <w:tcPr>
            <w:tcW w:type="dxa" w:w="69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Closed — Effective</w:t>
            </w:r>
          </w:p>
        </w:tc>
      </w:tr>
    </w:tbl>
    <w:p>
      <w:r>
        <w:br w:type="page"/>
      </w:r>
    </w:p>
    <w:p>
      <w:pPr>
        <w:pStyle w:val="Heading1"/>
        <w:spacing w:after="160" w:before="360"/>
      </w:pPr>
      <w:r>
        <w:t xml:space="preserve">9. Validation Summary Report (Conclusion)</w:t>
      </w:r>
    </w:p>
    <w:p>
      <w:pPr>
        <w:spacing w:after="160" w:line="276"/>
        <w:jc w:val="both"/>
      </w:pPr>
      <w:r>
        <w:rPr>
          <w:rFonts w:ascii="Calibri" w:cs="Calibri" w:eastAsia="Calibri" w:hAnsi="Calibri"/>
          <w:sz w:val="21"/>
          <w:szCs w:val="21"/>
        </w:rPr>
        <w:t xml:space="preserve">Design Qualification, Installation Qualification, Operational Qualification, and Performance Qualification for QC-LIMS v8.2 were executed against approved protocols traceable to the User Requirement Specification. One deviation (DEV-LIMS-OQ-003) was identified during OQ execution, investigated, corrected, and successfully retested prior to PQ, with root cause and CAPA documented. All planned test cases across IQ (6), OQ (8), and PQ (6) executed with a Pass outcome, including master-data-specific verifications of method versioning, instrument/calibration gating, calculation formula accuracy, and user role mapping. The Data Integrity Risk Assessment confirmed that all identified ALCOA+ risks were reduced to a residual Low rating through system controls (audit trail, access control, locked calculations, validated interfaces) and supporting SOPs (audit trail review, user access review, backup/restore, change control).</w:t>
      </w:r>
    </w:p>
    <w:p>
      <w:pPr>
        <w:spacing w:after="160" w:line="276"/>
        <w:jc w:val="both"/>
      </w:pPr>
      <w:r>
        <w:rPr>
          <w:rFonts w:ascii="Calibri" w:cs="Calibri" w:eastAsia="Calibri" w:hAnsi="Calibri"/>
          <w:sz w:val="21"/>
          <w:szCs w:val="21"/>
        </w:rPr>
        <w:t xml:space="preserve">Conclusion: Based on the documented evidence, QC-LIMS v8.2 has been shown to perform reliably, accurately, and in a manner consistent with its intended use, and meets the applicable requirements of 21 CFR Part 11, EU GMP Annex 11, and the site's GAMP 5-based Validation Master Plan. The system is considered fit-for-use and is approved for GMP production use in the QC and Analytical R&amp;D laboratories, subject to ongoing control via Change Control, periodic review, and the audit trail/user access review SOPs referenced in this report.</w:t>
      </w:r>
    </w:p>
    <w:p>
      <w:pPr>
        <w:spacing w:after="300"/>
      </w:pP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3200"/>
        <w:gridCol w:w="2900"/>
        <w:gridCol w:w="1800"/>
        <w:gridCol w:w="1460"/>
      </w:tblGrid>
      <w:tr>
        <w:trPr>
          <w:tblHeader/>
        </w:trPr>
        <w:tc>
          <w:tcPr>
            <w:tcW w:type="dxa" w:w="32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Approval</w:t>
            </w:r>
          </w:p>
        </w:tc>
        <w:tc>
          <w:tcPr>
            <w:tcW w:type="dxa" w:w="29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Name / Title</w:t>
            </w:r>
          </w:p>
        </w:tc>
        <w:tc>
          <w:tcPr>
            <w:tcW w:type="dxa" w:w="18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Signature</w:t>
            </w:r>
          </w:p>
        </w:tc>
        <w:tc>
          <w:tcPr>
            <w:tcW w:type="dxa" w:w="146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Date</w:t>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Prepared by (CSV Specialist)</w:t>
            </w:r>
          </w:p>
        </w:tc>
        <w:tc>
          <w:tcPr>
            <w:tcW w:type="dxa" w:w="2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[Your Name]</w:t>
            </w:r>
          </w:p>
        </w:tc>
        <w:tc>
          <w:tcPr>
            <w:tcW w:type="dxa" w:w="18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c>
          <w:tcPr>
            <w:tcW w:type="dxa" w:w="1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Reviewed by (QC Process Owner)</w:t>
            </w:r>
          </w:p>
        </w:tc>
        <w:tc>
          <w:tcPr>
            <w:tcW w:type="dxa" w:w="2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c>
          <w:tcPr>
            <w:tcW w:type="dxa" w:w="18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c>
          <w:tcPr>
            <w:tcW w:type="dxa" w:w="1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Approved by (Quality Assurance)</w:t>
            </w:r>
          </w:p>
        </w:tc>
        <w:tc>
          <w:tcPr>
            <w:tcW w:type="dxa" w:w="29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c>
          <w:tcPr>
            <w:tcW w:type="dxa" w:w="180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c>
          <w:tcPr>
            <w:tcW w:type="dxa" w:w="1460"/>
            <w:tcMar>
              <w:top w:type="dxa" w:w="60"/>
              <w:left w:type="dxa" w:w="80"/>
              <w:bottom w:type="dxa" w:w="60"/>
              <w:right w:type="dxa" w:w="80"/>
            </w:tcMar>
            <w:vAlign w:val="center"/>
          </w:tcPr>
          <w:p>
            <w:pPr>
              <w:spacing w:after="0"/>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QC-LIMS Validation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2026-09-14T09:06:06.807Z</dcterms:created>
  <dcterms:modified xsi:type="dcterms:W3CDTF">2026-09-14T09:06:06.807Z</dcterms:modified>
</cp:coreProperties>
</file>

<file path=docProps/custom.xml><?xml version="1.0" encoding="utf-8"?>
<Properties xmlns="http://schemas.openxmlformats.org/officeDocument/2006/custom-properties" xmlns:vt="http://schemas.openxmlformats.org/officeDocument/2006/docPropsVTypes"/>
</file>