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i w:val="false"/>
          <w:iCs w:val="false"/>
          <w:color w:val="000000"/>
          <w:sz w:val="26"/>
          <w:szCs w:val="26"/>
        </w:rPr>
        <w:t xml:space="preserve">CT SCAN FROM VERTEX TO MID THIGH (IV CONTRAST)</w:t>
      </w:r>
      <w:r>
        <w:t xml:space="preserve"/>
      </w:r>
    </w:p>
    <w:p>
      <w:pPr>
        <w:jc w:val="left"/>
      </w:pPr>
      <w:r>
        <w:t xml:space="preserve"/>
      </w:r>
      <w:r>
        <w:t xml:space="preserve"/>
      </w:r>
    </w:p>
    <w:p>
      <w:pPr>
        <w:jc w:val="left"/>
      </w:pPr>
      <w:r>
        <w:t xml:space="preserve"/>
      </w:r>
      <w:r>
        <w:rPr>
          <w:b/>
          <w:bCs/>
          <w:i w:val="false"/>
          <w:iCs w:val="false"/>
          <w:color w:val="000000"/>
          <w:sz w:val="26"/>
          <w:szCs w:val="26"/>
        </w:rPr>
        <w:t xml:space="preserve">INDICATION: Carcinoma base of tongue, post chemoradiation, for RT planning.</w:t>
      </w:r>
      <w:r>
        <w:t xml:space="preserve"/>
      </w:r>
    </w:p>
    <w:p>
      <w:pPr>
        <w:jc w:val="left"/>
      </w:pPr>
      <w:r>
        <w:t xml:space="preserve"/>
      </w:r>
      <w:r>
        <w:rPr>
          <w:b/>
          <w:bCs/>
          <w:i w:val="false"/>
          <w:iCs w:val="false"/>
          <w:color w:val="000000"/>
          <w:sz w:val="26"/>
          <w:szCs w:val="26"/>
        </w:rPr>
        <w:t xml:space="preserve">Compared with prior PET CT study dated 15.01.2021.</w:t>
      </w:r>
      <w:r>
        <w:t xml:space="preserve"/>
      </w:r>
    </w:p>
    <w:p>
      <w:pPr>
        <w:jc w:val="left"/>
      </w:pPr>
      <w:r>
        <w:t xml:space="preserve"/>
      </w:r>
      <w:r>
        <w:t xml:space="preserve"/>
      </w:r>
    </w:p>
    <w:p>
      <w:pPr>
        <w:jc w:val="left"/>
      </w:pPr>
      <w:r>
        <w:t xml:space="preserve"/>
      </w:r>
      <w:r>
        <w:rPr>
          <w:b/>
          <w:bCs/>
          <w:i w:val="false"/>
          <w:iCs w:val="false"/>
          <w:color w:val="000000"/>
          <w:sz w:val="24"/>
          <w:szCs w:val="24"/>
          <w:u w:val="single"/>
        </w:rPr>
        <w:t xml:space="preserve">STUDY PROTOCOL:</w:t>
      </w:r>
      <w:r>
        <w:rPr>
          <w:b/>
          <w:bCs/>
          <w:i w:val="false"/>
          <w:iCs w:val="false"/>
          <w:color w:val="000000"/>
          <w:sz w:val="24"/>
          <w:szCs w:val="24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Serial helical sections from vertex to mid thigh were performed in GE Discovery 690 - 16 slice PET CT scanner. Multiplanar reformations were then performed on dedicated workstation.</w:t>
      </w:r>
      <w:r>
        <w:t xml:space="preserve"/>
      </w:r>
    </w:p>
    <w:p>
      <w:pPr>
        <w:jc w:val="left"/>
      </w:pPr>
      <w:r>
        <w:t xml:space="preserve"/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c>
          <w:p>
            <w:pPr>
              <w:jc w:val="both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Serum creatinine 0.78 mg /dl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IV Contrast Ultravist 300.</w:t>
            </w:r>
            <w:r>
              <w:t xml:space="preserve"/>
            </w:r>
          </w:p>
          <w:p>
            <w:pPr>
              <w:jc w:val="left"/>
            </w:pPr>
            <w:r>
              <w:t xml:space="preserve"/>
            </w:r>
            <w:r>
              <w:rPr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Volume - 50 ml at flow rate of 3 ml / sec. 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Contrast reaction: Nil</w:t>
            </w:r>
            <w:r>
              <w:t xml:space="preserve"/>
            </w:r>
          </w:p>
          <w:p>
            <w:pPr>
              <w:jc w:val="left"/>
            </w:pPr>
            <w:r>
              <w:t xml:space="preserve"/>
            </w:r>
            <w:r>
              <w:rPr>
                <w:b w:val="false"/>
                <w:bCs w:val="false"/>
                <w:i w:val="false"/>
                <w:iCs w:val="false"/>
                <w:color w:val="000000"/>
                <w:sz w:val="27"/>
                <w:szCs w:val="27"/>
              </w:rPr>
              <w:t xml:space="preserve"> </w:t>
            </w:r>
          </w:p>
        </w:tc>
      </w:tr>
    </w:tbl>
    <w:p>
      <w:pPr>
        <w:jc w:val="both"/>
      </w:pPr>
      <w:r>
        <w:rPr>
          <w:b/>
          <w:bCs/>
          <w:i w:val="false"/>
          <w:iCs w:val="false"/>
          <w:color w:val="000000"/>
          <w:sz w:val="21"/>
          <w:szCs w:val="21"/>
        </w:rPr>
        <w:t xml:space="preserve"> </w:t>
      </w:r>
      <w:r>
        <w:t xml:space="preserve"/>
      </w:r>
    </w:p>
    <w:p>
      <w:pPr>
        <w:jc w:val="left"/>
      </w:pPr>
      <w:r>
        <w:t xml:space="preserve"/>
      </w:r>
      <w:r>
        <w:rPr>
          <w:b/>
          <w:bCs/>
          <w:i w:val="false"/>
          <w:iCs w:val="false"/>
          <w:color w:val="000000"/>
          <w:sz w:val="21"/>
          <w:szCs w:val="21"/>
        </w:rPr>
        <w:t xml:space="preserve">FINDINGS: </w:t>
      </w:r>
      <w:r>
        <w:t xml:space="preserve"/>
      </w:r>
    </w:p>
    <w:p>
      <w:pPr>
        <w:jc w:val="left"/>
      </w:pPr>
      <w:r>
        <w:t xml:space="preserve"/>
      </w:r>
      <w:r>
        <w:rPr>
          <w:b/>
          <w:bCs/>
          <w:i w:val="false"/>
          <w:iCs w:val="false"/>
          <w:color w:val="000000"/>
          <w:sz w:val="24"/>
          <w:szCs w:val="24"/>
        </w:rPr>
        <w:t xml:space="preserve">CT Head: </w:t>
      </w:r>
      <w:r>
        <w:t xml:space="preserve"/>
      </w:r>
    </w:p>
    <w:p>
      <w:pPr>
        <w:jc w:val="left"/>
      </w:pPr>
      <w:r>
        <w:t xml:space="preserve"/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Evaluation is limited due to streak artifact. </w:t>
      </w:r>
      <w:r>
        <w:t xml:space="preserve"/>
      </w:r>
    </w:p>
    <w:p>
      <w:pPr>
        <w:jc w:val="left"/>
      </w:pPr>
      <w:r>
        <w:t xml:space="preserve"/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neuroparenchyma is unremarkable without evidence of mass effect, midline shift or 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abnormal enhancement. The ventricles, sulci and basal cisterns are unremarkable. The calvarium is unremarkable. Retention cyst / polyp is noted in the left maxillary sinus. </w:t>
      </w:r>
      <w:r>
        <w:t xml:space="preserve"/>
      </w:r>
    </w:p>
    <w:p>
      <w:pPr>
        <w:jc w:val="left"/>
      </w:pPr>
      <w:r>
        <w:t xml:space="preserve"/>
      </w:r>
      <w:r>
        <w:rPr>
          <w:b/>
          <w:bCs/>
          <w:i w:val="false"/>
          <w:iCs w:val="false"/>
          <w:color w:val="000000"/>
          <w:sz w:val="24"/>
          <w:szCs w:val="24"/>
        </w:rPr>
        <w:t xml:space="preserve"> </w:t>
      </w:r>
      <w:r>
        <w:t xml:space="preserve"/>
      </w:r>
    </w:p>
    <w:p>
      <w:pPr>
        <w:jc w:val="left"/>
      </w:pPr>
      <w:r>
        <w:t xml:space="preserve"/>
      </w:r>
      <w:r>
        <w:rPr>
          <w:b/>
          <w:bCs/>
          <w:i w:val="false"/>
          <w:iCs w:val="false"/>
          <w:color w:val="000000"/>
          <w:sz w:val="24"/>
          <w:szCs w:val="24"/>
        </w:rPr>
        <w:t xml:space="preserve">CT Neck: </w:t>
      </w:r>
      <w:r>
        <w:t xml:space="preserve"/>
      </w:r>
    </w:p>
    <w:p>
      <w:pPr>
        <w:jc w:val="left"/>
      </w:pPr>
      <w:r>
        <w:t xml:space="preserve"/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There is interval regression of heterogeneously enhancing metabolically active soft tissue involving base of the tongue on left side now measuring 1.4 x 1.2 x 1.5 cm, previously measuring 2.5 x 2.4 x 2.3cm. There is interval resolution of contralateral extension with regression of extension to the vallecula and pre-epiglottic space. </w:t>
      </w:r>
      <w:r>
        <w:t xml:space="preserve"/>
      </w:r>
    </w:p>
    <w:p>
      <w:pPr>
        <w:jc w:val="left"/>
      </w:pPr>
      <w:r>
        <w:t xml:space="preserve"/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There is interval regression of prominent metabolically active bilateral level II cervical lymph nodes, largest one now measuring 1.3 x 1 cm, previously measuring 1.7 x 1.2 cm. </w:t>
      </w:r>
      <w:r>
        <w:t xml:space="preserve"/>
      </w:r>
    </w:p>
    <w:p>
      <w:pPr>
        <w:jc w:val="left"/>
      </w:pPr>
      <w:r>
        <w:t xml:space="preserve"/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There is relatively stable small left lower cervical lymph node.</w:t>
      </w:r>
      <w:r>
        <w:t xml:space="preserve"/>
      </w:r>
    </w:p>
    <w:p>
      <w:pPr>
        <w:jc w:val="left"/>
      </w:pPr>
      <w:r>
        <w:t xml:space="preserve"/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Hypodense nodule is again seen in the left lobe of thyroid. </w:t>
      </w:r>
      <w:r>
        <w:t xml:space="preserve"/>
      </w:r>
    </w:p>
    <w:p>
      <w:pPr>
        <w:jc w:val="left"/>
      </w:pPr>
      <w:r>
        <w:t xml:space="preserve"/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nasopharynx, rest of the oropharynx including tonsillar fossa, tonsillar pillars and hypopharynx are unremarkable.</w:t>
      </w:r>
      <w:r>
        <w:t xml:space="preserve"/>
      </w:r>
    </w:p>
    <w:p>
      <w:pPr>
        <w:jc w:val="left"/>
      </w:pPr>
      <w:r>
        <w:t xml:space="preserve"/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supraglottic including epiglottis and aryepiglottic folds, vocal cords, infraglottic larynx 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and upper trachea are unremarkable.</w:t>
      </w:r>
      <w:r>
        <w:t xml:space="preserve"/>
      </w:r>
    </w:p>
    <w:p>
      <w:pPr>
        <w:jc w:val="left"/>
      </w:pPr>
      <w:r>
        <w:t xml:space="preserve"/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parapharyngeal, submandibular and parotid glands are unremarkable.</w:t>
      </w:r>
      <w:r>
        <w:t xml:space="preserve"/>
      </w:r>
    </w:p>
    <w:p>
      <w:pPr>
        <w:jc w:val="left"/>
      </w:pPr>
      <w:r>
        <w:t xml:space="preserve"/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 </w:t>
      </w:r>
      <w:r>
        <w:t xml:space="preserve"/>
      </w:r>
    </w:p>
    <w:p>
      <w:pPr>
        <w:jc w:val="left"/>
      </w:pPr>
      <w:r>
        <w:t xml:space="preserve"/>
      </w:r>
      <w:r>
        <w:rPr>
          <w:b/>
          <w:bCs/>
          <w:i w:val="false"/>
          <w:iCs w:val="false"/>
          <w:color w:val="000000"/>
          <w:sz w:val="24"/>
          <w:szCs w:val="24"/>
        </w:rPr>
        <w:t xml:space="preserve">CT Chest: </w:t>
      </w:r>
      <w:r>
        <w:t xml:space="preserve"/>
      </w:r>
    </w:p>
    <w:p>
      <w:pPr>
        <w:jc w:val="left"/>
      </w:pPr>
      <w:r>
        <w:t xml:space="preserve"/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Mild emphysema is noted in bilateral upper lobes. </w:t>
      </w:r>
      <w:r>
        <w:t xml:space="preserve"/>
      </w:r>
    </w:p>
    <w:p>
      <w:pPr>
        <w:jc w:val="left"/>
      </w:pPr>
      <w:r>
        <w:t xml:space="preserve"/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No evidence of pulmonary nodules or infiltrates. </w:t>
      </w:r>
      <w:r>
        <w:t xml:space="preserve"/>
      </w:r>
    </w:p>
    <w:p>
      <w:pPr>
        <w:jc w:val="left"/>
      </w:pPr>
      <w:r>
        <w:t xml:space="preserve"/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No evidence of pleural effusion or pneumothorax. </w:t>
      </w:r>
      <w:r>
        <w:t xml:space="preserve"/>
      </w:r>
    </w:p>
    <w:p>
      <w:pPr>
        <w:jc w:val="left"/>
      </w:pPr>
      <w:r>
        <w:t xml:space="preserve"/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Lower trachea and main bronchi are unremarkable. </w:t>
      </w:r>
      <w:r>
        <w:t xml:space="preserve"/>
      </w:r>
    </w:p>
    <w:p>
      <w:pPr>
        <w:jc w:val="left"/>
      </w:pPr>
      <w:r>
        <w:t xml:space="preserve"/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cardiac size is within normal limits. </w:t>
      </w:r>
      <w:r>
        <w:t xml:space="preserve"/>
      </w:r>
    </w:p>
    <w:p>
      <w:pPr>
        <w:jc w:val="left"/>
      </w:pPr>
      <w:r>
        <w:t xml:space="preserve"/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No pericardial effusion is seen.</w:t>
      </w:r>
      <w:r>
        <w:t xml:space="preserve"/>
      </w:r>
    </w:p>
    <w:p>
      <w:pPr>
        <w:jc w:val="left"/>
      </w:pPr>
      <w:r>
        <w:t xml:space="preserve"/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There is no significant mediastinal or 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hilar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 lymphadenopathy. </w:t>
      </w:r>
      <w:r>
        <w:t xml:space="preserve"/>
      </w:r>
    </w:p>
    <w:p>
      <w:pPr>
        <w:jc w:val="left"/>
      </w:pPr>
      <w:r>
        <w:t xml:space="preserve"/>
      </w:r>
      <w:r>
        <w:rPr>
          <w:b/>
          <w:bCs/>
          <w:i w:val="false"/>
          <w:iCs w:val="false"/>
          <w:color w:val="000000"/>
          <w:sz w:val="24"/>
          <w:szCs w:val="24"/>
        </w:rPr>
        <w:t xml:space="preserve"> </w:t>
      </w:r>
      <w:r>
        <w:t xml:space="preserve"/>
      </w:r>
    </w:p>
    <w:p>
      <w:pPr>
        <w:jc w:val="left"/>
      </w:pPr>
      <w:r>
        <w:t xml:space="preserve"/>
      </w:r>
      <w:r>
        <w:rPr>
          <w:b/>
          <w:bCs/>
          <w:i w:val="false"/>
          <w:iCs w:val="false"/>
          <w:color w:val="000000"/>
          <w:sz w:val="24"/>
          <w:szCs w:val="24"/>
        </w:rPr>
        <w:t xml:space="preserve">CT abdomen and pelvis: </w:t>
      </w:r>
      <w:r>
        <w:t xml:space="preserve"/>
      </w:r>
    </w:p>
    <w:p>
      <w:pPr>
        <w:jc w:val="left"/>
      </w:pPr>
      <w:r>
        <w:t xml:space="preserve"/>
      </w:r>
      <w:r>
        <w:rPr>
          <w:b/>
          <w:bCs/>
          <w:i w:val="false"/>
          <w:iCs w:val="false"/>
          <w:color w:val="000000"/>
          <w:sz w:val="24"/>
          <w:szCs w:val="24"/>
        </w:rPr>
        <w:t xml:space="preserve">Liver: 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Normal in size, shape, outlines and parenchymal attenuation. No focal lesions are identified. The 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porta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 hepatis is normal. The intrahepatic portal venous radicals are normal. No evidence of intrahepatic 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billiary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 radicular dilatation. The hepatic veins and intrahepatic 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portion of inferior venacava are normal.</w:t>
      </w:r>
      <w:r>
        <w:t xml:space="preserve"/>
      </w:r>
    </w:p>
    <w:p>
      <w:pPr>
        <w:jc w:val="left"/>
      </w:pPr>
      <w:r>
        <w:t xml:space="preserve"/>
      </w:r>
      <w:r>
        <w:rPr>
          <w:b/>
          <w:bCs/>
          <w:i w:val="false"/>
          <w:iCs w:val="false"/>
          <w:color w:val="000000"/>
          <w:sz w:val="24"/>
          <w:szCs w:val="24"/>
        </w:rPr>
        <w:t xml:space="preserve"> </w:t>
      </w:r>
      <w:r>
        <w:t xml:space="preserve"/>
      </w:r>
    </w:p>
    <w:p>
      <w:pPr>
        <w:jc w:val="left"/>
      </w:pPr>
      <w:r>
        <w:t xml:space="preserve"/>
      </w:r>
      <w:r>
        <w:rPr>
          <w:b/>
          <w:bCs/>
          <w:i w:val="false"/>
          <w:iCs w:val="false"/>
          <w:color w:val="000000"/>
          <w:sz w:val="24"/>
          <w:szCs w:val="24"/>
        </w:rPr>
        <w:t xml:space="preserve">Gall bladder: 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Normal in size, shape and outlines. Peri-cholecystic area is normal. The 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common bile duct is not dilated. </w:t>
      </w:r>
      <w:r>
        <w:t xml:space="preserve"/>
      </w:r>
    </w:p>
    <w:p>
      <w:pPr>
        <w:jc w:val="left"/>
      </w:pPr>
      <w:r>
        <w:t xml:space="preserve"/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 </w:t>
      </w:r>
      <w:r>
        <w:t xml:space="preserve"/>
      </w:r>
    </w:p>
    <w:p>
      <w:pPr>
        <w:jc w:val="left"/>
      </w:pPr>
      <w:r>
        <w:t xml:space="preserve"/>
      </w:r>
      <w:r>
        <w:rPr>
          <w:b/>
          <w:bCs/>
          <w:i w:val="false"/>
          <w:iCs w:val="false"/>
          <w:color w:val="000000"/>
          <w:sz w:val="24"/>
          <w:szCs w:val="24"/>
        </w:rPr>
        <w:t xml:space="preserve">Spleen: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 Normal in size, shape and attenuation values. The splenic hilum and splenic vein are normal. </w:t>
      </w:r>
      <w:r>
        <w:t xml:space="preserve"/>
      </w:r>
    </w:p>
    <w:p>
      <w:pPr>
        <w:jc w:val="left"/>
      </w:pPr>
      <w:r>
        <w:t xml:space="preserve"/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 </w:t>
      </w:r>
      <w:r>
        <w:t xml:space="preserve"/>
      </w:r>
    </w:p>
    <w:p>
      <w:pPr>
        <w:jc w:val="left"/>
      </w:pPr>
      <w:r>
        <w:t xml:space="preserve"/>
      </w:r>
      <w:r>
        <w:rPr>
          <w:b/>
          <w:bCs/>
          <w:i w:val="false"/>
          <w:iCs w:val="false"/>
          <w:color w:val="000000"/>
          <w:sz w:val="24"/>
          <w:szCs w:val="24"/>
        </w:rPr>
        <w:t xml:space="preserve">Pancreas: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 Normal in size, contour and attenuation values. No evidence of focal mass lesion/pancreatic duct dilatation. </w:t>
      </w:r>
      <w:r>
        <w:t xml:space="preserve"/>
      </w:r>
    </w:p>
    <w:p>
      <w:pPr>
        <w:jc w:val="left"/>
      </w:pPr>
      <w:r>
        <w:t xml:space="preserve"/>
      </w:r>
      <w:r>
        <w:rPr>
          <w:b/>
          <w:bCs/>
          <w:i w:val="false"/>
          <w:iCs w:val="false"/>
          <w:color w:val="000000"/>
          <w:sz w:val="24"/>
          <w:szCs w:val="24"/>
        </w:rPr>
        <w:t xml:space="preserve"> </w:t>
      </w:r>
      <w:r>
        <w:t xml:space="preserve"/>
      </w:r>
    </w:p>
    <w:p>
      <w:pPr>
        <w:jc w:val="left"/>
      </w:pPr>
      <w:r>
        <w:t xml:space="preserve"/>
      </w:r>
      <w:r>
        <w:rPr>
          <w:b/>
          <w:bCs/>
          <w:i w:val="false"/>
          <w:iCs w:val="false"/>
          <w:color w:val="000000"/>
          <w:sz w:val="24"/>
          <w:szCs w:val="24"/>
        </w:rPr>
        <w:t xml:space="preserve">Adrenal glands: 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Normal in size, shape and attenuation values.</w:t>
      </w:r>
      <w:r>
        <w:t xml:space="preserve"/>
      </w:r>
    </w:p>
    <w:p>
      <w:pPr>
        <w:jc w:val="left"/>
      </w:pPr>
      <w:r>
        <w:t xml:space="preserve"/>
      </w:r>
      <w:r>
        <w:rPr>
          <w:b/>
          <w:bCs/>
          <w:i w:val="false"/>
          <w:iCs w:val="false"/>
          <w:color w:val="000000"/>
          <w:sz w:val="24"/>
          <w:szCs w:val="24"/>
        </w:rPr>
        <w:t xml:space="preserve"> </w:t>
      </w:r>
      <w:r>
        <w:t xml:space="preserve"/>
      </w:r>
    </w:p>
    <w:p>
      <w:pPr>
        <w:jc w:val="left"/>
      </w:pPr>
      <w:r>
        <w:t xml:space="preserve"/>
      </w:r>
      <w:r>
        <w:rPr>
          <w:b/>
          <w:bCs/>
          <w:i w:val="false"/>
          <w:iCs w:val="false"/>
          <w:color w:val="000000"/>
          <w:sz w:val="24"/>
          <w:szCs w:val="24"/>
        </w:rPr>
        <w:t xml:space="preserve">Kidneys: 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Both kidneys are normal in size and shape.The renal outlines are normal. No evidence of focal mass lesion/hydronephrosis/ calculi. The ureters are normal in course and 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caliber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 and well opacified with contrast. </w:t>
      </w:r>
      <w:r>
        <w:t xml:space="preserve"/>
      </w:r>
    </w:p>
    <w:p>
      <w:pPr>
        <w:jc w:val="left"/>
      </w:pPr>
      <w:r>
        <w:t xml:space="preserve"/>
      </w:r>
      <w:r>
        <w:rPr>
          <w:b/>
          <w:bCs/>
          <w:i w:val="false"/>
          <w:iCs w:val="false"/>
          <w:color w:val="000000"/>
          <w:sz w:val="24"/>
          <w:szCs w:val="24"/>
        </w:rPr>
        <w:t xml:space="preserve"> </w:t>
      </w:r>
      <w:r>
        <w:t xml:space="preserve"/>
      </w:r>
    </w:p>
    <w:p>
      <w:pPr>
        <w:jc w:val="left"/>
      </w:pPr>
      <w:r>
        <w:t xml:space="preserve"/>
      </w:r>
      <w:r>
        <w:rPr>
          <w:b/>
          <w:bCs/>
          <w:i w:val="false"/>
          <w:iCs w:val="false"/>
          <w:color w:val="000000"/>
          <w:sz w:val="24"/>
          <w:szCs w:val="24"/>
        </w:rPr>
        <w:t xml:space="preserve">G.I tract, mesentery and peritoneum: 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stomach is normal in site and size. The duodenum and jejunal loops are normal in 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caliber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. The ileum and 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ileo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–caecal junction are normal. The colon and rectum are unremarkable. No free fluid, fluid collection or free air. No significant mesenteric lymphadenopathy. Small fat containing umbilical hernia is noted.</w:t>
      </w:r>
      <w:r>
        <w:t xml:space="preserve"/>
      </w:r>
    </w:p>
    <w:p>
      <w:pPr>
        <w:jc w:val="left"/>
      </w:pPr>
      <w:r>
        <w:t xml:space="preserve"/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 </w:t>
      </w:r>
      <w:r>
        <w:t xml:space="preserve"/>
      </w:r>
    </w:p>
    <w:p>
      <w:pPr>
        <w:jc w:val="left"/>
      </w:pPr>
      <w:r>
        <w:t xml:space="preserve"/>
      </w:r>
      <w:r>
        <w:rPr>
          <w:b/>
          <w:bCs/>
          <w:i w:val="false"/>
          <w:iCs w:val="false"/>
          <w:color w:val="000000"/>
          <w:sz w:val="24"/>
          <w:szCs w:val="24"/>
        </w:rPr>
        <w:t xml:space="preserve">Pelvis: </w:t>
      </w:r>
      <w:r>
        <w:t xml:space="preserve"/>
      </w:r>
    </w:p>
    <w:p>
      <w:pPr>
        <w:jc w:val="left"/>
      </w:pPr>
      <w:r>
        <w:t xml:space="preserve"/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Urinary bladder is inadequately distended.</w:t>
      </w:r>
      <w:r>
        <w:t xml:space="preserve"/>
      </w:r>
    </w:p>
    <w:p>
      <w:pPr>
        <w:jc w:val="left"/>
      </w:pPr>
      <w:r>
        <w:t xml:space="preserve"/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Prostate and seminal vesicles are unremarkable.</w:t>
      </w:r>
      <w:r>
        <w:t xml:space="preserve"/>
      </w:r>
    </w:p>
    <w:p>
      <w:pPr>
        <w:jc w:val="left"/>
      </w:pPr>
      <w:r>
        <w:t xml:space="preserve"/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No significant pelvic lymphadenopathy. </w:t>
      </w:r>
      <w:r>
        <w:t xml:space="preserve"/>
      </w:r>
    </w:p>
    <w:p>
      <w:pPr>
        <w:jc w:val="left"/>
      </w:pPr>
      <w:r>
        <w:t xml:space="preserve"/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 </w:t>
      </w:r>
      <w:r>
        <w:t xml:space="preserve"/>
      </w:r>
    </w:p>
    <w:p>
      <w:pPr>
        <w:jc w:val="left"/>
      </w:pPr>
      <w:r>
        <w:t xml:space="preserve"/>
      </w:r>
      <w:r>
        <w:rPr>
          <w:b/>
          <w:bCs/>
          <w:i w:val="false"/>
          <w:iCs w:val="false"/>
          <w:color w:val="000000"/>
          <w:sz w:val="24"/>
          <w:szCs w:val="24"/>
        </w:rPr>
        <w:t xml:space="preserve">Retroperitoneum: </w:t>
      </w:r>
      <w:r>
        <w:t xml:space="preserve"/>
      </w:r>
    </w:p>
    <w:p>
      <w:pPr>
        <w:jc w:val="left"/>
      </w:pPr>
      <w:r>
        <w:t xml:space="preserve"/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aorta shows mild atheromatous calcification without evidence of aneurysmal dilatation. No significant para-aortic lymphadenopathy. </w:t>
      </w:r>
      <w:r>
        <w:t xml:space="preserve"/>
      </w:r>
    </w:p>
    <w:p>
      <w:pPr>
        <w:jc w:val="left"/>
      </w:pPr>
      <w:r>
        <w:t xml:space="preserve"/>
      </w:r>
      <w:r>
        <w:rPr>
          <w:b/>
          <w:bCs/>
          <w:i w:val="false"/>
          <w:iCs w:val="false"/>
          <w:color w:val="000000"/>
          <w:sz w:val="24"/>
          <w:szCs w:val="24"/>
        </w:rPr>
        <w:t xml:space="preserve"> </w:t>
      </w:r>
      <w:r>
        <w:t xml:space="preserve"/>
      </w:r>
    </w:p>
    <w:p>
      <w:pPr>
        <w:jc w:val="left"/>
      </w:pPr>
      <w:r>
        <w:t xml:space="preserve"/>
      </w:r>
      <w:r>
        <w:rPr>
          <w:b/>
          <w:bCs/>
          <w:i w:val="false"/>
          <w:iCs w:val="false"/>
          <w:color w:val="000000"/>
          <w:sz w:val="24"/>
          <w:szCs w:val="24"/>
        </w:rPr>
        <w:t xml:space="preserve">Musculoskeletal system: </w:t>
      </w:r>
      <w:r>
        <w:t xml:space="preserve"/>
      </w:r>
    </w:p>
    <w:p>
      <w:pPr>
        <w:jc w:val="left"/>
      </w:pPr>
      <w:r>
        <w:t xml:space="preserve"/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osseous structures are unremarkable. </w:t>
      </w:r>
      <w:r>
        <w:t xml:space="preserve"/>
      </w:r>
    </w:p>
    <w:p>
      <w:pPr>
        <w:jc w:val="left"/>
      </w:pPr>
      <w:r>
        <w:t xml:space="preserve"/>
      </w:r>
      <w:r>
        <w:rPr>
          <w:b w:val="false"/>
          <w:bCs w:val="false"/>
          <w:i w:val="false"/>
          <w:iCs w:val="false"/>
          <w:color w:val="000000"/>
          <w:sz w:val="26"/>
          <w:szCs w:val="26"/>
        </w:rPr>
        <w:t xml:space="preserve"> </w:t>
      </w:r>
      <w:r>
        <w:t xml:space="preserve"/>
      </w:r>
    </w:p>
    <w:p>
      <w:pPr>
        <w:jc w:val="left"/>
      </w:pPr>
      <w:r>
        <w:t xml:space="preserve"/>
      </w:r>
      <w:r>
        <w:rPr>
          <w:b/>
          <w:bCs/>
          <w:i w:val="false"/>
          <w:iCs w:val="false"/>
          <w:color w:val="0000ff"/>
          <w:sz w:val="26"/>
          <w:szCs w:val="26"/>
        </w:rPr>
        <w:t xml:space="preserve">PET findings: </w:t>
      </w:r>
      <w:r>
        <w:t xml:space="preserve"/>
      </w:r>
    </w:p>
    <w:p>
      <w:pPr>
        <w:jc w:val="left"/>
      </w:pPr>
      <w:r>
        <w:t xml:space="preserve"/>
      </w:r>
      <w:r>
        <w:rPr>
          <w:b w:val="false"/>
          <w:bCs w:val="false"/>
          <w:i w:val="false"/>
          <w:iCs w:val="false"/>
          <w:color w:val="000000"/>
          <w:sz w:val="26"/>
          <w:szCs w:val="26"/>
        </w:rPr>
        <w:t xml:space="preserve"> </w:t>
      </w:r>
      <w:r>
        <w:t xml:space="preserve"/>
      </w:r>
    </w:p>
    <w:p>
      <w:pPr>
        <w:jc w:val="left"/>
      </w:pPr>
      <w:r>
        <w:t xml:space="preserve"/>
      </w:r>
      <w:r>
        <w:rPr>
          <w:b/>
          <w:bCs/>
          <w:i w:val="false"/>
          <w:iCs w:val="false"/>
          <w:color w:val="0000ff"/>
          <w:sz w:val="26"/>
          <w:szCs w:val="26"/>
        </w:rPr>
        <w:t xml:space="preserve">Protocol: </w:t>
      </w:r>
      <w:r>
        <w:rPr>
          <w:b w:val="false"/>
          <w:bCs w:val="false"/>
          <w:i w:val="false"/>
          <w:iCs w:val="false"/>
          <w:color w:val="0000ff"/>
          <w:sz w:val="26"/>
          <w:szCs w:val="26"/>
        </w:rPr>
        <w:t xml:space="preserve">With the patient fasting for 3 hours, 3.5 mci of oncoview was injected </w:t>
      </w:r>
      <w:r>
        <w:rPr>
          <w:b w:val="false"/>
          <w:bCs w:val="false"/>
          <w:i w:val="false"/>
          <w:iCs w:val="false"/>
          <w:color w:val="0000ff"/>
          <w:sz w:val="26"/>
          <w:szCs w:val="26"/>
        </w:rPr>
        <w:t xml:space="preserve">intravenously and 3D PET CT scan was performed. </w:t>
      </w:r>
      <w:r>
        <w:t xml:space="preserve"/>
      </w:r>
    </w:p>
    <w:p>
      <w:pPr>
        <w:jc w:val="left"/>
      </w:pPr>
      <w:r>
        <w:t xml:space="preserve"/>
      </w:r>
      <w:r>
        <w:rPr>
          <w:b w:val="false"/>
          <w:bCs w:val="false"/>
          <w:i w:val="false"/>
          <w:iCs w:val="false"/>
          <w:color w:val="0000ff"/>
          <w:sz w:val="26"/>
          <w:szCs w:val="26"/>
        </w:rPr>
        <w:t xml:space="preserve"> </w:t>
      </w:r>
      <w:r>
        <w:t xml:space="preserve"/>
      </w:r>
    </w:p>
    <w:p>
      <w:pPr>
        <w:jc w:val="left"/>
      </w:pPr>
      <w:r>
        <w:t xml:space="preserve"/>
      </w:r>
      <w:r>
        <w:rPr>
          <w:b w:val="false"/>
          <w:bCs w:val="false"/>
          <w:i w:val="false"/>
          <w:iCs w:val="false"/>
          <w:color w:val="0000ff"/>
          <w:sz w:val="26"/>
          <w:szCs w:val="26"/>
        </w:rPr>
        <w:t xml:space="preserve">Background uptake in liver is 0.53</w:t>
      </w:r>
      <w:r>
        <w:t xml:space="preserve"/>
      </w:r>
    </w:p>
    <w:p>
      <w:pPr>
        <w:jc w:val="left"/>
      </w:pPr>
      <w:r>
        <w:t xml:space="preserve"/>
      </w:r>
      <w:r>
        <w:rPr>
          <w:b w:val="false"/>
          <w:bCs w:val="false"/>
          <w:i w:val="false"/>
          <w:iCs w:val="false"/>
          <w:color w:val="0000ff"/>
          <w:sz w:val="26"/>
          <w:szCs w:val="26"/>
        </w:rPr>
        <w:t xml:space="preserve"> </w:t>
      </w:r>
      <w:r>
        <w:t xml:space="preserve"/>
      </w:r>
    </w:p>
    <w:p>
      <w:pPr>
        <w:jc w:val="left"/>
      </w:pPr>
      <w:r>
        <w:t xml:space="preserve"/>
      </w:r>
      <w:r>
        <w:rPr>
          <w:b w:val="false"/>
          <w:bCs w:val="false"/>
          <w:i w:val="false"/>
          <w:iCs w:val="false"/>
          <w:color w:val="0000ff"/>
          <w:sz w:val="26"/>
          <w:szCs w:val="26"/>
        </w:rPr>
        <w:t xml:space="preserve">Increased oncoview concentration is seen in the following regions (SUV as per Body Wt)</w:t>
      </w:r>
      <w:r>
        <w:t xml:space="preserve"/>
      </w:r>
    </w:p>
    <w:p>
      <w:pPr>
        <w:jc w:val="left"/>
      </w:pPr>
      <w:r>
        <w:t xml:space="preserve"/>
      </w:r>
    </w:p>
    <w:p>
      <w:pPr>
        <w:pStyle w:val="ListParagraph"/>
        <w:numPr>
          <w:ilvl w:val="0"/>
          <w:numId w:val="2"/>
        </w:numPr>
        <w:ind w:left="360" w:hanging="240"/>
      </w:pPr>
      <w:r>
        <w:rPr>
          <w:b w:val="false"/>
          <w:bCs w:val="false"/>
          <w:i w:val="false"/>
          <w:iCs w:val="false"/>
          <w:color w:val="0000ff"/>
          <w:sz w:val="24"/>
          <w:szCs w:val="24"/>
        </w:rPr>
        <w:t xml:space="preserve">Soft tissue involving base of the tongue on left side with extensions SUV: 8, previously 9.5</w:t>
      </w:r>
    </w:p>
    <w:p>
      <w:pPr>
        <w:pStyle w:val="ListParagraph"/>
        <w:numPr>
          <w:ilvl w:val="0"/>
          <w:numId w:val="2"/>
        </w:numPr>
        <w:ind w:left="360" w:hanging="240"/>
      </w:pPr>
      <w:r>
        <w:rPr>
          <w:b w:val="false"/>
          <w:bCs w:val="false"/>
          <w:i w:val="false"/>
          <w:iCs w:val="false"/>
          <w:color w:val="0000ff"/>
          <w:sz w:val="24"/>
          <w:szCs w:val="24"/>
        </w:rPr>
        <w:t xml:space="preserve">Bilateral level II cervical lymph nodes SUV: 7.7 (left level II) previously 7.1</w:t>
      </w:r>
    </w:p>
    <w:p>
      <w:pPr>
        <w:pStyle w:val="ListParagraph"/>
        <w:numPr>
          <w:ilvl w:val="0"/>
          <w:numId w:val="2"/>
        </w:numPr>
        <w:ind w:left="360" w:hanging="240"/>
      </w:pPr>
      <w:r>
        <w:rPr>
          <w:b w:val="false"/>
          <w:bCs w:val="false"/>
          <w:i w:val="false"/>
          <w:iCs w:val="false"/>
          <w:color w:val="0000ff"/>
          <w:sz w:val="24"/>
          <w:szCs w:val="24"/>
        </w:rPr>
        <w:t xml:space="preserve">Diffuse non specific uptake seen in the skin of neck- likely due to post radiotherapy changes.</w:t>
      </w:r>
    </w:p>
    <w:p>
      <w:pPr>
        <w:pStyle w:val="ListParagraph"/>
        <w:numPr>
          <w:ilvl w:val="0"/>
          <w:numId w:val="2"/>
        </w:numPr>
        <w:ind w:left="360" w:hanging="240"/>
      </w:pPr>
      <w:r>
        <w:rPr>
          <w:b w:val="false"/>
          <w:bCs w:val="false"/>
          <w:i w:val="false"/>
          <w:iCs w:val="false"/>
          <w:color w:val="0000ff"/>
          <w:sz w:val="24"/>
          <w:szCs w:val="24"/>
        </w:rPr>
        <w:t xml:space="preserve">Focal uptake in the left thyroid nodule,persists.</w:t>
      </w:r>
    </w:p>
    <w:p>
      <w:pPr>
        <w:jc w:val="both"/>
      </w:pPr>
      <w:r>
        <w:rPr>
          <w:b/>
          <w:bCs/>
          <w:i w:val="false"/>
          <w:iCs w:val="false"/>
          <w:color w:val="ff0000"/>
          <w:sz w:val="26"/>
          <w:szCs w:val="26"/>
        </w:rPr>
        <w:t xml:space="preserve"> </w:t>
      </w:r>
      <w:r>
        <w:t xml:space="preserve"/>
      </w:r>
    </w:p>
    <w:p>
      <w:pPr>
        <w:jc w:val="left"/>
      </w:pPr>
      <w:r>
        <w:t xml:space="preserve"/>
      </w:r>
      <w:r>
        <w:rPr>
          <w:b/>
          <w:bCs/>
          <w:i w:val="false"/>
          <w:iCs w:val="false"/>
          <w:color w:val="ff0000"/>
          <w:sz w:val="26"/>
          <w:szCs w:val="26"/>
        </w:rPr>
        <w:t xml:space="preserve">IMPRESSION: PETCT: </w:t>
      </w:r>
      <w:r>
        <w:t xml:space="preserve"/>
      </w:r>
    </w:p>
    <w:p>
      <w:pPr>
        <w:jc w:val="left"/>
      </w:pPr>
      <w:r>
        <w:t xml:space="preserve"/>
      </w:r>
    </w:p>
    <w:p>
      <w:pPr>
        <w:pStyle w:val="ListParagraph"/>
        <w:numPr>
          <w:ilvl w:val="0"/>
          <w:numId w:val="2"/>
        </w:numPr>
        <w:ind w:left="360" w:hanging="240"/>
      </w:pPr>
      <w:r>
        <w:rPr>
          <w:b/>
          <w:bCs/>
          <w:i w:val="false"/>
          <w:iCs w:val="false"/>
          <w:color w:val="0000ff"/>
          <w:sz w:val="24"/>
          <w:szCs w:val="24"/>
        </w:rPr>
        <w:t xml:space="preserve">Interval regression of heterogeneously enhancing metabolically active soft tissue involving base of the tongue on left side as described above.</w:t>
      </w:r>
    </w:p>
    <w:p>
      <w:pPr>
        <w:pStyle w:val="ListParagraph"/>
        <w:numPr>
          <w:ilvl w:val="0"/>
          <w:numId w:val="2"/>
        </w:numPr>
        <w:ind w:left="360" w:hanging="240"/>
      </w:pPr>
      <w:r>
        <w:rPr>
          <w:b/>
          <w:bCs/>
          <w:i/>
          <w:iCs/>
          <w:color w:val="0000ff"/>
          <w:sz w:val="24"/>
          <w:szCs w:val="24"/>
        </w:rPr>
        <w:t xml:space="preserve">Interval regression of bilateral level II cervical lymph nodes.</w:t>
      </w:r>
    </w:p>
    <w:p>
      <w:pPr>
        <w:pStyle w:val="ListParagraph"/>
        <w:numPr>
          <w:ilvl w:val="0"/>
          <w:numId w:val="2"/>
        </w:numPr>
        <w:ind w:left="360" w:hanging="240"/>
      </w:pPr>
      <w:r>
        <w:rPr>
          <w:b/>
          <w:bCs/>
          <w:i/>
          <w:iCs/>
          <w:color w:val="0000ff"/>
          <w:sz w:val="24"/>
          <w:szCs w:val="24"/>
        </w:rPr>
        <w:t xml:space="preserve">Persistent small nodule in the left lobe of thyroid. Recommended FNAC correlation.</w:t>
      </w:r>
    </w:p>
    <w:p>
      <w:pPr>
        <w:pStyle w:val="ListParagraph"/>
        <w:numPr>
          <w:ilvl w:val="0"/>
          <w:numId w:val="2"/>
        </w:numPr>
        <w:ind w:left="360" w:hanging="240"/>
      </w:pPr>
      <w:r>
        <w:rPr>
          <w:b/>
          <w:bCs/>
          <w:i w:val="false"/>
          <w:iCs w:val="false"/>
          <w:color w:val="0000ff"/>
          <w:sz w:val="24"/>
          <w:szCs w:val="24"/>
        </w:rPr>
        <w:t xml:space="preserve">Other CT findings as described above. 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thick" w:color="2A5190" w:sz="16" w:space="1"/>
      </w:pBdr>
      <w:spacing w:before="0" w:after="0" w:line="0"/>
    </w:pPr>
  </w:p>
  <w:p>
    <w:pPr>
      <w:jc w:val="center"/>
    </w:pPr>
    <w:r>
      <w:t xml:space="preserve"/>
    </w:r>
  </w:p>
  <w:p>
    <w:pPr>
      <w:jc w:val="center"/>
    </w:pPr>
    <w:r>
      <w:t xml:space="preserve">Address: N.19/1, Model House,3rd Street, Basavanagudi, Bengaluru 560004</w:t>
    </w:r>
  </w:p>
  <w:p>
    <w:pPr>
      <w:jc w:val="center"/>
    </w:pPr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FFFFFF" w:sz="0"/>
        <w:left w:val="single" w:color="FFFFFF" w:sz="0"/>
        <w:bottom w:val="single" w:color="FFFFFF" w:sz="0"/>
        <w:right w:val="single" w:color="FFFFFF" w:sz="0"/>
        <w:insideH w:val="single" w:color="auto" w:sz="4"/>
        <w:insideV w:val="single" w:color="auto" w:sz="4"/>
      </w:tblBorders>
      <w:tblLayout w:type="autofit"/>
    </w:tblPr>
    <w:tblGrid>
      <w:gridCol w:w="100"/>
      <w:gridCol w:w="100"/>
    </w:tblGrid>
    <w:tr>
      <w:tc>
        <w:tcPr>
          <w:vMerge w:val="restart"/>
          <w:tcBorders>
            <w:top w:val="single" w:color="FFFFFF" w:sz="0"/>
            <w:left w:val="single" w:color="FFFFFF" w:sz="0"/>
            <w:bottom w:val="single" w:color="FFFFFF" w:sz="0"/>
            <w:right w:val="single" w:color="FFFFFF" w:sz="0"/>
          </w:tcBorders>
        </w:tcPr>
        <w:p>
          <w:pPr>
            <w:jc w:val="left"/>
          </w:pPr>
          <w:r>
            <w:drawing>
              <wp:inline distT="0" distB="0" distL="0" distR="0">
                <wp:extent cx="19050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Borders>
            <w:top w:val="single" w:color="FFFFFF" w:sz="0"/>
            <w:left w:val="single" w:color="FFFFFF" w:sz="0"/>
            <w:bottom w:val="single" w:color="FFFFFF" w:sz="0"/>
            <w:right w:val="single" w:color="FFFFFF" w:sz="0"/>
          </w:tcBorders>
        </w:tcPr>
        <w:p>
          <w:pPr>
            <w:jc w:val="right"/>
          </w:pPr>
          <w:r>
            <w:rPr>
              <w:b/>
              <w:bCs/>
              <w:sz w:val="20"/>
              <w:szCs w:val="20"/>
            </w:rPr>
            <w:t xml:space="preserve">Phone: </w:t>
          </w:r>
          <w:r>
            <w:rPr>
              <w:sz w:val="20"/>
              <w:szCs w:val="20"/>
            </w:rPr>
            <w:t xml:space="preserve">91+ 9731183030</w:t>
          </w:r>
        </w:p>
      </w:tc>
    </w:tr>
    <w:tr>
      <w:tc>
        <w:tcPr>
          <w:vMerge w:val="continue"/>
          <w:tcBorders>
            <w:top w:val="single" w:color="FFFFFF" w:sz="0"/>
            <w:left w:val="single" w:color="FFFFFF" w:sz="0"/>
            <w:bottom w:val="single" w:color="FFFFFF" w:sz="0"/>
            <w:right w:val="single" w:color="FFFFFF" w:sz="0"/>
          </w:tcBorders>
        </w:tcPr>
        <w:p/>
      </w:tc>
      <w:tc>
        <w:tcPr>
          <w:tcBorders>
            <w:top w:val="single" w:color="FFFFFF" w:sz="0"/>
            <w:left w:val="single" w:color="FFFFFF" w:sz="0"/>
            <w:bottom w:val="single" w:color="FFFFFF" w:sz="0"/>
            <w:right w:val="single" w:color="FFFFFF" w:sz="0"/>
          </w:tcBorders>
        </w:tcPr>
        <w:p>
          <w:pPr>
            <w:jc w:val="right"/>
          </w:pPr>
          <w:r>
            <w:rPr>
              <w:b/>
              <w:bCs/>
              <w:sz w:val="20"/>
              <w:szCs w:val="20"/>
            </w:rPr>
            <w:t xml:space="preserve">Email: </w:t>
          </w:r>
          <w:r>
            <w:rPr>
              <w:sz w:val="20"/>
              <w:szCs w:val="20"/>
            </w:rPr>
            <w:t xml:space="preserve">info@scoutimage.com</w:t>
          </w:r>
        </w:p>
      </w:tc>
    </w:tr>
  </w:tbl>
  <w:p>
    <w:pPr>
      <w:pBdr>
        <w:bottom w:val="thick" w:color="015AF9" w:sz="16" w:space="1"/>
      </w:pBdr>
      <w:spacing w:before="0" w:after="0" w:line="0"/>
    </w:pPr>
  </w:p>
  <w:tbl>
    <w:tblPr>
      <w:tblW w:type="pct" w:w="100%"/>
      <w:tblBorders>
        <w:top w:val="single" w:color="FFFFFF" w:sz="0"/>
        <w:left w:val="single" w:color="FFFFFF" w:sz="0"/>
        <w:bottom w:val="single" w:color="FFFFFF" w:sz="0"/>
        <w:right w:val="single" w:color="FFFFFF" w:sz="0"/>
        <w:insideH w:val="single" w:color="auto" w:sz="4"/>
        <w:insideV w:val="single" w:color="auto" w:sz="4"/>
      </w:tblBorders>
      <w:tblLayout w:type="autofit"/>
    </w:tblPr>
    <w:tblGrid>
      <w:gridCol w:w="100"/>
      <w:gridCol w:w="100"/>
      <w:gridCol w:w="100"/>
      <w:gridCol w:w="100"/>
    </w:tblGrid>
    <w:tr>
      <w:tc>
        <w:tcPr>
          <w:vMerge w:val="restart"/>
          <w:tcBorders>
            <w:top w:val="single" w:color="FFFFFF" w:sz="0"/>
            <w:left w:val="single" w:color="FFFFFF" w:sz="0"/>
            <w:bottom w:val="single" w:color="FFFFFF" w:sz="0"/>
            <w:right w:val="single" w:color="FFFFFF" w:sz="0"/>
          </w:tcBorders>
        </w:tcPr>
        <w:p>
          <w:pPr>
            <w:jc w:val="left"/>
          </w:pPr>
          <w:r>
            <w:drawing>
              <wp:inline distT="0" distB="0" distL="0" distR="0">
                <wp:extent cx="571500" cy="5715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Borders>
            <w:top w:val="single" w:color="FFFFFF" w:sz="0"/>
            <w:left w:val="single" w:color="FFFFFF" w:sz="0"/>
            <w:bottom w:val="single" w:color="FFFFFF" w:sz="0"/>
            <w:right w:val="single" w:color="FFFFFF" w:sz="0"/>
          </w:tcBorders>
        </w:tcPr>
        <w:p>
          <w:pPr>
            <w:jc w:val="left"/>
          </w:pPr>
          <w:r>
            <w:rPr>
              <w:b/>
              <w:bCs/>
              <w:color w:val="000000"/>
              <w:sz w:val="23"/>
              <w:szCs w:val="23"/>
            </w:rPr>
            <w:t xml:space="preserve">GERALD WACHIRA NYUGUTO</w:t>
          </w:r>
        </w:p>
      </w:tc>
      <w:tc>
        <w:tcPr>
          <w:tcBorders>
            <w:top w:val="single" w:color="FFFFFF" w:sz="0"/>
            <w:left w:val="single" w:color="FFFFFF" w:sz="0"/>
            <w:bottom w:val="single" w:color="FFFFFF" w:sz="0"/>
            <w:right w:val="single" w:color="FFFFFF" w:sz="0"/>
          </w:tcBorders>
        </w:tcPr>
        <w:p>
          <w:pPr>
            <w:jc w:val="left"/>
          </w:pPr>
          <w:r>
            <w:rPr>
              <w:b/>
              <w:bCs/>
              <w:sz w:val="20"/>
              <w:szCs w:val="20"/>
            </w:rPr>
            <w:t xml:space="preserve">PID: </w:t>
          </w:r>
          <w:r>
            <w:rPr>
              <w:sz w:val="20"/>
              <w:szCs w:val="20"/>
            </w:rPr>
            <w:t xml:space="preserve">PID1234567890</w:t>
          </w:r>
        </w:p>
      </w:tc>
      <w:tc>
        <w:tcPr>
          <w:tcBorders>
            <w:top w:val="single" w:color="FFFFFF" w:sz="0"/>
            <w:left w:val="single" w:color="FFFFFF" w:sz="0"/>
            <w:bottom w:val="single" w:color="FFFFFF" w:sz="0"/>
            <w:right w:val="single" w:color="FFFFFF" w:sz="0"/>
          </w:tcBorders>
        </w:tcPr>
        <w:p>
          <w:pPr>
            <w:jc w:val="left"/>
          </w:pPr>
          <w:r>
            <w:rPr>
              <w:b/>
              <w:bCs/>
              <w:sz w:val="20"/>
              <w:szCs w:val="20"/>
            </w:rPr>
            <w:t xml:space="preserve">Scan DT: </w:t>
          </w:r>
          <w:r>
            <w:rPr>
              <w:sz w:val="20"/>
              <w:szCs w:val="20"/>
            </w:rPr>
            <w:t xml:space="preserve">29-07-2025</w:t>
          </w:r>
        </w:p>
      </w:tc>
    </w:tr>
    <w:tr>
      <w:tc>
        <w:tcPr>
          <w:vMerge w:val="continue"/>
          <w:tcBorders>
            <w:top w:val="single" w:color="FFFFFF" w:sz="0"/>
            <w:left w:val="single" w:color="FFFFFF" w:sz="0"/>
            <w:bottom w:val="single" w:color="FFFFFF" w:sz="0"/>
            <w:right w:val="single" w:color="FFFFFF" w:sz="0"/>
          </w:tcBorders>
        </w:tcPr>
        <w:p/>
      </w:tc>
      <w:tc>
        <w:tcPr>
          <w:tcBorders>
            <w:top w:val="single" w:color="FFFFFF" w:sz="0"/>
            <w:left w:val="single" w:color="FFFFFF" w:sz="0"/>
            <w:bottom w:val="single" w:color="FFFFFF" w:sz="0"/>
            <w:right w:val="single" w:color="FFFFFF" w:sz="0"/>
          </w:tcBorders>
        </w:tcPr>
        <w:p>
          <w:pPr>
            <w:jc w:val="left"/>
          </w:pPr>
          <w:r>
            <w:rPr>
              <w:b/>
              <w:bCs/>
              <w:sz w:val="20"/>
              <w:szCs w:val="20"/>
            </w:rPr>
            <w:t xml:space="preserve">Ref. By: </w:t>
          </w:r>
          <w:r>
            <w:rPr>
              <w:sz w:val="20"/>
              <w:szCs w:val="20"/>
            </w:rPr>
            <w:t xml:space="preserve">DR. WHOLE BODY PETCT</w:t>
          </w:r>
        </w:p>
      </w:tc>
      <w:tc>
        <w:tcPr>
          <w:tcBorders>
            <w:top w:val="single" w:color="FFFFFF" w:sz="0"/>
            <w:left w:val="single" w:color="FFFFFF" w:sz="0"/>
            <w:bottom w:val="single" w:color="FFFFFF" w:sz="0"/>
            <w:right w:val="single" w:color="FFFFFF" w:sz="0"/>
          </w:tcBorders>
        </w:tcPr>
        <w:p>
          <w:pPr>
            <w:jc w:val="left"/>
          </w:pPr>
          <w:r>
            <w:rPr>
              <w:b/>
              <w:bCs/>
              <w:sz w:val="20"/>
              <w:szCs w:val="20"/>
            </w:rPr>
            <w:t xml:space="preserve">Age: </w:t>
          </w:r>
          <w:r>
            <w:rPr>
              <w:sz w:val="20"/>
              <w:szCs w:val="20"/>
            </w:rPr>
            <w:t xml:space="preserve">25</w:t>
          </w:r>
        </w:p>
      </w:tc>
      <w:tc>
        <w:tcPr>
          <w:tcBorders>
            <w:top w:val="single" w:color="FFFFFF" w:sz="0"/>
            <w:left w:val="single" w:color="FFFFFF" w:sz="0"/>
            <w:bottom w:val="single" w:color="FFFFFF" w:sz="0"/>
            <w:right w:val="single" w:color="FFFFFF" w:sz="0"/>
          </w:tcBorders>
        </w:tcPr>
        <w:p>
          <w:pPr>
            <w:jc w:val="left"/>
          </w:pPr>
          <w:r>
            <w:rPr>
              <w:b/>
              <w:bCs/>
              <w:sz w:val="20"/>
              <w:szCs w:val="20"/>
            </w:rPr>
            <w:t xml:space="preserve">Rep DT: </w:t>
          </w:r>
          <w:r>
            <w:rPr>
              <w:sz w:val="20"/>
              <w:szCs w:val="20"/>
            </w:rPr>
            <w:t xml:space="preserve">29-07-2025</w:t>
          </w:r>
        </w:p>
      </w:tc>
    </w:tr>
    <w:tr>
      <w:tc>
        <w:tcPr>
          <w:vMerge w:val="continue"/>
          <w:tcBorders>
            <w:top w:val="single" w:color="FFFFFF" w:sz="0"/>
            <w:left w:val="single" w:color="FFFFFF" w:sz="0"/>
            <w:bottom w:val="single" w:color="FFFFFF" w:sz="0"/>
            <w:right w:val="single" w:color="FFFFFF" w:sz="0"/>
          </w:tcBorders>
        </w:tcPr>
        <w:p/>
      </w:tc>
      <w:tc>
        <w:tcPr>
          <w:tcBorders>
            <w:top w:val="single" w:color="FFFFFF" w:sz="0"/>
            <w:left w:val="single" w:color="FFFFFF" w:sz="0"/>
            <w:bottom w:val="single" w:color="FFFFFF" w:sz="0"/>
            <w:right w:val="single" w:color="FFFFFF" w:sz="0"/>
          </w:tcBorders>
        </w:tcPr>
        <w:p>
          <w:pPr>
            <w:jc w:val="left"/>
          </w:pPr>
          <w:r>
            <w:rPr>
              <w:b/>
              <w:bCs/>
              <w:sz w:val="20"/>
              <w:szCs w:val="20"/>
            </w:rPr>
            <w:t xml:space="preserve">Institution: </w:t>
          </w:r>
          <w:r>
            <w:rPr>
              <w:sz w:val="20"/>
              <w:szCs w:val="20"/>
            </w:rPr>
            <w:t xml:space="preserve">NAIROBI WEST HOSPITAL </w:t>
          </w:r>
        </w:p>
      </w:tc>
      <w:tc>
        <w:tcPr>
          <w:tcBorders>
            <w:top w:val="single" w:color="FFFFFF" w:sz="0"/>
            <w:left w:val="single" w:color="FFFFFF" w:sz="0"/>
            <w:bottom w:val="single" w:color="FFFFFF" w:sz="0"/>
            <w:right w:val="single" w:color="FFFFFF" w:sz="0"/>
          </w:tcBorders>
        </w:tcPr>
        <w:p>
          <w:pPr>
            <w:jc w:val="left"/>
          </w:pPr>
          <w:r>
            <w:rPr>
              <w:b/>
              <w:bCs/>
              <w:sz w:val="20"/>
              <w:szCs w:val="20"/>
            </w:rPr>
            <w:t xml:space="preserve">Gender: </w:t>
          </w:r>
          <w:r>
            <w:rPr>
              <w:sz w:val="20"/>
              <w:szCs w:val="20"/>
            </w:rPr>
            <w:t xml:space="preserve">Female</w:t>
          </w:r>
        </w:p>
      </w:tc>
      <w:tc>
        <w:tcPr>
          <w:tcBorders>
            <w:top w:val="single" w:color="FFFFFF" w:sz="0"/>
            <w:left w:val="single" w:color="FFFFFF" w:sz="0"/>
            <w:bottom w:val="single" w:color="FFFFFF" w:sz="0"/>
            <w:right w:val="single" w:color="FFFFFF" w:sz="0"/>
          </w:tcBorders>
        </w:tcPr>
        <w:p>
          <w:pPr>
            <w:jc w:val="left"/>
          </w:pPr>
          <w:r>
            <w:rPr>
              <w:b/>
              <w:bCs/>
              <w:sz w:val="20"/>
              <w:szCs w:val="20"/>
            </w:rPr>
            <w:t xml:space="preserve">ACC No: </w:t>
          </w:r>
          <w:r>
            <w:rPr>
              <w:sz w:val="20"/>
              <w:szCs w:val="20"/>
            </w:rPr>
            <w:t xml:space="preserve">ACC0000927</w:t>
          </w:r>
        </w:p>
      </w:tc>
    </w:tr>
  </w:tbl>
  <w:p>
    <w:pPr>
      <w:pBdr>
        <w:bottom w:val="single" w:color="auto" w:sz="6" w:space="1"/>
      </w:pBdr>
      <w:spacing w:before="0" w:after="0" w:lin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rPr>
        <w:color w:val="0000ff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rPr>
        <w:color w:val="0000f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9d80f160ceda46a0c428e3f11b44292408e756e.png"/><Relationship Id="rId1" Type="http://schemas.openxmlformats.org/officeDocument/2006/relationships/image" Target="media/c6def09470282b67055fc2b5425e4574cb4c9410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2026-02-03T09:08:01.753Z</dcterms:created>
  <dcterms:modified xsi:type="dcterms:W3CDTF">2026-02-03T09:08:01.753Z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