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D8B0" w14:textId="77777777" w:rsidR="00792707" w:rsidRDefault="00792707">
      <w:pPr>
        <w:pStyle w:val="Title"/>
      </w:pPr>
    </w:p>
    <w:p w14:paraId="53DB94D9" w14:textId="77777777" w:rsidR="00792707" w:rsidRDefault="00792707">
      <w:pPr>
        <w:pStyle w:val="Title"/>
      </w:pPr>
    </w:p>
    <w:p w14:paraId="4573A824" w14:textId="5F18C21C" w:rsidR="00203364" w:rsidRDefault="00000000">
      <w:pPr>
        <w:pStyle w:val="Title"/>
      </w:pPr>
      <w:r>
        <w:t>Analytical Reporting Requirements for Credit Card Acquisition</w:t>
      </w:r>
    </w:p>
    <w:p w14:paraId="010652FC" w14:textId="77777777" w:rsidR="00203364" w:rsidRDefault="00000000">
      <w:r>
        <w:t>This document outlines the essential reporting needs of the Credit Acquisition business function to monitor performance, inform decisions, and drive continuous improvement across the credit card lifecycle. These reports support multiple teams including marketing, product, risk, and operations.</w:t>
      </w:r>
    </w:p>
    <w:p w14:paraId="6AAA4238" w14:textId="77777777" w:rsidR="00203364" w:rsidRDefault="00000000">
      <w:pPr>
        <w:pStyle w:val="Heading1"/>
      </w:pPr>
      <w:r>
        <w:t>1. Application &amp; Activation Funnel Report</w:t>
      </w:r>
    </w:p>
    <w:p w14:paraId="20BB52C9" w14:textId="77777777" w:rsidR="00203364" w:rsidRDefault="00000000">
      <w:r>
        <w:t>To manage and optimize the end-to-end application process, this report provides visibility into how applicants progress through each acquisition stage—from application to activation. It helps identify bottlenecks, improve operational efficiency, and support growth targets.</w:t>
      </w:r>
    </w:p>
    <w:p w14:paraId="4D63B24D" w14:textId="77777777" w:rsidR="00203364" w:rsidRDefault="00000000">
      <w:pPr>
        <w:pStyle w:val="Heading2"/>
      </w:pPr>
      <w:r>
        <w:t>Objective</w:t>
      </w:r>
    </w:p>
    <w:p w14:paraId="04BC002E" w14:textId="77777777" w:rsidR="00203364" w:rsidRDefault="00000000">
      <w:r>
        <w:t>Provide comprehensive visibility into the customer journey from credit card application to activation, enabling analysis of conversion effectiveness and process efficiency.</w:t>
      </w:r>
    </w:p>
    <w:p w14:paraId="3B5F8DC6" w14:textId="77777777" w:rsidR="00203364" w:rsidRDefault="00000000">
      <w:pPr>
        <w:pStyle w:val="Heading2"/>
      </w:pPr>
      <w:r>
        <w:t>Business Use Cases</w:t>
      </w:r>
    </w:p>
    <w:p w14:paraId="5BCEAD16" w14:textId="77777777" w:rsidR="00203364" w:rsidRDefault="00000000">
      <w:r>
        <w:t>This report allows stakeholders to monitor trends in application volumes and approval rates, detect drop-offs between stages, and implement targeted improvements to streamline the onboarding funnel.</w:t>
      </w:r>
    </w:p>
    <w:p w14:paraId="22D2FBC3" w14:textId="77777777" w:rsidR="00203364" w:rsidRDefault="00000000">
      <w:pPr>
        <w:pStyle w:val="Heading2"/>
      </w:pPr>
      <w:r>
        <w:t>Key Data Points</w:t>
      </w:r>
    </w:p>
    <w:p w14:paraId="1311285B" w14:textId="77777777" w:rsidR="00203364" w:rsidRDefault="00000000">
      <w:r>
        <w:t>The report is built on application timestamps, card product information, acquisition channels, and applicant demographics such as geography, age group, and income level.</w:t>
      </w:r>
    </w:p>
    <w:p w14:paraId="1445ED99" w14:textId="77777777" w:rsidR="00203364" w:rsidRDefault="00000000">
      <w:pPr>
        <w:pStyle w:val="Heading2"/>
      </w:pPr>
      <w:r>
        <w:t>Metrics &amp; KPIs</w:t>
      </w:r>
    </w:p>
    <w:p w14:paraId="59B8C572" w14:textId="77777777" w:rsidR="00203364" w:rsidRDefault="00000000">
      <w:r>
        <w:t>Key performance indicators include the approval rate, activation rate, average time to approval, and drop-off rate at various funnel stages. These KPIs help quantify conversion efficiency and process delays.</w:t>
      </w:r>
    </w:p>
    <w:p w14:paraId="207B8F77" w14:textId="77777777" w:rsidR="00203364" w:rsidRDefault="00000000">
      <w:pPr>
        <w:pStyle w:val="Heading2"/>
      </w:pPr>
      <w:r>
        <w:t>Interactivity Expectations</w:t>
      </w:r>
    </w:p>
    <w:p w14:paraId="3F3B9508" w14:textId="77777777" w:rsidR="00203364" w:rsidRDefault="00000000">
      <w:r>
        <w:t>The report should allow users to explore performance at finer granularity such as by acquisition channel or geographic area. Users should also be able to view application-level activity starting from application to final activation, and aggregate trends across products or customer segments.</w:t>
      </w:r>
    </w:p>
    <w:p w14:paraId="6BD134B6" w14:textId="77777777" w:rsidR="00203364" w:rsidRDefault="00000000">
      <w:pPr>
        <w:pStyle w:val="Heading2"/>
      </w:pPr>
      <w:r>
        <w:t>Key Calculations</w:t>
      </w:r>
    </w:p>
    <w:p w14:paraId="53E01E08" w14:textId="77777777" w:rsidR="00203364" w:rsidRDefault="00000000">
      <w:pPr>
        <w:pStyle w:val="ListBullet"/>
      </w:pPr>
      <w:r>
        <w:t>Approval Rate = (Approved ÷ Total Applications) × 100</w:t>
      </w:r>
    </w:p>
    <w:p w14:paraId="57ECF2BE" w14:textId="77777777" w:rsidR="00203364" w:rsidRDefault="00000000">
      <w:pPr>
        <w:pStyle w:val="ListBullet"/>
      </w:pPr>
      <w:r>
        <w:t>Activation Rate = (Activated ÷ Approved) × 100</w:t>
      </w:r>
    </w:p>
    <w:p w14:paraId="38295B0F" w14:textId="77777777" w:rsidR="00203364" w:rsidRDefault="00000000">
      <w:pPr>
        <w:pStyle w:val="ListBullet"/>
      </w:pPr>
      <w:r>
        <w:t>Average Time to Approval = Average of (Approval Date – Application Date)</w:t>
      </w:r>
    </w:p>
    <w:p w14:paraId="259727D7" w14:textId="77777777" w:rsidR="00203364" w:rsidRDefault="00000000">
      <w:pPr>
        <w:pStyle w:val="ListBullet"/>
      </w:pPr>
      <w:r>
        <w:t>Drop-off Rate = (Applications – Activations) ÷ Applications × 100</w:t>
      </w:r>
    </w:p>
    <w:p w14:paraId="32E03155" w14:textId="77777777" w:rsidR="00203364" w:rsidRDefault="00000000">
      <w:pPr>
        <w:pStyle w:val="Heading2"/>
      </w:pPr>
      <w:r>
        <w:t>Primary Users</w:t>
      </w:r>
    </w:p>
    <w:p w14:paraId="5DD155A1" w14:textId="77777777" w:rsidR="00203364" w:rsidRDefault="00000000">
      <w:r>
        <w:t>Credit product managers, onboarding operations teams, customer experience teams, and analytics leads.</w:t>
      </w:r>
    </w:p>
    <w:p w14:paraId="42CEF3D4" w14:textId="77777777" w:rsidR="00203364" w:rsidRDefault="00000000">
      <w:pPr>
        <w:pStyle w:val="Heading2"/>
      </w:pPr>
      <w:r>
        <w:t>Security Access</w:t>
      </w:r>
    </w:p>
    <w:p w14:paraId="186CECE7" w14:textId="77777777" w:rsidR="00203364" w:rsidRDefault="00000000">
      <w:r>
        <w:t>Access to this report should be role-based, with only authorized users from the credit card product and operations functions having access to personally identifiable information (PII) and customer-level data.</w:t>
      </w:r>
    </w:p>
    <w:p w14:paraId="25C90813" w14:textId="77777777" w:rsidR="00203364" w:rsidRDefault="00000000">
      <w:pPr>
        <w:pStyle w:val="Heading2"/>
      </w:pPr>
      <w:r>
        <w:t>Key Business Questions Answered</w:t>
      </w:r>
    </w:p>
    <w:p w14:paraId="2C47968C" w14:textId="77777777" w:rsidR="00203364" w:rsidRDefault="00000000">
      <w:pPr>
        <w:pStyle w:val="ListBullet"/>
      </w:pPr>
      <w:r>
        <w:t>Where are the biggest drop-offs in the acquisition funnel?</w:t>
      </w:r>
    </w:p>
    <w:p w14:paraId="516743F0" w14:textId="77777777" w:rsidR="00203364" w:rsidRDefault="00000000">
      <w:pPr>
        <w:pStyle w:val="ListBullet"/>
      </w:pPr>
      <w:r>
        <w:t>How quickly are applications moving through approval to activation?</w:t>
      </w:r>
    </w:p>
    <w:p w14:paraId="01A6282E" w14:textId="77777777" w:rsidR="00203364" w:rsidRDefault="00000000">
      <w:pPr>
        <w:pStyle w:val="ListBullet"/>
      </w:pPr>
      <w:r>
        <w:t>Which channels or customer segments are underperforming in conversions?</w:t>
      </w:r>
    </w:p>
    <w:p w14:paraId="5E6025F4" w14:textId="77777777" w:rsidR="00203364" w:rsidRDefault="00000000">
      <w:pPr>
        <w:pStyle w:val="Heading1"/>
      </w:pPr>
      <w:r>
        <w:t>2. Campaign Performance Analytics Report</w:t>
      </w:r>
    </w:p>
    <w:p w14:paraId="299CF927" w14:textId="77777777" w:rsidR="00203364" w:rsidRDefault="00000000">
      <w:r>
        <w:t>To evaluate the effectiveness of marketing investments, this report analyzes how different campaigns perform in terms of customer acquisition outcomes. It supports decisions related to budget optimization and future campaign planning.</w:t>
      </w:r>
    </w:p>
    <w:p w14:paraId="060F279C" w14:textId="77777777" w:rsidR="00203364" w:rsidRDefault="00000000">
      <w:pPr>
        <w:pStyle w:val="Heading2"/>
      </w:pPr>
      <w:r>
        <w:t>Objective</w:t>
      </w:r>
    </w:p>
    <w:p w14:paraId="0E6F485E" w14:textId="77777777" w:rsidR="00203364" w:rsidRDefault="00000000">
      <w:r>
        <w:t>Evaluate marketing campaign effectiveness in driving applications and activations, and optimize channel investment.</w:t>
      </w:r>
    </w:p>
    <w:p w14:paraId="5E37F691" w14:textId="77777777" w:rsidR="00203364" w:rsidRDefault="00000000">
      <w:pPr>
        <w:pStyle w:val="Heading2"/>
      </w:pPr>
      <w:r>
        <w:t>Business Use Cases</w:t>
      </w:r>
    </w:p>
    <w:p w14:paraId="23FB1043" w14:textId="77777777" w:rsidR="00203364" w:rsidRDefault="00000000">
      <w:r>
        <w:t>This report helps compare the efficiency of campaigns across products and channels, determine cost per acquisition, and analyze campaign ROI to prioritize high-performing campaigns.</w:t>
      </w:r>
    </w:p>
    <w:p w14:paraId="71ABB048" w14:textId="77777777" w:rsidR="00203364" w:rsidRDefault="00000000">
      <w:pPr>
        <w:pStyle w:val="Heading2"/>
      </w:pPr>
      <w:r>
        <w:t>Key Data Points</w:t>
      </w:r>
    </w:p>
    <w:p w14:paraId="6296A11B" w14:textId="77777777" w:rsidR="00203364" w:rsidRDefault="00000000">
      <w:r>
        <w:t>The report uses campaign attributes including campaign type, channel, start and end dates, marketing costs, and application and activation volumes.</w:t>
      </w:r>
    </w:p>
    <w:p w14:paraId="47AF78D4" w14:textId="77777777" w:rsidR="00203364" w:rsidRDefault="00000000">
      <w:pPr>
        <w:pStyle w:val="Heading2"/>
      </w:pPr>
      <w:r>
        <w:t>Metrics &amp; KPIs</w:t>
      </w:r>
    </w:p>
    <w:p w14:paraId="31BB25B3" w14:textId="77777777" w:rsidR="00203364" w:rsidRDefault="00000000">
      <w:r>
        <w:t>Performance is measured through application-to-activation conversion rate, cost per acquisition, return on investment, and uplift in activation attributed to each campaign.</w:t>
      </w:r>
    </w:p>
    <w:p w14:paraId="73A1FED8" w14:textId="77777777" w:rsidR="00203364" w:rsidRDefault="00000000">
      <w:pPr>
        <w:pStyle w:val="Heading2"/>
      </w:pPr>
      <w:r>
        <w:t>Interactivity Expectations</w:t>
      </w:r>
    </w:p>
    <w:p w14:paraId="28BA94DD" w14:textId="77777777" w:rsidR="00203364" w:rsidRDefault="00000000">
      <w:r>
        <w:t>Users should be able to drill into specific campaigns to evaluate their detailed performance, explore applicant behavior linked to campaign timelines, and roll up insights by campaign quarter or marketing strategy.</w:t>
      </w:r>
    </w:p>
    <w:p w14:paraId="18EDA772" w14:textId="77777777" w:rsidR="00203364" w:rsidRDefault="00000000">
      <w:pPr>
        <w:pStyle w:val="Heading2"/>
      </w:pPr>
      <w:r>
        <w:t>Key Calculations</w:t>
      </w:r>
    </w:p>
    <w:p w14:paraId="703D8CFD" w14:textId="77777777" w:rsidR="00203364" w:rsidRDefault="00000000">
      <w:pPr>
        <w:pStyle w:val="ListBullet"/>
      </w:pPr>
      <w:r>
        <w:t>Cost per Acquisition = Campaign Cost ÷ Activations</w:t>
      </w:r>
    </w:p>
    <w:p w14:paraId="0456B82E" w14:textId="77777777" w:rsidR="00203364" w:rsidRDefault="00000000">
      <w:pPr>
        <w:pStyle w:val="ListBullet"/>
      </w:pPr>
      <w:r>
        <w:t>Campaign ROI = (Revenue from Activations – Campaign Cost) ÷ Campaign Cost</w:t>
      </w:r>
    </w:p>
    <w:p w14:paraId="0DE47057" w14:textId="77777777" w:rsidR="00203364" w:rsidRDefault="00000000">
      <w:pPr>
        <w:pStyle w:val="ListBullet"/>
      </w:pPr>
      <w:r>
        <w:t>Conversion Rate = Activations ÷ Applications × 100</w:t>
      </w:r>
    </w:p>
    <w:p w14:paraId="0FB672DB" w14:textId="77777777" w:rsidR="00203364" w:rsidRDefault="00000000">
      <w:pPr>
        <w:pStyle w:val="Heading2"/>
      </w:pPr>
      <w:r>
        <w:t>Primary Users</w:t>
      </w:r>
    </w:p>
    <w:p w14:paraId="6560E657" w14:textId="77777777" w:rsidR="00203364" w:rsidRDefault="00000000">
      <w:r>
        <w:t>Marketing team, digital acquisition managers, campaign planners, and finance business partners.</w:t>
      </w:r>
    </w:p>
    <w:p w14:paraId="51718CF1" w14:textId="77777777" w:rsidR="00203364" w:rsidRDefault="00000000">
      <w:pPr>
        <w:pStyle w:val="Heading2"/>
      </w:pPr>
      <w:r>
        <w:t>Security Access</w:t>
      </w:r>
    </w:p>
    <w:p w14:paraId="0C38E4A0" w14:textId="77777777" w:rsidR="00203364" w:rsidRDefault="00000000">
      <w:r>
        <w:t>Campaign performance data should be shared with marketing and finance teams; access to applicant-level drill-throughs should be restricted to authorized users with data governance clearance.</w:t>
      </w:r>
    </w:p>
    <w:p w14:paraId="7DA79740" w14:textId="77777777" w:rsidR="00203364" w:rsidRDefault="00000000">
      <w:pPr>
        <w:pStyle w:val="Heading2"/>
      </w:pPr>
      <w:r>
        <w:t>Key Business Questions Answered</w:t>
      </w:r>
    </w:p>
    <w:p w14:paraId="21627D3F" w14:textId="77777777" w:rsidR="00203364" w:rsidRDefault="00000000">
      <w:pPr>
        <w:pStyle w:val="ListBullet"/>
      </w:pPr>
      <w:r>
        <w:t>Which campaigns are delivering the highest ROI and lowest cost per acquisition?</w:t>
      </w:r>
    </w:p>
    <w:p w14:paraId="5A6B8B43" w14:textId="77777777" w:rsidR="00203364" w:rsidRDefault="00000000">
      <w:pPr>
        <w:pStyle w:val="ListBullet"/>
      </w:pPr>
      <w:r>
        <w:t>What channels are most effective in converting prospects to cardholders?</w:t>
      </w:r>
    </w:p>
    <w:p w14:paraId="6ACA7E13" w14:textId="77777777" w:rsidR="00203364" w:rsidRDefault="00000000">
      <w:pPr>
        <w:pStyle w:val="ListBullet"/>
      </w:pPr>
      <w:r>
        <w:t>How does campaign timing and targeting affect application and activation rates?</w:t>
      </w:r>
    </w:p>
    <w:p w14:paraId="75539EF4" w14:textId="77777777" w:rsidR="00203364" w:rsidRDefault="00000000">
      <w:pPr>
        <w:pStyle w:val="Heading1"/>
      </w:pPr>
      <w:r>
        <w:t>3. Credit Risk Segmentation Report</w:t>
      </w:r>
    </w:p>
    <w:p w14:paraId="2405E0D1" w14:textId="77777777" w:rsidR="00203364" w:rsidRDefault="00000000">
      <w:r>
        <w:t>Understanding applicant credit quality is critical to managing portfolio risk. This report segments applicants by credit scores and demographic attributes to guide approval strategies and underwriting policy refinements.</w:t>
      </w:r>
    </w:p>
    <w:p w14:paraId="108E743E" w14:textId="77777777" w:rsidR="00203364" w:rsidRDefault="00000000">
      <w:pPr>
        <w:pStyle w:val="Heading2"/>
      </w:pPr>
      <w:r>
        <w:t>Objective</w:t>
      </w:r>
    </w:p>
    <w:p w14:paraId="440E187C" w14:textId="77777777" w:rsidR="00203364" w:rsidRDefault="00000000">
      <w:r>
        <w:t>Segment applicants by creditworthiness and assess the impact of credit risk on approval and portfolio quality.</w:t>
      </w:r>
    </w:p>
    <w:p w14:paraId="6BCE1C18" w14:textId="77777777" w:rsidR="00203364" w:rsidRDefault="00000000">
      <w:pPr>
        <w:pStyle w:val="Heading2"/>
      </w:pPr>
      <w:r>
        <w:t>Business Use Cases</w:t>
      </w:r>
    </w:p>
    <w:p w14:paraId="5D18B6C2" w14:textId="77777777" w:rsidR="00203364" w:rsidRDefault="00000000">
      <w:r>
        <w:t>This report supports credit policy tuning by revealing how approval and decline rates vary across risk bands. It helps teams develop differentiated risk strategies based on applicant profiles and acquisition channels.</w:t>
      </w:r>
    </w:p>
    <w:p w14:paraId="18281C00" w14:textId="77777777" w:rsidR="00203364" w:rsidRDefault="00000000">
      <w:pPr>
        <w:pStyle w:val="Heading2"/>
      </w:pPr>
      <w:r>
        <w:t>Key Data Points</w:t>
      </w:r>
    </w:p>
    <w:p w14:paraId="55C6F893" w14:textId="77777777" w:rsidR="00203364" w:rsidRDefault="00000000">
      <w:r>
        <w:t>The report includes applicant demographic details, income range, employment type, credit score values, and application outcomes linked to card products.</w:t>
      </w:r>
    </w:p>
    <w:p w14:paraId="4D3B11AB" w14:textId="77777777" w:rsidR="00203364" w:rsidRDefault="00000000">
      <w:pPr>
        <w:pStyle w:val="Heading2"/>
      </w:pPr>
      <w:r>
        <w:t>Metrics &amp; KPIs</w:t>
      </w:r>
    </w:p>
    <w:p w14:paraId="6E21A708" w14:textId="77777777" w:rsidR="00203364" w:rsidRDefault="00000000">
      <w:r>
        <w:t>Metrics such as average credit score, approval rate by risk tier, decline rate for high-risk segments, and credit score distribution by product type offer a lens into credit strategy performance.</w:t>
      </w:r>
    </w:p>
    <w:p w14:paraId="1C11DCEA" w14:textId="77777777" w:rsidR="00203364" w:rsidRDefault="00000000">
      <w:pPr>
        <w:pStyle w:val="Heading2"/>
      </w:pPr>
      <w:r>
        <w:t>Interactivity Expectations</w:t>
      </w:r>
    </w:p>
    <w:p w14:paraId="7454ABFC" w14:textId="77777777" w:rsidR="00203364" w:rsidRDefault="00000000">
      <w:r>
        <w:t>The report should enable users to segment data by risk bands and analyze their impact on approvals. Users should be able to investigate trends behind approval or rejection within each band, and aggregate credit performance by acquisition region or channel.</w:t>
      </w:r>
    </w:p>
    <w:p w14:paraId="6F56DE7A" w14:textId="77777777" w:rsidR="00203364" w:rsidRDefault="00000000">
      <w:pPr>
        <w:pStyle w:val="Heading2"/>
      </w:pPr>
      <w:r>
        <w:t>Key Calculations</w:t>
      </w:r>
    </w:p>
    <w:p w14:paraId="72A1D8F1" w14:textId="77777777" w:rsidR="00203364" w:rsidRDefault="00000000">
      <w:pPr>
        <w:pStyle w:val="ListBullet"/>
      </w:pPr>
      <w:r>
        <w:t>Risk Tier = e.g., &lt;580 = High Risk, 580–699 = Moderate, ≥700 = Low</w:t>
      </w:r>
    </w:p>
    <w:p w14:paraId="460C81AC" w14:textId="77777777" w:rsidR="00203364" w:rsidRDefault="00000000">
      <w:pPr>
        <w:pStyle w:val="ListBullet"/>
      </w:pPr>
      <w:r>
        <w:t>Decline Rate = Rejections ÷ Total Applications × 100</w:t>
      </w:r>
    </w:p>
    <w:p w14:paraId="68D78184" w14:textId="77777777" w:rsidR="00203364" w:rsidRDefault="00000000">
      <w:pPr>
        <w:pStyle w:val="ListBullet"/>
      </w:pPr>
      <w:r>
        <w:t>Average Credit Score = Total Score ÷ Number of Applicants</w:t>
      </w:r>
    </w:p>
    <w:p w14:paraId="2E90A395" w14:textId="77777777" w:rsidR="00203364" w:rsidRDefault="00000000">
      <w:pPr>
        <w:pStyle w:val="Heading2"/>
      </w:pPr>
      <w:r>
        <w:t>Primary Users</w:t>
      </w:r>
    </w:p>
    <w:p w14:paraId="7DE063EA" w14:textId="77777777" w:rsidR="00203364" w:rsidRDefault="00000000">
      <w:r>
        <w:t>Credit risk managers, underwriting policy analysts, compliance and regulatory reporting teams.</w:t>
      </w:r>
    </w:p>
    <w:p w14:paraId="24661194" w14:textId="77777777" w:rsidR="00203364" w:rsidRDefault="00000000">
      <w:pPr>
        <w:pStyle w:val="Heading2"/>
      </w:pPr>
      <w:r>
        <w:t>Security Access</w:t>
      </w:r>
    </w:p>
    <w:p w14:paraId="7ABD211F" w14:textId="77777777" w:rsidR="00203364" w:rsidRDefault="00000000">
      <w:r>
        <w:t>Strict access controls must be in place due to the use of sensitive credit score and demographic data. Access should be granted only to users with regulatory or risk management clearance.</w:t>
      </w:r>
    </w:p>
    <w:p w14:paraId="44AC919B" w14:textId="77777777" w:rsidR="00203364" w:rsidRDefault="00000000">
      <w:pPr>
        <w:pStyle w:val="Heading2"/>
      </w:pPr>
      <w:r>
        <w:t>Key Business Questions Answered</w:t>
      </w:r>
    </w:p>
    <w:p w14:paraId="2B5ABE27" w14:textId="77777777" w:rsidR="00203364" w:rsidRDefault="00000000">
      <w:pPr>
        <w:pStyle w:val="ListBullet"/>
      </w:pPr>
      <w:r>
        <w:t>How do approval rates vary across credit risk tiers?</w:t>
      </w:r>
    </w:p>
    <w:p w14:paraId="533DA5A6" w14:textId="77777777" w:rsidR="00203364" w:rsidRDefault="00000000">
      <w:pPr>
        <w:pStyle w:val="ListBullet"/>
      </w:pPr>
      <w:r>
        <w:t>Are current underwriting thresholds aligned with risk appetite and approval goals?</w:t>
      </w:r>
    </w:p>
    <w:p w14:paraId="7F08B614" w14:textId="77777777" w:rsidR="00203364" w:rsidRDefault="00000000">
      <w:pPr>
        <w:pStyle w:val="ListBullet"/>
      </w:pPr>
      <w:r>
        <w:t>Which customer segments pose the highest risk and require closer monitoring?</w:t>
      </w:r>
    </w:p>
    <w:p w14:paraId="0C3E293C" w14:textId="77777777" w:rsidR="00203364" w:rsidRDefault="00000000">
      <w:pPr>
        <w:pStyle w:val="Heading1"/>
      </w:pPr>
      <w:r>
        <w:t>4. Fraud Screening Effectiveness Report</w:t>
      </w:r>
    </w:p>
    <w:p w14:paraId="47C0A1F6" w14:textId="77777777" w:rsidR="00203364" w:rsidRDefault="00000000">
      <w:r>
        <w:t>Mitigating fraud during the acquisition process is vital to maintaining credit quality and operational safety. This report helps monitor how effective the current fraud rules and checks are in identifying and preventing fraud attempts.</w:t>
      </w:r>
    </w:p>
    <w:p w14:paraId="441238ED" w14:textId="77777777" w:rsidR="00203364" w:rsidRDefault="00000000">
      <w:pPr>
        <w:pStyle w:val="Heading2"/>
      </w:pPr>
      <w:r>
        <w:t>Objective</w:t>
      </w:r>
    </w:p>
    <w:p w14:paraId="0A1EBEC8" w14:textId="77777777" w:rsidR="00203364" w:rsidRDefault="00000000">
      <w:r>
        <w:t>Monitor fraud detection outcomes to enhance the accuracy of fraud identification during the acquisition process.</w:t>
      </w:r>
    </w:p>
    <w:p w14:paraId="5889BA99" w14:textId="77777777" w:rsidR="00203364" w:rsidRDefault="00000000">
      <w:pPr>
        <w:pStyle w:val="Heading2"/>
      </w:pPr>
      <w:r>
        <w:t>Business Use Cases</w:t>
      </w:r>
    </w:p>
    <w:p w14:paraId="36C86569" w14:textId="77777777" w:rsidR="00203364" w:rsidRDefault="00000000">
      <w:r>
        <w:t>The report allows fraud operations teams to evaluate the performance of individual fraud checks, track false positives, and refine escalation protocols to reduce unnecessary reviews while improving fraud detection.</w:t>
      </w:r>
    </w:p>
    <w:p w14:paraId="40E74137" w14:textId="77777777" w:rsidR="00203364" w:rsidRDefault="00000000">
      <w:pPr>
        <w:pStyle w:val="Heading2"/>
      </w:pPr>
      <w:r>
        <w:t>Key Data Points</w:t>
      </w:r>
    </w:p>
    <w:p w14:paraId="02BDAD2E" w14:textId="77777777" w:rsidR="00203364" w:rsidRDefault="00000000">
      <w:r>
        <w:t>It leverages fraud check types, screening results, dates of check execution, and application outcomes.</w:t>
      </w:r>
    </w:p>
    <w:p w14:paraId="41A97B27" w14:textId="77777777" w:rsidR="00203364" w:rsidRDefault="00000000">
      <w:pPr>
        <w:pStyle w:val="Heading2"/>
      </w:pPr>
      <w:r>
        <w:t>Metrics &amp; KPIs</w:t>
      </w:r>
    </w:p>
    <w:p w14:paraId="1DE65EEA" w14:textId="77777777" w:rsidR="00203364" w:rsidRDefault="00000000">
      <w:r>
        <w:t>Performance is tracked through fraud detection rate, false positive rate, manual escalation rate, and clearance rate, offering insight into the precision and efficiency of fraud systems.</w:t>
      </w:r>
    </w:p>
    <w:p w14:paraId="29D3F606" w14:textId="77777777" w:rsidR="00203364" w:rsidRDefault="00000000">
      <w:pPr>
        <w:pStyle w:val="Heading2"/>
      </w:pPr>
      <w:r>
        <w:t>Interactivity Expectations</w:t>
      </w:r>
    </w:p>
    <w:p w14:paraId="439214CD" w14:textId="77777777" w:rsidR="00203364" w:rsidRDefault="00000000">
      <w:r>
        <w:t>Users should be able to analyze fraud performance by individual fraud rule or channel. They should also be able to trace flagged cases to their resolution paths and compare monthly or product-level fraud trends over time.</w:t>
      </w:r>
    </w:p>
    <w:p w14:paraId="5634E765" w14:textId="77777777" w:rsidR="00203364" w:rsidRDefault="00000000">
      <w:pPr>
        <w:pStyle w:val="Heading2"/>
      </w:pPr>
      <w:r>
        <w:t>Key Calculations</w:t>
      </w:r>
    </w:p>
    <w:p w14:paraId="469DEF3F" w14:textId="77777777" w:rsidR="00203364" w:rsidRDefault="00000000">
      <w:pPr>
        <w:pStyle w:val="ListBullet"/>
      </w:pPr>
      <w:r>
        <w:t>Fraud Detection Rate = Confirmed Fraud ÷ Total Applications × 100</w:t>
      </w:r>
    </w:p>
    <w:p w14:paraId="33F030C2" w14:textId="77777777" w:rsidR="00203364" w:rsidRDefault="00000000">
      <w:pPr>
        <w:pStyle w:val="ListBullet"/>
      </w:pPr>
      <w:r>
        <w:t>False Positive Rate = Cleared Fraud Flags ÷ Total Fraud Flags × 100</w:t>
      </w:r>
    </w:p>
    <w:p w14:paraId="208B5965" w14:textId="77777777" w:rsidR="00203364" w:rsidRDefault="00000000">
      <w:pPr>
        <w:pStyle w:val="ListBullet"/>
      </w:pPr>
      <w:r>
        <w:t>Escalation Rate = Manually Reviewed Applications ÷ Total Flags × 100</w:t>
      </w:r>
    </w:p>
    <w:p w14:paraId="1CF14625" w14:textId="77777777" w:rsidR="00203364" w:rsidRDefault="00000000">
      <w:pPr>
        <w:pStyle w:val="Heading2"/>
      </w:pPr>
      <w:r>
        <w:t>Primary Users</w:t>
      </w:r>
    </w:p>
    <w:p w14:paraId="6F1CB3BC" w14:textId="77777777" w:rsidR="00203364" w:rsidRDefault="00000000">
      <w:r>
        <w:t>Fraud management teams, compliance officers, and data science teams responsible for fraud model tuning.</w:t>
      </w:r>
    </w:p>
    <w:p w14:paraId="3B281946" w14:textId="77777777" w:rsidR="00203364" w:rsidRDefault="00000000">
      <w:pPr>
        <w:pStyle w:val="Heading2"/>
      </w:pPr>
      <w:r>
        <w:t>Security Access</w:t>
      </w:r>
    </w:p>
    <w:p w14:paraId="0C5E7484" w14:textId="77777777" w:rsidR="00203364" w:rsidRDefault="00000000">
      <w:r>
        <w:t>Due to the sensitive nature of flagged applications and fraud rule logic, access should be limited to fraud control and compliance roles with appropriate audit logging.</w:t>
      </w:r>
    </w:p>
    <w:p w14:paraId="1EA89684" w14:textId="77777777" w:rsidR="00203364" w:rsidRDefault="00000000">
      <w:pPr>
        <w:pStyle w:val="Heading2"/>
      </w:pPr>
      <w:r>
        <w:t>Key Business Questions Answered</w:t>
      </w:r>
    </w:p>
    <w:p w14:paraId="44A30006" w14:textId="77777777" w:rsidR="00203364" w:rsidRDefault="00000000">
      <w:pPr>
        <w:pStyle w:val="ListBullet"/>
      </w:pPr>
      <w:r>
        <w:t>How effective are current fraud checks in detecting true fraud?</w:t>
      </w:r>
    </w:p>
    <w:p w14:paraId="3C44B741" w14:textId="77777777" w:rsidR="00203364" w:rsidRDefault="00000000">
      <w:pPr>
        <w:pStyle w:val="ListBullet"/>
      </w:pPr>
      <w:r>
        <w:t>What is the false positive rate and how is it impacting legitimate applicants?</w:t>
      </w:r>
    </w:p>
    <w:p w14:paraId="3337009F" w14:textId="77777777" w:rsidR="00203364" w:rsidRDefault="00000000">
      <w:pPr>
        <w:pStyle w:val="ListBullet"/>
      </w:pPr>
      <w:r>
        <w:t>Are there fraud detection rules that need adjustment based on recent outcomes?</w:t>
      </w:r>
    </w:p>
    <w:p w14:paraId="601F9C97" w14:textId="77777777" w:rsidR="00203364" w:rsidRDefault="00000000">
      <w:pPr>
        <w:pStyle w:val="Heading1"/>
      </w:pPr>
      <w:r>
        <w:t>5. First Transaction Behavior Report</w:t>
      </w:r>
    </w:p>
    <w:p w14:paraId="37C73BFA" w14:textId="77777777" w:rsidR="00203364" w:rsidRDefault="00000000">
      <w:r>
        <w:t>Activating usage behavior soon after card issuance is key to long-term engagement. This report provides insights into first-month transaction patterns to identify low-usage segments and refine post-onboarding engagement efforts.</w:t>
      </w:r>
    </w:p>
    <w:p w14:paraId="7154A79B" w14:textId="77777777" w:rsidR="00203364" w:rsidRDefault="00000000">
      <w:pPr>
        <w:pStyle w:val="Heading2"/>
      </w:pPr>
      <w:r>
        <w:t>Objective</w:t>
      </w:r>
    </w:p>
    <w:p w14:paraId="57AED194" w14:textId="77777777" w:rsidR="00203364" w:rsidRDefault="00000000">
      <w:r>
        <w:t>Understand post-activation engagement by analyzing transaction activity within the initial 30-day period.</w:t>
      </w:r>
    </w:p>
    <w:p w14:paraId="68AB06BC" w14:textId="77777777" w:rsidR="00203364" w:rsidRDefault="00000000">
      <w:pPr>
        <w:pStyle w:val="Heading2"/>
      </w:pPr>
      <w:r>
        <w:t>Business Use Cases</w:t>
      </w:r>
    </w:p>
    <w:p w14:paraId="042E50B0" w14:textId="77777777" w:rsidR="00203364" w:rsidRDefault="00000000">
      <w:r>
        <w:t>The report identifies how quickly new cardholders begin transacting, segments that show low engagement, and product fit through early spend patterns—informing strategies to reduce dormancy and improve activation ROI.</w:t>
      </w:r>
    </w:p>
    <w:p w14:paraId="7FDA231C" w14:textId="77777777" w:rsidR="00203364" w:rsidRDefault="00000000">
      <w:pPr>
        <w:pStyle w:val="Heading2"/>
      </w:pPr>
      <w:r>
        <w:t>Key Data Points</w:t>
      </w:r>
    </w:p>
    <w:p w14:paraId="6E81EBB2" w14:textId="77777777" w:rsidR="00203364" w:rsidRDefault="00000000">
      <w:r>
        <w:t>Data includes card activation and first transaction dates, transaction amounts, promotional offer details, acquisition channel, and card product.</w:t>
      </w:r>
    </w:p>
    <w:p w14:paraId="093BF5B1" w14:textId="77777777" w:rsidR="00203364" w:rsidRDefault="00000000">
      <w:pPr>
        <w:pStyle w:val="Heading2"/>
      </w:pPr>
      <w:r>
        <w:t>Metrics &amp; KPIs</w:t>
      </w:r>
    </w:p>
    <w:p w14:paraId="5C4D3BAD" w14:textId="77777777" w:rsidR="00203364" w:rsidRDefault="00000000">
      <w:r>
        <w:t>The report focuses on time to first transaction, average first transaction value, inactive card rate within the first 30 days, and product-level transaction behavior.</w:t>
      </w:r>
    </w:p>
    <w:p w14:paraId="19F7346A" w14:textId="77777777" w:rsidR="00203364" w:rsidRDefault="00000000">
      <w:pPr>
        <w:pStyle w:val="Heading2"/>
      </w:pPr>
      <w:r>
        <w:t>Interactivity Expectations</w:t>
      </w:r>
    </w:p>
    <w:p w14:paraId="3BA294CF" w14:textId="77777777" w:rsidR="00203364" w:rsidRDefault="00000000">
      <w:r>
        <w:t>The report should allow teams to analyze customer behavior from activation to first spend across channels and offers. It should also aggregate behavior patterns by geography or demographic segments to identify targeted engagement opportunities.</w:t>
      </w:r>
    </w:p>
    <w:p w14:paraId="67339BEB" w14:textId="77777777" w:rsidR="00203364" w:rsidRDefault="00000000">
      <w:pPr>
        <w:pStyle w:val="Heading2"/>
      </w:pPr>
      <w:r>
        <w:t>Key Calculations</w:t>
      </w:r>
    </w:p>
    <w:p w14:paraId="41F17497" w14:textId="77777777" w:rsidR="00203364" w:rsidRDefault="00000000">
      <w:pPr>
        <w:pStyle w:val="ListBullet"/>
      </w:pPr>
      <w:r>
        <w:t>Time to First Transaction = First Transaction Date – Activation Date</w:t>
      </w:r>
    </w:p>
    <w:p w14:paraId="6712A61C" w14:textId="77777777" w:rsidR="00203364" w:rsidRDefault="00000000">
      <w:pPr>
        <w:pStyle w:val="ListBullet"/>
      </w:pPr>
      <w:r>
        <w:t>Inactive Rate = (No Transactions within 30 Days ÷ Activated Cards) × 100</w:t>
      </w:r>
    </w:p>
    <w:p w14:paraId="517B7788" w14:textId="77777777" w:rsidR="00203364" w:rsidRDefault="00000000">
      <w:pPr>
        <w:pStyle w:val="ListBullet"/>
      </w:pPr>
      <w:r>
        <w:t>Average First Transaction Amount = Total First Transaction Value ÷ Users Who Transacted</w:t>
      </w:r>
    </w:p>
    <w:p w14:paraId="08A583D0" w14:textId="77777777" w:rsidR="00203364" w:rsidRDefault="00000000">
      <w:pPr>
        <w:pStyle w:val="Heading2"/>
      </w:pPr>
      <w:r>
        <w:t>Primary Users</w:t>
      </w:r>
    </w:p>
    <w:p w14:paraId="50BE6926" w14:textId="77777777" w:rsidR="00203364" w:rsidRDefault="00000000">
      <w:r>
        <w:t>Customer engagement teams, lifecycle marketing leads, loyalty and rewards managers.</w:t>
      </w:r>
    </w:p>
    <w:p w14:paraId="33D4C58D" w14:textId="77777777" w:rsidR="00203364" w:rsidRDefault="00000000">
      <w:pPr>
        <w:pStyle w:val="Heading2"/>
      </w:pPr>
      <w:r>
        <w:t>Security Access</w:t>
      </w:r>
    </w:p>
    <w:p w14:paraId="04AB7789" w14:textId="77777777" w:rsidR="00203364" w:rsidRDefault="00000000">
      <w:r>
        <w:t>Access to transaction behavior data should be controlled and anonymized where possible, especially for any downstream usage involving offers or promotions.</w:t>
      </w:r>
    </w:p>
    <w:p w14:paraId="411576EB" w14:textId="77777777" w:rsidR="00203364" w:rsidRDefault="00000000">
      <w:pPr>
        <w:pStyle w:val="Heading2"/>
      </w:pPr>
      <w:r>
        <w:t>Key Business Questions Answered</w:t>
      </w:r>
    </w:p>
    <w:p w14:paraId="6F7FFF64" w14:textId="77777777" w:rsidR="00203364" w:rsidRDefault="00000000">
      <w:pPr>
        <w:pStyle w:val="ListBullet"/>
      </w:pPr>
      <w:r>
        <w:t>How quickly are new cardholders transacting after activation?</w:t>
      </w:r>
    </w:p>
    <w:p w14:paraId="1C75A05B" w14:textId="77777777" w:rsidR="00203364" w:rsidRDefault="00000000">
      <w:pPr>
        <w:pStyle w:val="ListBullet"/>
      </w:pPr>
      <w:r>
        <w:t>What segments are most likely to remain inactive post-activation?</w:t>
      </w:r>
    </w:p>
    <w:p w14:paraId="679594CE" w14:textId="77777777" w:rsidR="00203364" w:rsidRDefault="00000000">
      <w:pPr>
        <w:pStyle w:val="ListBullet"/>
      </w:pPr>
      <w:r>
        <w:t>How can we refine onboarding and promotional campaigns to boost early usage?</w:t>
      </w:r>
    </w:p>
    <w:sectPr w:rsidR="002033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818415">
    <w:abstractNumId w:val="8"/>
  </w:num>
  <w:num w:numId="2" w16cid:durableId="817844239">
    <w:abstractNumId w:val="6"/>
  </w:num>
  <w:num w:numId="3" w16cid:durableId="913708305">
    <w:abstractNumId w:val="5"/>
  </w:num>
  <w:num w:numId="4" w16cid:durableId="32853642">
    <w:abstractNumId w:val="4"/>
  </w:num>
  <w:num w:numId="5" w16cid:durableId="2129398078">
    <w:abstractNumId w:val="7"/>
  </w:num>
  <w:num w:numId="6" w16cid:durableId="1587183305">
    <w:abstractNumId w:val="3"/>
  </w:num>
  <w:num w:numId="7" w16cid:durableId="265190664">
    <w:abstractNumId w:val="2"/>
  </w:num>
  <w:num w:numId="8" w16cid:durableId="392192803">
    <w:abstractNumId w:val="1"/>
  </w:num>
  <w:num w:numId="9" w16cid:durableId="389303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364"/>
    <w:rsid w:val="0029639D"/>
    <w:rsid w:val="00326F90"/>
    <w:rsid w:val="00792707"/>
    <w:rsid w:val="008675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95C056-8707-40CB-9983-9814D307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1582</Words>
  <Characters>9022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Karthikeyan Iyappan</cp:lastModifiedBy>
  <cp:revision>2</cp:revision>
  <dcterms:created xsi:type="dcterms:W3CDTF">2013-12-23T23:15:00Z</dcterms:created>
  <dcterms:modified xsi:type="dcterms:W3CDTF">2025-07-24T14:29:00Z</dcterms:modified>
  <cp:category/>
</cp:coreProperties>
</file>