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C2340"/>
          <w:sz w:val="44"/>
          <w:szCs w:val="44"/>
        </w:rPr>
        <w:t xml:space="preserve">Lexis Nexis Reconciliation Module</w:t>
      </w:r>
    </w:p>
    <w:p>
      <w:pPr>
        <w:spacing w:after="400"/>
      </w:pPr>
      <w:r>
        <w:rPr>
          <w:color w:val="5F5E5A"/>
          <w:sz w:val="32"/>
          <w:szCs w:val="32"/>
        </w:rPr>
        <w:t xml:space="preserve">UI Design Specification</w:t>
      </w:r>
    </w:p>
    <w:p>
      <w:pPr>
        <w:spacing w:after="160"/>
      </w:pPr>
      <w:r>
        <w:rPr>
          <w:i/>
          <w:iCs/>
          <w:color w:val="5F5E5A"/>
        </w:rPr>
        <w:t xml:space="preserve">Bankruptcy / deceased account reconciliation — vendor file vs. invoice, iResolve platform</w:t>
      </w:r>
    </w:p>
    <w:p>
      <w:pPr>
        <w:spacing w:after="160"/>
      </w:pPr>
      <w:r>
        <w:rPr>
          <w:color w:val="5F5E5A"/>
        </w:rPr>
        <w:t xml:space="preserve">Prepared for: VP review · iResolve development team</w:t>
      </w:r>
    </w:p>
    <w:p>
      <w:r>
        <w:br w:type="page"/>
      </w:r>
    </w:p>
    <w:p>
      <w:pPr>
        <w:pStyle w:val="Heading1"/>
        <w:spacing w:after="200" w:before="400"/>
      </w:pPr>
      <w:r>
        <w:t xml:space="preserve">1. Problem statement</w:t>
      </w:r>
    </w:p>
    <w:p>
      <w:pPr>
        <w:spacing w:after="160"/>
      </w:pPr>
      <w:r>
        <w:t xml:space="preserve">The current reconciliation UI presents Lexis Nexis positive-hit counts against vendor invoice counts, but the interface does not communicate confidence, discrepancy reasoning, or review status at a glance. Because each reconciled line represents a real financial decision — count and pay, or dispute — the interface needs to carry the same rigor a Chartered Accountant applies on a physical ledger: every figure traceable, every match explainable, every exception impossible to miss.</w:t>
      </w:r>
    </w:p>
    <w:p>
      <w:pPr>
        <w:spacing w:after="160"/>
      </w:pPr>
      <w:r>
        <w:t xml:space="preserve">This spec translates established audit and finance-industry conventions — tick-mark systems, three-bucket transaction matching, and market-style trend arrows — into a component design for the iResolve module.</w:t>
      </w:r>
    </w:p>
    <w:p>
      <w:pPr>
        <w:pStyle w:val="Heading1"/>
        <w:spacing w:after="200" w:before="400"/>
      </w:pPr>
      <w:r>
        <w:t xml:space="preserve">2. Research grounding</w:t>
      </w:r>
    </w:p>
    <w:p>
      <w:pPr>
        <w:pStyle w:val="Heading2"/>
        <w:spacing w:after="150" w:before="300"/>
      </w:pPr>
      <w:r>
        <w:t xml:space="preserve">2.1 Audit tick-mark convention</w:t>
      </w:r>
    </w:p>
    <w:p>
      <w:pPr>
        <w:spacing w:after="160"/>
      </w:pPr>
      <w:r>
        <w:t xml:space="preserve">Auditors mark verified figures with a small symbol rather than a text label, and rely on a legend printed once per workpaper to define what each symbol means. There is no universal symbol set across firms, but every firm enforces internal consistency and requires the legend to travel with the page. This is the source of the tick-mark and legend-strip components in Section 6.</w:t>
      </w:r>
    </w:p>
    <w:p>
      <w:pPr>
        <w:pStyle w:val="Heading2"/>
        <w:spacing w:after="150" w:before="300"/>
      </w:pPr>
      <w:r>
        <w:t xml:space="preserve">2.2 Three-bucket transaction matching</w:t>
      </w:r>
    </w:p>
    <w:p>
      <w:pPr>
        <w:spacing w:after="160"/>
      </w:pPr>
      <w:r>
        <w:t xml:space="preserve">Commercial reconciliation platforms (e.g. BlackLine Transaction Matching) sort every line into Matched, Suggested Match, or Unmatched, with match rate and exception rate tracked as headline metrics rather than buried in a report. Roughly 80–90% of transactions typically fall into the clean-match bucket, so the UI is designed to keep those quiet and give visual weight to the minority that need a human.</w:t>
      </w:r>
    </w:p>
    <w:p>
      <w:pPr>
        <w:pStyle w:val="Heading2"/>
        <w:spacing w:after="150" w:before="300"/>
      </w:pPr>
      <w:r>
        <w:t xml:space="preserve">2.3 Market-ticker trend indicators</w:t>
      </w:r>
    </w:p>
    <w:p>
      <w:pPr>
        <w:spacing w:after="160"/>
      </w:pPr>
      <w:r>
        <w:t xml:space="preserve">Trading interfaces never show a number alone — price is always paired with a colored up/down indicator showing movement since the last reference point. Applied here, batch-over-batch movement in variance, match rate, and exception count gets the same treatment, so the reviewer immediately knows whether today's batch is better or worse than the last one, not just what today's numbers are.</w:t>
      </w:r>
    </w:p>
    <w:p>
      <w:pPr>
        <w:pStyle w:val="Heading1"/>
        <w:spacing w:after="200" w:before="400"/>
      </w:pPr>
      <w:r>
        <w:t xml:space="preserve">3. Layout architecture</w:t>
      </w:r>
    </w:p>
    <w:p>
      <w:pPr>
        <w:pStyle w:val="ListParagraph"/>
        <w:numPr>
          <w:ilvl w:val="0"/>
          <w:numId w:val="1"/>
        </w:numPr>
        <w:spacing w:after="80"/>
      </w:pPr>
      <w:r>
        <w:t xml:space="preserve">Summary bar (top, full width) — four metric cards: Invoice count, Positive hits, Variance, Match rate. Variance and match rate each carry a trend arrow (Section 5) comparing the current batch to the previous one.</w:t>
      </w:r>
    </w:p>
    <w:p>
      <w:pPr>
        <w:pStyle w:val="ListParagraph"/>
        <w:numPr>
          <w:ilvl w:val="0"/>
          <w:numId w:val="1"/>
        </w:numPr>
        <w:spacing w:after="80"/>
      </w:pPr>
      <w:r>
        <w:t xml:space="preserve">Split panel (primary work area) — vendor file on the left, invoice on the right, each row showing account ID and date. A connector-line overlay is drawn between corresponding rows (Section 4).</w:t>
      </w:r>
    </w:p>
    <w:p>
      <w:pPr>
        <w:pStyle w:val="ListParagraph"/>
        <w:numPr>
          <w:ilvl w:val="0"/>
          <w:numId w:val="1"/>
        </w:numPr>
        <w:spacing w:after="80"/>
      </w:pPr>
      <w:r>
        <w:t xml:space="preserve">Legend strip (bottom, sticky while scrolling) — the tick-mark key, always visible so a reviewer never has to scroll up to decode a symbol.</w:t>
      </w:r>
    </w:p>
    <w:p>
      <w:pPr>
        <w:pStyle w:val="ListParagraph"/>
        <w:numPr>
          <w:ilvl w:val="0"/>
          <w:numId w:val="1"/>
        </w:numPr>
        <w:spacing w:after="80"/>
      </w:pPr>
      <w:r>
        <w:t xml:space="preserve">Row detail drawer (on demand) — opens beside a selected pair with full audit trail: who reviewed it, when, and what tick was applied.</w:t>
      </w:r>
    </w:p>
    <w:p>
      <w:pPr>
        <w:pStyle w:val="Heading1"/>
        <w:spacing w:after="200" w:before="400"/>
      </w:pPr>
      <w:r>
        <w:t xml:space="preserve">4. Connector lines</w:t>
      </w:r>
    </w:p>
    <w:p>
      <w:pPr>
        <w:spacing w:after="160"/>
      </w:pPr>
      <w:r>
        <w:t xml:space="preserve">Connector lines are drawn between the live DOM positions of matched rows, not by row index — file and invoice rows will not always align one-to-one, so lines may cross vertically to reach the true counterpart.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350"/>
        <w:gridCol w:w="5000"/>
      </w:tblGrid>
      <w:tr>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Style</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Color</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Meaning</w:t>
            </w:r>
          </w:p>
        </w:tc>
      </w:tr>
      <w:tr>
        <w:tc>
          <w:tcPr>
            <w:tcMar>
              <w:top w:type="dxa" w:w="80"/>
              <w:left w:type="dxa" w:w="120"/>
              <w:bottom w:type="dxa" w:w="80"/>
              <w:right w:type="dxa" w:w="120"/>
            </w:tcMar>
            <w:vAlign w:val="center"/>
          </w:tcPr>
          <w:p>
            <w:pPr>
              <w:jc w:val="left"/>
            </w:pPr>
            <w:r>
              <w:rPr>
                <w:b w:val="false"/>
                <w:bCs w:val="false"/>
                <w:sz w:val="20"/>
                <w:szCs w:val="20"/>
              </w:rPr>
              <w:t xml:space="preserve">Solid</w:t>
            </w:r>
          </w:p>
        </w:tc>
        <w:tc>
          <w:tcPr>
            <w:tcMar>
              <w:top w:type="dxa" w:w="80"/>
              <w:left w:type="dxa" w:w="120"/>
              <w:bottom w:type="dxa" w:w="80"/>
              <w:right w:type="dxa" w:w="120"/>
            </w:tcMar>
            <w:vAlign w:val="center"/>
          </w:tcPr>
          <w:p>
            <w:pPr>
              <w:jc w:val="left"/>
            </w:pPr>
            <w:r>
              <w:rPr>
                <w:b w:val="false"/>
                <w:bCs w:val="false"/>
                <w:color w:val="0F6E56"/>
                <w:sz w:val="20"/>
                <w:szCs w:val="20"/>
              </w:rPr>
              <w:t xml:space="preserve">Teal</w:t>
            </w:r>
          </w:p>
        </w:tc>
        <w:tc>
          <w:tcPr>
            <w:tcMar>
              <w:top w:type="dxa" w:w="80"/>
              <w:left w:type="dxa" w:w="120"/>
              <w:bottom w:type="dxa" w:w="80"/>
              <w:right w:type="dxa" w:w="120"/>
            </w:tcMar>
            <w:vAlign w:val="center"/>
          </w:tcPr>
          <w:p>
            <w:pPr>
              <w:jc w:val="left"/>
            </w:pPr>
            <w:r>
              <w:rPr>
                <w:b w:val="false"/>
                <w:bCs w:val="false"/>
                <w:sz w:val="20"/>
                <w:szCs w:val="20"/>
              </w:rPr>
              <w:t xml:space="preserve">Confirmed match — account and date agree exactly</w:t>
            </w:r>
          </w:p>
        </w:tc>
      </w:tr>
      <w:tr>
        <w:tc>
          <w:tcPr>
            <w:tcMar>
              <w:top w:type="dxa" w:w="80"/>
              <w:left w:type="dxa" w:w="120"/>
              <w:bottom w:type="dxa" w:w="80"/>
              <w:right w:type="dxa" w:w="120"/>
            </w:tcMar>
            <w:vAlign w:val="center"/>
          </w:tcPr>
          <w:p>
            <w:pPr>
              <w:jc w:val="left"/>
            </w:pPr>
            <w:r>
              <w:rPr>
                <w:b w:val="false"/>
                <w:bCs w:val="false"/>
                <w:sz w:val="20"/>
                <w:szCs w:val="20"/>
              </w:rPr>
              <w:t xml:space="preserve">Dashed</w:t>
            </w:r>
          </w:p>
        </w:tc>
        <w:tc>
          <w:tcPr>
            <w:tcMar>
              <w:top w:type="dxa" w:w="80"/>
              <w:left w:type="dxa" w:w="120"/>
              <w:bottom w:type="dxa" w:w="80"/>
              <w:right w:type="dxa" w:w="120"/>
            </w:tcMar>
            <w:vAlign w:val="center"/>
          </w:tcPr>
          <w:p>
            <w:pPr>
              <w:jc w:val="left"/>
            </w:pPr>
            <w:r>
              <w:rPr>
                <w:b w:val="false"/>
                <w:bCs w:val="false"/>
                <w:color w:val="854F0B"/>
                <w:sz w:val="20"/>
                <w:szCs w:val="20"/>
              </w:rPr>
              <w:t xml:space="preserve">Amber</w:t>
            </w:r>
          </w:p>
        </w:tc>
        <w:tc>
          <w:tcPr>
            <w:tcMar>
              <w:top w:type="dxa" w:w="80"/>
              <w:left w:type="dxa" w:w="120"/>
              <w:bottom w:type="dxa" w:w="80"/>
              <w:right w:type="dxa" w:w="120"/>
            </w:tcMar>
            <w:vAlign w:val="center"/>
          </w:tcPr>
          <w:p>
            <w:pPr>
              <w:jc w:val="left"/>
            </w:pPr>
            <w:r>
              <w:rPr>
                <w:b w:val="false"/>
                <w:bCs w:val="false"/>
                <w:sz w:val="20"/>
                <w:szCs w:val="20"/>
              </w:rPr>
              <w:t xml:space="preserve">Candidate match — same account, date within tolerance window, awaiting confirmation</w:t>
            </w:r>
          </w:p>
        </w:tc>
      </w:tr>
      <w:tr>
        <w:tc>
          <w:tcPr>
            <w:tcMar>
              <w:top w:type="dxa" w:w="80"/>
              <w:left w:type="dxa" w:w="120"/>
              <w:bottom w:type="dxa" w:w="80"/>
              <w:right w:type="dxa" w:w="120"/>
            </w:tcMar>
            <w:vAlign w:val="center"/>
          </w:tcPr>
          <w:p>
            <w:pPr>
              <w:jc w:val="left"/>
            </w:pPr>
            <w:r>
              <w:rPr>
                <w:b w:val="false"/>
                <w:bCs w:val="false"/>
                <w:sz w:val="20"/>
                <w:szCs w:val="20"/>
              </w:rPr>
              <w:t xml:space="preserve">No line</w:t>
            </w:r>
          </w:p>
        </w:tc>
        <w:tc>
          <w:tcPr>
            <w:tcMar>
              <w:top w:type="dxa" w:w="80"/>
              <w:left w:type="dxa" w:w="120"/>
              <w:bottom w:type="dxa" w:w="80"/>
              <w:right w:type="dxa" w:w="120"/>
            </w:tcMar>
            <w:vAlign w:val="center"/>
          </w:tcPr>
          <w:p>
            <w:pPr>
              <w:jc w:val="left"/>
            </w:pPr>
            <w:r>
              <w:rPr>
                <w:b w:val="false"/>
                <w:bCs w:val="false"/>
                <w:sz w:val="20"/>
                <w:szCs w:val="20"/>
              </w:rPr>
              <w:t xml:space="preserve">Red row border</w:t>
            </w:r>
          </w:p>
        </w:tc>
        <w:tc>
          <w:tcPr>
            <w:tcMar>
              <w:top w:type="dxa" w:w="80"/>
              <w:left w:type="dxa" w:w="120"/>
              <w:bottom w:type="dxa" w:w="80"/>
              <w:right w:type="dxa" w:w="120"/>
            </w:tcMar>
            <w:vAlign w:val="center"/>
          </w:tcPr>
          <w:p>
            <w:pPr>
              <w:jc w:val="left"/>
            </w:pPr>
            <w:r>
              <w:rPr>
                <w:b w:val="false"/>
                <w:bCs w:val="false"/>
                <w:sz w:val="20"/>
                <w:szCs w:val="20"/>
              </w:rPr>
              <w:t xml:space="preserve">No counterpart on either side — stranded row, flagged for manual research</w:t>
            </w:r>
          </w:p>
        </w:tc>
      </w:tr>
    </w:tbl>
    <w:p>
      <w:pPr>
        <w:spacing w:after="160"/>
      </w:pPr>
      <w:r>
        <w:t xml:space="preserve"/>
      </w:r>
    </w:p>
    <w:p>
      <w:pPr>
        <w:spacing w:after="160"/>
      </w:pPr>
      <w:r>
        <w:t xml:space="preserve">Curve construction: a cubic bezier from the right edge of the file row to the left edge of the invoice row, control points pulled to the horizontal midpoint of the gap so lines with equal y-position render straight, and lines with different y-position render as a smooth S-curve. Endpoints are marked with a small filled circle in the connector's color.</w:t>
      </w:r>
    </w:p>
    <w:p>
      <w:pPr>
        <w:pStyle w:val="Heading2"/>
        <w:spacing w:after="150" w:before="300"/>
      </w:pPr>
      <w:r>
        <w:t xml:space="preserve">4.1 Row ordering strategy</w:t>
      </w:r>
    </w:p>
    <w:p>
      <w:pPr>
        <w:spacing w:after="160"/>
      </w:pPr>
      <w:r>
        <w:t xml:space="preserve">Connector lines only communicate something useful if crossing is rare and meaningful. Sorting either column independently (alphabetically, by arrival order, or by raw file sequence) guarantees crossing lines even for perfectly clean matches, which defeats the purpose — a page of diagonal lines reads as noise, not signal.</w:t>
      </w:r>
    </w:p>
    <w:p>
      <w:pPr>
        <w:pStyle w:val="ListParagraph"/>
        <w:numPr>
          <w:ilvl w:val="0"/>
          <w:numId w:val="1"/>
        </w:numPr>
        <w:spacing w:after="80"/>
      </w:pPr>
      <w:r>
        <w:t xml:space="preserve">Invoice display order is derived from file order, not sorted on its own: for every file row with a match, its invoice counterpart is placed at the same vertical position in the invoice column. Only rows without a positional anchor need to fall elsewhere.</w:t>
      </w:r>
    </w:p>
    <w:p>
      <w:pPr>
        <w:pStyle w:val="ListParagraph"/>
        <w:numPr>
          <w:ilvl w:val="0"/>
          <w:numId w:val="1"/>
        </w:numPr>
        <w:spacing w:after="80"/>
      </w:pPr>
      <w:r>
        <w:t xml:space="preserve">Unresolved invoice-only entries (no file-side match at all) have no anchor position, so they append at the bottom of the invoice column below a thin divider — visually separated as ‘these didn't come from today's file, they're leftover exceptions.’</w:t>
      </w:r>
    </w:p>
    <w:p>
      <w:pPr>
        <w:pStyle w:val="ListParagraph"/>
        <w:numPr>
          <w:ilvl w:val="0"/>
          <w:numId w:val="1"/>
        </w:numPr>
        <w:spacing w:after="80"/>
      </w:pPr>
      <w:r>
        <w:t xml:space="preserve">Under this rule, a crossing line should be rare and should always mean something — a candidate with a date offset, an ambiguous match, or a genuine reordering worth a reviewer's attention. If lines are crossing on every clean match, the ordering rule above is being violated somewhere in the implementation.</w:t>
      </w:r>
    </w:p>
    <w:p>
      <w:pPr>
        <w:pStyle w:val="Heading1"/>
        <w:spacing w:after="200" w:before="400"/>
      </w:pPr>
      <w:r>
        <w:t xml:space="preserve">5. Trend arrows (market-ticker system)</w:t>
      </w:r>
    </w:p>
    <w:p>
      <w:pPr>
        <w:spacing w:after="160"/>
      </w:pPr>
      <w:r>
        <w:t xml:space="preserve">Any metric with a meaningful previous value — batch-over-batch — is paired with a directional indicator, styled after stock-ticker price movement: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450"/>
        <w:gridCol w:w="1700"/>
      </w:tblGrid>
      <w:tr>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Indicator</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Direction</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Applied to</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Color</w:t>
            </w:r>
          </w:p>
        </w:tc>
      </w:tr>
      <w:tr>
        <w:tc>
          <w:tcPr>
            <w:tcMar>
              <w:top w:type="dxa" w:w="80"/>
              <w:left w:type="dxa" w:w="120"/>
              <w:bottom w:type="dxa" w:w="80"/>
              <w:right w:type="dxa" w:w="120"/>
            </w:tcMar>
            <w:vAlign w:val="center"/>
          </w:tcPr>
          <w:p>
            <w:pPr>
              <w:jc w:val="center"/>
            </w:pPr>
            <w:r>
              <w:rPr>
                <w:b/>
                <w:bCs/>
                <w:color w:val="0F6E56"/>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Improved vs. last batch</w:t>
            </w:r>
          </w:p>
        </w:tc>
        <w:tc>
          <w:tcPr>
            <w:tcMar>
              <w:top w:type="dxa" w:w="80"/>
              <w:left w:type="dxa" w:w="120"/>
              <w:bottom w:type="dxa" w:w="80"/>
              <w:right w:type="dxa" w:w="120"/>
            </w:tcMar>
            <w:vAlign w:val="center"/>
          </w:tcPr>
          <w:p>
            <w:pPr>
              <w:jc w:val="left"/>
            </w:pPr>
            <w:r>
              <w:rPr>
                <w:b w:val="false"/>
                <w:bCs w:val="false"/>
                <w:sz w:val="20"/>
                <w:szCs w:val="20"/>
              </w:rPr>
              <w:t xml:space="preserve">Match rate, resolved-exception count, variance shrinking</w:t>
            </w:r>
          </w:p>
        </w:tc>
        <w:tc>
          <w:tcPr>
            <w:tcMar>
              <w:top w:type="dxa" w:w="80"/>
              <w:left w:type="dxa" w:w="120"/>
              <w:bottom w:type="dxa" w:w="80"/>
              <w:right w:type="dxa" w:w="120"/>
            </w:tcMar>
            <w:vAlign w:val="center"/>
          </w:tcPr>
          <w:p>
            <w:pPr>
              <w:jc w:val="left"/>
            </w:pPr>
            <w:r>
              <w:rPr>
                <w:b w:val="false"/>
                <w:bCs w:val="false"/>
                <w:sz w:val="20"/>
                <w:szCs w:val="20"/>
              </w:rPr>
              <w:t xml:space="preserve">Teal / green</w:t>
            </w:r>
          </w:p>
        </w:tc>
      </w:tr>
      <w:tr>
        <w:tc>
          <w:tcPr>
            <w:tcMar>
              <w:top w:type="dxa" w:w="80"/>
              <w:left w:type="dxa" w:w="120"/>
              <w:bottom w:type="dxa" w:w="80"/>
              <w:right w:type="dxa" w:w="120"/>
            </w:tcMar>
            <w:vAlign w:val="center"/>
          </w:tcPr>
          <w:p>
            <w:pPr>
              <w:jc w:val="center"/>
            </w:pPr>
            <w:r>
              <w:rPr>
                <w:b/>
                <w:bCs/>
                <w:color w:val="A32D2D"/>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Worsened vs. last batch</w:t>
            </w:r>
          </w:p>
        </w:tc>
        <w:tc>
          <w:tcPr>
            <w:tcMar>
              <w:top w:type="dxa" w:w="80"/>
              <w:left w:type="dxa" w:w="120"/>
              <w:bottom w:type="dxa" w:w="80"/>
              <w:right w:type="dxa" w:w="120"/>
            </w:tcMar>
            <w:vAlign w:val="center"/>
          </w:tcPr>
          <w:p>
            <w:pPr>
              <w:jc w:val="left"/>
            </w:pPr>
            <w:r>
              <w:rPr>
                <w:b w:val="false"/>
                <w:bCs w:val="false"/>
                <w:sz w:val="20"/>
                <w:szCs w:val="20"/>
              </w:rPr>
              <w:t xml:space="preserve">Variance growing, unresolved count rising</w:t>
            </w:r>
          </w:p>
        </w:tc>
        <w:tc>
          <w:tcPr>
            <w:tcMar>
              <w:top w:type="dxa" w:w="80"/>
              <w:left w:type="dxa" w:w="120"/>
              <w:bottom w:type="dxa" w:w="80"/>
              <w:right w:type="dxa" w:w="120"/>
            </w:tcMar>
            <w:vAlign w:val="center"/>
          </w:tcPr>
          <w:p>
            <w:pPr>
              <w:jc w:val="left"/>
            </w:pPr>
            <w:r>
              <w:rPr>
                <w:b w:val="false"/>
                <w:bCs w:val="false"/>
                <w:sz w:val="20"/>
                <w:szCs w:val="20"/>
              </w:rPr>
              <w:t xml:space="preserve">Red</w:t>
            </w:r>
          </w:p>
        </w:tc>
      </w:tr>
      <w:tr>
        <w:tc>
          <w:tcPr>
            <w:tcMar>
              <w:top w:type="dxa" w:w="80"/>
              <w:left w:type="dxa" w:w="120"/>
              <w:bottom w:type="dxa" w:w="80"/>
              <w:right w:type="dxa" w:w="120"/>
            </w:tcMar>
            <w:vAlign w:val="center"/>
          </w:tcPr>
          <w:p>
            <w:pPr>
              <w:jc w:val="center"/>
            </w:pPr>
            <w:r>
              <w:rPr>
                <w:b/>
                <w:bCs/>
                <w:color w:val="5F5E5A"/>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No change</w:t>
            </w:r>
          </w:p>
        </w:tc>
        <w:tc>
          <w:tcPr>
            <w:tcMar>
              <w:top w:type="dxa" w:w="80"/>
              <w:left w:type="dxa" w:w="120"/>
              <w:bottom w:type="dxa" w:w="80"/>
              <w:right w:type="dxa" w:w="120"/>
            </w:tcMar>
            <w:vAlign w:val="center"/>
          </w:tcPr>
          <w:p>
            <w:pPr>
              <w:jc w:val="left"/>
            </w:pPr>
            <w:r>
              <w:rPr>
                <w:b w:val="false"/>
                <w:bCs w:val="false"/>
                <w:sz w:val="20"/>
                <w:szCs w:val="20"/>
              </w:rPr>
              <w:t xml:space="preserve">Flat trend, first run with no prior batch</w:t>
            </w:r>
          </w:p>
        </w:tc>
        <w:tc>
          <w:tcPr>
            <w:tcMar>
              <w:top w:type="dxa" w:w="80"/>
              <w:left w:type="dxa" w:w="120"/>
              <w:bottom w:type="dxa" w:w="80"/>
              <w:right w:type="dxa" w:w="120"/>
            </w:tcMar>
            <w:vAlign w:val="center"/>
          </w:tcPr>
          <w:p>
            <w:pPr>
              <w:jc w:val="left"/>
            </w:pPr>
            <w:r>
              <w:rPr>
                <w:b w:val="false"/>
                <w:bCs w:val="false"/>
                <w:sz w:val="20"/>
                <w:szCs w:val="20"/>
              </w:rPr>
              <w:t xml:space="preserve">Gray</w:t>
            </w:r>
          </w:p>
        </w:tc>
      </w:tr>
    </w:tbl>
    <w:p>
      <w:pPr>
        <w:spacing w:after="160"/>
      </w:pPr>
      <w:r>
        <w:t xml:space="preserve"/>
      </w:r>
    </w:p>
    <w:p>
      <w:pPr>
        <w:spacing w:after="160"/>
      </w:pPr>
      <w:r>
        <w:t xml:space="preserve">Placement: directly beside the metric card's headline number, smaller and lighter weight than the number itself — the arrow supports the figure, it doesn't compete with it. On the row level, this same treatment can extend to per-account amount deltas if the module later reconciles dollar values, not just counts.</w:t>
      </w:r>
    </w:p>
    <w:p>
      <w:pPr>
        <w:pStyle w:val="Heading1"/>
        <w:spacing w:after="200" w:before="400"/>
      </w:pPr>
      <w:r>
        <w:t xml:space="preserve">6. Tick-mark / symbol system</w:t>
      </w:r>
    </w:p>
    <w:p>
      <w:pPr>
        <w:spacing w:after="160"/>
      </w:pPr>
      <w:r>
        <w:t xml:space="preserve">Every reconciled row carries exactly one tick mark, stamped as a small circular badge to the right of the row. The mark is always paired with a legend entry — never color alone — so meaning survives for colorblind reviewers and holds up under black-and-white printing for audit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450"/>
        <w:gridCol w:w="2400"/>
      </w:tblGrid>
      <w:tr>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Mark</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Name</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Meaning</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Audit lineage</w:t>
            </w:r>
          </w:p>
        </w:tc>
      </w:tr>
      <w:tr>
        <w:tc>
          <w:tcPr>
            <w:tcMar>
              <w:top w:type="dxa" w:w="80"/>
              <w:left w:type="dxa" w:w="120"/>
              <w:bottom w:type="dxa" w:w="80"/>
              <w:right w:type="dxa" w:w="120"/>
            </w:tcMar>
            <w:vAlign w:val="center"/>
          </w:tcPr>
          <w:p>
            <w:pPr>
              <w:jc w:val="center"/>
            </w:pPr>
            <w:r>
              <w:rPr>
                <w:b/>
                <w:bCs/>
                <w:color w:val="0F6E56"/>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Agreed</w:t>
            </w:r>
          </w:p>
        </w:tc>
        <w:tc>
          <w:tcPr>
            <w:tcMar>
              <w:top w:type="dxa" w:w="80"/>
              <w:left w:type="dxa" w:w="120"/>
              <w:bottom w:type="dxa" w:w="80"/>
              <w:right w:type="dxa" w:w="120"/>
            </w:tcMar>
            <w:vAlign w:val="center"/>
          </w:tcPr>
          <w:p>
            <w:pPr>
              <w:jc w:val="left"/>
            </w:pPr>
            <w:r>
              <w:rPr>
                <w:b w:val="false"/>
                <w:bCs w:val="false"/>
                <w:sz w:val="20"/>
                <w:szCs w:val="20"/>
              </w:rPr>
              <w:t xml:space="preserve">Traced and confirmed against the counterpart record exactly</w:t>
            </w:r>
          </w:p>
        </w:tc>
        <w:tc>
          <w:tcPr>
            <w:tcMar>
              <w:top w:type="dxa" w:w="80"/>
              <w:left w:type="dxa" w:w="120"/>
              <w:bottom w:type="dxa" w:w="80"/>
              <w:right w:type="dxa" w:w="120"/>
            </w:tcMar>
            <w:vAlign w:val="center"/>
          </w:tcPr>
          <w:p>
            <w:pPr>
              <w:jc w:val="left"/>
            </w:pPr>
            <w:r>
              <w:rPr>
                <w:b w:val="false"/>
                <w:bCs w:val="false"/>
                <w:sz w:val="20"/>
                <w:szCs w:val="20"/>
              </w:rPr>
              <w:t xml:space="preserve">Classic ‘agreed to source’ tick</w:t>
            </w:r>
          </w:p>
        </w:tc>
      </w:tr>
      <w:tr>
        <w:tc>
          <w:tcPr>
            <w:tcMar>
              <w:top w:type="dxa" w:w="80"/>
              <w:left w:type="dxa" w:w="120"/>
              <w:bottom w:type="dxa" w:w="80"/>
              <w:right w:type="dxa" w:w="120"/>
            </w:tcMar>
            <w:vAlign w:val="center"/>
          </w:tcPr>
          <w:p>
            <w:pPr>
              <w:jc w:val="center"/>
            </w:pPr>
            <w:r>
              <w:rPr>
                <w:b/>
                <w:bCs/>
                <w:color w:val="854F0B"/>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Recomputed</w:t>
            </w:r>
          </w:p>
        </w:tc>
        <w:tc>
          <w:tcPr>
            <w:tcMar>
              <w:top w:type="dxa" w:w="80"/>
              <w:left w:type="dxa" w:w="120"/>
              <w:bottom w:type="dxa" w:w="80"/>
              <w:right w:type="dxa" w:w="120"/>
            </w:tcMar>
            <w:vAlign w:val="center"/>
          </w:tcPr>
          <w:p>
            <w:pPr>
              <w:jc w:val="left"/>
            </w:pPr>
            <w:r>
              <w:rPr>
                <w:b w:val="false"/>
                <w:bCs w:val="false"/>
                <w:sz w:val="20"/>
                <w:szCs w:val="20"/>
              </w:rPr>
              <w:t xml:space="preserve">Matched within tolerance after a date or amount adjustment</w:t>
            </w:r>
          </w:p>
        </w:tc>
        <w:tc>
          <w:tcPr>
            <w:tcMar>
              <w:top w:type="dxa" w:w="80"/>
              <w:left w:type="dxa" w:w="120"/>
              <w:bottom w:type="dxa" w:w="80"/>
              <w:right w:type="dxa" w:w="120"/>
            </w:tcMar>
            <w:vAlign w:val="center"/>
          </w:tcPr>
          <w:p>
            <w:pPr>
              <w:jc w:val="left"/>
            </w:pPr>
            <w:r>
              <w:rPr>
                <w:b w:val="false"/>
                <w:bCs w:val="false"/>
                <w:sz w:val="20"/>
                <w:szCs w:val="20"/>
              </w:rPr>
              <w:t xml:space="preserve">‘Footed / recalculated’ tick</w:t>
            </w:r>
          </w:p>
        </w:tc>
      </w:tr>
      <w:tr>
        <w:tc>
          <w:tcPr>
            <w:tcMar>
              <w:top w:type="dxa" w:w="80"/>
              <w:left w:type="dxa" w:w="120"/>
              <w:bottom w:type="dxa" w:w="80"/>
              <w:right w:type="dxa" w:w="120"/>
            </w:tcMar>
            <w:vAlign w:val="center"/>
          </w:tcPr>
          <w:p>
            <w:pPr>
              <w:jc w:val="center"/>
            </w:pPr>
            <w:r>
              <w:rPr>
                <w:b/>
                <w:bCs/>
                <w:color w:val="6B3FA0"/>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Ambiguous</w:t>
            </w:r>
          </w:p>
        </w:tc>
        <w:tc>
          <w:tcPr>
            <w:tcMar>
              <w:top w:type="dxa" w:w="80"/>
              <w:left w:type="dxa" w:w="120"/>
              <w:bottom w:type="dxa" w:w="80"/>
              <w:right w:type="dxa" w:w="120"/>
            </w:tcMar>
            <w:vAlign w:val="center"/>
          </w:tcPr>
          <w:p>
            <w:pPr>
              <w:jc w:val="left"/>
            </w:pPr>
            <w:r>
              <w:rPr>
                <w:b w:val="false"/>
                <w:bCs w:val="false"/>
                <w:sz w:val="20"/>
                <w:szCs w:val="20"/>
              </w:rPr>
              <w:t xml:space="preserve">Multiple invoice lines match the same account within tolerance — requires explicit reviewer choice</w:t>
            </w:r>
          </w:p>
        </w:tc>
        <w:tc>
          <w:tcPr>
            <w:tcMar>
              <w:top w:type="dxa" w:w="80"/>
              <w:left w:type="dxa" w:w="120"/>
              <w:bottom w:type="dxa" w:w="80"/>
              <w:right w:type="dxa" w:w="120"/>
            </w:tcMar>
            <w:vAlign w:val="center"/>
          </w:tcPr>
          <w:p>
            <w:pPr>
              <w:jc w:val="left"/>
            </w:pPr>
            <w:r>
              <w:rPr>
                <w:b w:val="false"/>
                <w:bCs w:val="false"/>
                <w:sz w:val="20"/>
                <w:szCs w:val="20"/>
              </w:rPr>
              <w:t xml:space="preserve">New — prevents the system from silently guessing on a duplicate</w:t>
            </w:r>
          </w:p>
        </w:tc>
      </w:tr>
      <w:tr>
        <w:tc>
          <w:tcPr>
            <w:tcMar>
              <w:top w:type="dxa" w:w="80"/>
              <w:left w:type="dxa" w:w="120"/>
              <w:bottom w:type="dxa" w:w="80"/>
              <w:right w:type="dxa" w:w="120"/>
            </w:tcMar>
            <w:vAlign w:val="center"/>
          </w:tcPr>
          <w:p>
            <w:pPr>
              <w:jc w:val="center"/>
            </w:pPr>
            <w:r>
              <w:rPr>
                <w:b/>
                <w:bCs/>
                <w:color w:val="185FA5"/>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Cross-tied</w:t>
            </w:r>
          </w:p>
        </w:tc>
        <w:tc>
          <w:tcPr>
            <w:tcMar>
              <w:top w:type="dxa" w:w="80"/>
              <w:left w:type="dxa" w:w="120"/>
              <w:bottom w:type="dxa" w:w="80"/>
              <w:right w:type="dxa" w:w="120"/>
            </w:tcMar>
            <w:vAlign w:val="center"/>
          </w:tcPr>
          <w:p>
            <w:pPr>
              <w:jc w:val="left"/>
            </w:pPr>
            <w:r>
              <w:rPr>
                <w:b w:val="false"/>
                <w:bCs w:val="false"/>
                <w:sz w:val="20"/>
                <w:szCs w:val="20"/>
              </w:rPr>
              <w:t xml:space="preserve">Verified via a different schedule, batch, or reference</w:t>
            </w:r>
          </w:p>
        </w:tc>
        <w:tc>
          <w:tcPr>
            <w:tcMar>
              <w:top w:type="dxa" w:w="80"/>
              <w:left w:type="dxa" w:w="120"/>
              <w:bottom w:type="dxa" w:w="80"/>
              <w:right w:type="dxa" w:w="120"/>
            </w:tcMar>
            <w:vAlign w:val="center"/>
          </w:tcPr>
          <w:p>
            <w:pPr>
              <w:jc w:val="left"/>
            </w:pPr>
            <w:r>
              <w:rPr>
                <w:b w:val="false"/>
                <w:bCs w:val="false"/>
                <w:sz w:val="20"/>
                <w:szCs w:val="20"/>
              </w:rPr>
              <w:t xml:space="preserve">‘Traced elsewhere’ tick</w:t>
            </w:r>
          </w:p>
        </w:tc>
      </w:tr>
      <w:tr>
        <w:tc>
          <w:tcPr>
            <w:tcMar>
              <w:top w:type="dxa" w:w="80"/>
              <w:left w:type="dxa" w:w="120"/>
              <w:bottom w:type="dxa" w:w="80"/>
              <w:right w:type="dxa" w:w="120"/>
            </w:tcMar>
            <w:vAlign w:val="center"/>
          </w:tcPr>
          <w:p>
            <w:pPr>
              <w:jc w:val="center"/>
            </w:pPr>
            <w:r>
              <w:rPr>
                <w:b/>
                <w:bCs/>
                <w:color w:val="A32D2D"/>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Unresolved</w:t>
            </w:r>
          </w:p>
        </w:tc>
        <w:tc>
          <w:tcPr>
            <w:tcMar>
              <w:top w:type="dxa" w:w="80"/>
              <w:left w:type="dxa" w:w="120"/>
              <w:bottom w:type="dxa" w:w="80"/>
              <w:right w:type="dxa" w:w="120"/>
            </w:tcMar>
            <w:vAlign w:val="center"/>
          </w:tcPr>
          <w:p>
            <w:pPr>
              <w:jc w:val="left"/>
            </w:pPr>
            <w:r>
              <w:rPr>
                <w:b w:val="false"/>
                <w:bCs w:val="false"/>
                <w:sz w:val="20"/>
                <w:szCs w:val="20"/>
              </w:rPr>
              <w:t xml:space="preserve">Exception — no counterpart found, awaiting reviewer action</w:t>
            </w:r>
          </w:p>
        </w:tc>
        <w:tc>
          <w:tcPr>
            <w:tcMar>
              <w:top w:type="dxa" w:w="80"/>
              <w:left w:type="dxa" w:w="120"/>
              <w:bottom w:type="dxa" w:w="80"/>
              <w:right w:type="dxa" w:w="120"/>
            </w:tcMar>
            <w:vAlign w:val="center"/>
          </w:tcPr>
          <w:p>
            <w:pPr>
              <w:jc w:val="left"/>
            </w:pPr>
            <w:r>
              <w:rPr>
                <w:b w:val="false"/>
                <w:bCs w:val="false"/>
                <w:sz w:val="20"/>
                <w:szCs w:val="20"/>
              </w:rPr>
              <w:t xml:space="preserve">Classic exception mark</w:t>
            </w:r>
          </w:p>
        </w:tc>
      </w:tr>
      <w:tr>
        <w:tc>
          <w:tcPr>
            <w:tcMar>
              <w:top w:type="dxa" w:w="80"/>
              <w:left w:type="dxa" w:w="120"/>
              <w:bottom w:type="dxa" w:w="80"/>
              <w:right w:type="dxa" w:w="120"/>
            </w:tcMar>
            <w:vAlign w:val="center"/>
          </w:tcPr>
          <w:p>
            <w:pPr>
              <w:jc w:val="center"/>
            </w:pPr>
            <w:r>
              <w:rPr>
                <w:b/>
                <w:bCs/>
                <w:color w:val="185FA5"/>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Manually tied</w:t>
            </w:r>
          </w:p>
        </w:tc>
        <w:tc>
          <w:tcPr>
            <w:tcMar>
              <w:top w:type="dxa" w:w="80"/>
              <w:left w:type="dxa" w:w="120"/>
              <w:bottom w:type="dxa" w:w="80"/>
              <w:right w:type="dxa" w:w="120"/>
            </w:tcMar>
            <w:vAlign w:val="center"/>
          </w:tcPr>
          <w:p>
            <w:pPr>
              <w:jc w:val="left"/>
            </w:pPr>
            <w:r>
              <w:rPr>
                <w:b w:val="false"/>
                <w:bCs w:val="false"/>
                <w:sz w:val="20"/>
                <w:szCs w:val="20"/>
              </w:rPr>
              <w:t xml:space="preserve">A reviewer linked this record to a specific counterpart by hand</w:t>
            </w:r>
          </w:p>
        </w:tc>
        <w:tc>
          <w:tcPr>
            <w:tcMar>
              <w:top w:type="dxa" w:w="80"/>
              <w:left w:type="dxa" w:w="120"/>
              <w:bottom w:type="dxa" w:w="80"/>
              <w:right w:type="dxa" w:w="120"/>
            </w:tcMar>
            <w:vAlign w:val="center"/>
          </w:tcPr>
          <w:p>
            <w:pPr>
              <w:jc w:val="left"/>
            </w:pPr>
            <w:r>
              <w:rPr>
                <w:b w:val="false"/>
                <w:bCs w:val="false"/>
                <w:sz w:val="20"/>
                <w:szCs w:val="20"/>
              </w:rPr>
              <w:t xml:space="preserve">New — distinguishes human judgment from system matching</w:t>
            </w:r>
          </w:p>
        </w:tc>
      </w:tr>
      <w:tr>
        <w:tc>
          <w:tcPr>
            <w:tcMar>
              <w:top w:type="dxa" w:w="80"/>
              <w:left w:type="dxa" w:w="120"/>
              <w:bottom w:type="dxa" w:w="80"/>
              <w:right w:type="dxa" w:w="120"/>
            </w:tcMar>
            <w:vAlign w:val="center"/>
          </w:tcPr>
          <w:p>
            <w:pPr>
              <w:jc w:val="center"/>
            </w:pPr>
            <w:r>
              <w:rPr>
                <w:b/>
                <w:bCs/>
                <w:color w:val="5F5E5A"/>
                <w:sz w:val="20"/>
                <w:szCs w:val="20"/>
              </w:rPr>
              <w:t xml:space="preserve">◉</w:t>
            </w:r>
          </w:p>
        </w:tc>
        <w:tc>
          <w:tcPr>
            <w:tcMar>
              <w:top w:type="dxa" w:w="80"/>
              <w:left w:type="dxa" w:w="120"/>
              <w:bottom w:type="dxa" w:w="80"/>
              <w:right w:type="dxa" w:w="120"/>
            </w:tcMar>
            <w:vAlign w:val="center"/>
          </w:tcPr>
          <w:p>
            <w:pPr>
              <w:jc w:val="left"/>
            </w:pPr>
            <w:r>
              <w:rPr>
                <w:b w:val="false"/>
                <w:bCs w:val="false"/>
                <w:sz w:val="20"/>
                <w:szCs w:val="20"/>
              </w:rPr>
              <w:t xml:space="preserve">Reviewed, no match</w:t>
            </w:r>
          </w:p>
        </w:tc>
        <w:tc>
          <w:tcPr>
            <w:tcMar>
              <w:top w:type="dxa" w:w="80"/>
              <w:left w:type="dxa" w:w="120"/>
              <w:bottom w:type="dxa" w:w="80"/>
              <w:right w:type="dxa" w:w="120"/>
            </w:tcMar>
            <w:vAlign w:val="center"/>
          </w:tcPr>
          <w:p>
            <w:pPr>
              <w:jc w:val="left"/>
            </w:pPr>
            <w:r>
              <w:rPr>
                <w:b w:val="false"/>
                <w:bCs w:val="false"/>
                <w:sz w:val="20"/>
                <w:szCs w:val="20"/>
              </w:rPr>
              <w:t xml:space="preserve">Reviewer confirmed no counterpart exists; exception closed without forcing a tie</w:t>
            </w:r>
          </w:p>
        </w:tc>
        <w:tc>
          <w:tcPr>
            <w:tcMar>
              <w:top w:type="dxa" w:w="80"/>
              <w:left w:type="dxa" w:w="120"/>
              <w:bottom w:type="dxa" w:w="80"/>
              <w:right w:type="dxa" w:w="120"/>
            </w:tcMar>
            <w:vAlign w:val="center"/>
          </w:tcPr>
          <w:p>
            <w:pPr>
              <w:jc w:val="left"/>
            </w:pPr>
            <w:r>
              <w:rPr>
                <w:b w:val="false"/>
                <w:bCs w:val="false"/>
                <w:sz w:val="20"/>
                <w:szCs w:val="20"/>
              </w:rPr>
              <w:t xml:space="preserve">New — the digital equivalent of an auditor's ‘N/A, verified’ note</w:t>
            </w:r>
          </w:p>
        </w:tc>
      </w:tr>
    </w:tbl>
    <w:p>
      <w:pPr>
        <w:pStyle w:val="Heading1"/>
        <w:spacing w:after="200" w:before="400"/>
      </w:pPr>
      <w:r>
        <w:t xml:space="preserve">7. Color system</w:t>
      </w:r>
    </w:p>
    <w:p>
      <w:pPr>
        <w:spacing w:after="160"/>
      </w:pPr>
      <w:r>
        <w:t xml:space="preserve">Color encodes state, never sequence. Each state below maps to exactly one meaning across every component — summary cards, row borders, tick marks, and connector lines all agree.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50"/>
        <w:gridCol w:w="2700"/>
      </w:tblGrid>
      <w:tr>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State</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Swatch</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Meaning</w:t>
            </w:r>
          </w:p>
        </w:tc>
        <w:tc>
          <w:tcPr>
            <w:shd w:fill="0C2340" w:color="auto" w:val="clear"/>
            <w:tcMar>
              <w:top w:type="dxa" w:w="80"/>
              <w:left w:type="dxa" w:w="120"/>
              <w:bottom w:type="dxa" w:w="80"/>
              <w:right w:type="dxa" w:w="120"/>
            </w:tcMar>
            <w:vAlign w:val="center"/>
          </w:tcPr>
          <w:p>
            <w:pPr>
              <w:jc w:val="left"/>
            </w:pPr>
            <w:r>
              <w:rPr>
                <w:b/>
                <w:bCs/>
                <w:color w:val="FFFFFF"/>
                <w:sz w:val="20"/>
                <w:szCs w:val="20"/>
              </w:rPr>
              <w:t xml:space="preserve">Applied to</w:t>
            </w:r>
          </w:p>
        </w:tc>
      </w:tr>
      <w:tr>
        <w:tc>
          <w:tcPr>
            <w:tcMar>
              <w:top w:type="dxa" w:w="80"/>
              <w:left w:type="dxa" w:w="120"/>
              <w:bottom w:type="dxa" w:w="80"/>
              <w:right w:type="dxa" w:w="120"/>
            </w:tcMar>
            <w:vAlign w:val="center"/>
          </w:tcPr>
          <w:p>
            <w:pPr>
              <w:jc w:val="left"/>
            </w:pPr>
            <w:r>
              <w:rPr>
                <w:b w:val="false"/>
                <w:bCs w:val="false"/>
                <w:sz w:val="20"/>
                <w:szCs w:val="20"/>
              </w:rPr>
              <w:t xml:space="preserve">Matched</w:t>
            </w:r>
          </w:p>
        </w:tc>
        <w:tc>
          <w:tcPr>
            <w:shd w:fill="E1F5EE" w:color="auto" w:val="clear"/>
            <w:tcMar>
              <w:top w:type="dxa" w:w="80"/>
              <w:left w:type="dxa" w:w="120"/>
              <w:bottom w:type="dxa" w:w="80"/>
              <w:right w:type="dxa" w:w="120"/>
            </w:tcMar>
            <w:vAlign w:val="center"/>
          </w:tcPr>
          <w:p>
            <w:pPr>
              <w:jc w:val="left"/>
            </w:pPr>
            <w:r>
              <w:rPr>
                <w:b w:val="false"/>
                <w:bCs w:val="false"/>
                <w:sz w:val="20"/>
                <w:szCs w:val="20"/>
              </w:rPr>
              <w:t xml:space="preserve"/>
            </w:r>
          </w:p>
        </w:tc>
        <w:tc>
          <w:tcPr>
            <w:tcMar>
              <w:top w:type="dxa" w:w="80"/>
              <w:left w:type="dxa" w:w="120"/>
              <w:bottom w:type="dxa" w:w="80"/>
              <w:right w:type="dxa" w:w="120"/>
            </w:tcMar>
            <w:vAlign w:val="center"/>
          </w:tcPr>
          <w:p>
            <w:pPr>
              <w:jc w:val="left"/>
            </w:pPr>
            <w:r>
              <w:rPr>
                <w:b w:val="false"/>
                <w:bCs w:val="false"/>
                <w:sz w:val="20"/>
                <w:szCs w:val="20"/>
              </w:rPr>
              <w:t xml:space="preserve">Confirmed agreement between file and invoice</w:t>
            </w:r>
          </w:p>
        </w:tc>
        <w:tc>
          <w:tcPr>
            <w:tcMar>
              <w:top w:type="dxa" w:w="80"/>
              <w:left w:type="dxa" w:w="120"/>
              <w:bottom w:type="dxa" w:w="80"/>
              <w:right w:type="dxa" w:w="120"/>
            </w:tcMar>
            <w:vAlign w:val="center"/>
          </w:tcPr>
          <w:p>
            <w:pPr>
              <w:jc w:val="left"/>
            </w:pPr>
            <w:r>
              <w:rPr>
                <w:b w:val="false"/>
                <w:bCs w:val="false"/>
                <w:sz w:val="20"/>
                <w:szCs w:val="20"/>
              </w:rPr>
              <w:t xml:space="preserve">Row border, tick check-mark, solid connector line</w:t>
            </w:r>
          </w:p>
        </w:tc>
      </w:tr>
      <w:tr>
        <w:tc>
          <w:tcPr>
            <w:tcMar>
              <w:top w:type="dxa" w:w="80"/>
              <w:left w:type="dxa" w:w="120"/>
              <w:bottom w:type="dxa" w:w="80"/>
              <w:right w:type="dxa" w:w="120"/>
            </w:tcMar>
            <w:vAlign w:val="center"/>
          </w:tcPr>
          <w:p>
            <w:pPr>
              <w:jc w:val="left"/>
            </w:pPr>
            <w:r>
              <w:rPr>
                <w:b w:val="false"/>
                <w:bCs w:val="false"/>
                <w:sz w:val="20"/>
                <w:szCs w:val="20"/>
              </w:rPr>
              <w:t xml:space="preserve">Candidate</w:t>
            </w:r>
          </w:p>
        </w:tc>
        <w:tc>
          <w:tcPr>
            <w:shd w:fill="FAEEDA" w:color="auto" w:val="clear"/>
            <w:tcMar>
              <w:top w:type="dxa" w:w="80"/>
              <w:left w:type="dxa" w:w="120"/>
              <w:bottom w:type="dxa" w:w="80"/>
              <w:right w:type="dxa" w:w="120"/>
            </w:tcMar>
            <w:vAlign w:val="center"/>
          </w:tcPr>
          <w:p>
            <w:pPr>
              <w:jc w:val="left"/>
            </w:pPr>
            <w:r>
              <w:rPr>
                <w:b w:val="false"/>
                <w:bCs w:val="false"/>
                <w:sz w:val="20"/>
                <w:szCs w:val="20"/>
              </w:rPr>
              <w:t xml:space="preserve"/>
            </w:r>
          </w:p>
        </w:tc>
        <w:tc>
          <w:tcPr>
            <w:tcMar>
              <w:top w:type="dxa" w:w="80"/>
              <w:left w:type="dxa" w:w="120"/>
              <w:bottom w:type="dxa" w:w="80"/>
              <w:right w:type="dxa" w:w="120"/>
            </w:tcMar>
            <w:vAlign w:val="center"/>
          </w:tcPr>
          <w:p>
            <w:pPr>
              <w:jc w:val="left"/>
            </w:pPr>
            <w:r>
              <w:rPr>
                <w:b w:val="false"/>
                <w:bCs w:val="false"/>
                <w:sz w:val="20"/>
                <w:szCs w:val="20"/>
              </w:rPr>
              <w:t xml:space="preserve">Same account, tolerance-window date gap — needs human confirmation</w:t>
            </w:r>
          </w:p>
        </w:tc>
        <w:tc>
          <w:tcPr>
            <w:tcMar>
              <w:top w:type="dxa" w:w="80"/>
              <w:left w:type="dxa" w:w="120"/>
              <w:bottom w:type="dxa" w:w="80"/>
              <w:right w:type="dxa" w:w="120"/>
            </w:tcMar>
            <w:vAlign w:val="center"/>
          </w:tcPr>
          <w:p>
            <w:pPr>
              <w:jc w:val="left"/>
            </w:pPr>
            <w:r>
              <w:rPr>
                <w:b w:val="false"/>
                <w:bCs w:val="false"/>
                <w:sz w:val="20"/>
                <w:szCs w:val="20"/>
              </w:rPr>
              <w:t xml:space="preserve">Row border, triangle tick, dashed connector line</w:t>
            </w:r>
          </w:p>
        </w:tc>
      </w:tr>
      <w:tr>
        <w:tc>
          <w:tcPr>
            <w:tcMar>
              <w:top w:type="dxa" w:w="80"/>
              <w:left w:type="dxa" w:w="120"/>
              <w:bottom w:type="dxa" w:w="80"/>
              <w:right w:type="dxa" w:w="120"/>
            </w:tcMar>
            <w:vAlign w:val="center"/>
          </w:tcPr>
          <w:p>
            <w:pPr>
              <w:jc w:val="left"/>
            </w:pPr>
            <w:r>
              <w:rPr>
                <w:b w:val="false"/>
                <w:bCs w:val="false"/>
                <w:sz w:val="20"/>
                <w:szCs w:val="20"/>
              </w:rPr>
              <w:t xml:space="preserve">Ambiguous</w:t>
            </w:r>
          </w:p>
        </w:tc>
        <w:tc>
          <w:tcPr>
            <w:shd w:fill="F0E9F7" w:color="auto" w:val="clear"/>
            <w:tcMar>
              <w:top w:type="dxa" w:w="80"/>
              <w:left w:type="dxa" w:w="120"/>
              <w:bottom w:type="dxa" w:w="80"/>
              <w:right w:type="dxa" w:w="120"/>
            </w:tcMar>
            <w:vAlign w:val="center"/>
          </w:tcPr>
          <w:p>
            <w:pPr>
              <w:jc w:val="left"/>
            </w:pPr>
            <w:r>
              <w:rPr>
                <w:b w:val="false"/>
                <w:bCs w:val="false"/>
                <w:sz w:val="20"/>
                <w:szCs w:val="20"/>
              </w:rPr>
              <w:t xml:space="preserve"/>
            </w:r>
          </w:p>
        </w:tc>
        <w:tc>
          <w:tcPr>
            <w:tcMar>
              <w:top w:type="dxa" w:w="80"/>
              <w:left w:type="dxa" w:w="120"/>
              <w:bottom w:type="dxa" w:w="80"/>
              <w:right w:type="dxa" w:w="120"/>
            </w:tcMar>
            <w:vAlign w:val="center"/>
          </w:tcPr>
          <w:p>
            <w:pPr>
              <w:jc w:val="left"/>
            </w:pPr>
            <w:r>
              <w:rPr>
                <w:b w:val="false"/>
                <w:bCs w:val="false"/>
                <w:sz w:val="20"/>
                <w:szCs w:val="20"/>
              </w:rPr>
              <w:t xml:space="preserve">More than one invoice line plausibly matches — the system will not guess</w:t>
            </w:r>
          </w:p>
        </w:tc>
        <w:tc>
          <w:tcPr>
            <w:tcMar>
              <w:top w:type="dxa" w:w="80"/>
              <w:left w:type="dxa" w:w="120"/>
              <w:bottom w:type="dxa" w:w="80"/>
              <w:right w:type="dxa" w:w="120"/>
            </w:tcMar>
            <w:vAlign w:val="center"/>
          </w:tcPr>
          <w:p>
            <w:pPr>
              <w:jc w:val="left"/>
            </w:pPr>
            <w:r>
              <w:rPr>
                <w:b w:val="false"/>
                <w:bCs w:val="false"/>
                <w:sz w:val="20"/>
                <w:szCs w:val="20"/>
              </w:rPr>
              <w:t xml:space="preserve">Row border, warning tick, no connector until resolved</w:t>
            </w:r>
          </w:p>
        </w:tc>
      </w:tr>
      <w:tr>
        <w:tc>
          <w:tcPr>
            <w:tcMar>
              <w:top w:type="dxa" w:w="80"/>
              <w:left w:type="dxa" w:w="120"/>
              <w:bottom w:type="dxa" w:w="80"/>
              <w:right w:type="dxa" w:w="120"/>
            </w:tcMar>
            <w:vAlign w:val="center"/>
          </w:tcPr>
          <w:p>
            <w:pPr>
              <w:jc w:val="left"/>
            </w:pPr>
            <w:r>
              <w:rPr>
                <w:b w:val="false"/>
                <w:bCs w:val="false"/>
                <w:sz w:val="20"/>
                <w:szCs w:val="20"/>
              </w:rPr>
              <w:t xml:space="preserve">Cross-tied</w:t>
            </w:r>
          </w:p>
        </w:tc>
        <w:tc>
          <w:tcPr>
            <w:shd w:fill="E6F1FB" w:color="auto" w:val="clear"/>
            <w:tcMar>
              <w:top w:type="dxa" w:w="80"/>
              <w:left w:type="dxa" w:w="120"/>
              <w:bottom w:type="dxa" w:w="80"/>
              <w:right w:type="dxa" w:w="120"/>
            </w:tcMar>
            <w:vAlign w:val="center"/>
          </w:tcPr>
          <w:p>
            <w:pPr>
              <w:jc w:val="left"/>
            </w:pPr>
            <w:r>
              <w:rPr>
                <w:b w:val="false"/>
                <w:bCs w:val="false"/>
                <w:sz w:val="20"/>
                <w:szCs w:val="20"/>
              </w:rPr>
              <w:t xml:space="preserve"/>
            </w:r>
          </w:p>
        </w:tc>
        <w:tc>
          <w:tcPr>
            <w:tcMar>
              <w:top w:type="dxa" w:w="80"/>
              <w:left w:type="dxa" w:w="120"/>
              <w:bottom w:type="dxa" w:w="80"/>
              <w:right w:type="dxa" w:w="120"/>
            </w:tcMar>
            <w:vAlign w:val="center"/>
          </w:tcPr>
          <w:p>
            <w:pPr>
              <w:jc w:val="left"/>
            </w:pPr>
            <w:r>
              <w:rPr>
                <w:b w:val="false"/>
                <w:bCs w:val="false"/>
                <w:sz w:val="20"/>
                <w:szCs w:val="20"/>
              </w:rPr>
              <w:t xml:space="preserve">Verified via a different batch or reference, not a direct pair</w:t>
            </w:r>
          </w:p>
        </w:tc>
        <w:tc>
          <w:tcPr>
            <w:tcMar>
              <w:top w:type="dxa" w:w="80"/>
              <w:left w:type="dxa" w:w="120"/>
              <w:bottom w:type="dxa" w:w="80"/>
              <w:right w:type="dxa" w:w="120"/>
            </w:tcMar>
            <w:vAlign w:val="center"/>
          </w:tcPr>
          <w:p>
            <w:pPr>
              <w:jc w:val="left"/>
            </w:pPr>
            <w:r>
              <w:rPr>
                <w:b w:val="false"/>
                <w:bCs w:val="false"/>
                <w:sz w:val="20"/>
                <w:szCs w:val="20"/>
              </w:rPr>
              <w:t xml:space="preserve">Diamond tick, informational badge</w:t>
            </w:r>
          </w:p>
        </w:tc>
      </w:tr>
      <w:tr>
        <w:tc>
          <w:tcPr>
            <w:tcMar>
              <w:top w:type="dxa" w:w="80"/>
              <w:left w:type="dxa" w:w="120"/>
              <w:bottom w:type="dxa" w:w="80"/>
              <w:right w:type="dxa" w:w="120"/>
            </w:tcMar>
            <w:vAlign w:val="center"/>
          </w:tcPr>
          <w:p>
            <w:pPr>
              <w:jc w:val="left"/>
            </w:pPr>
            <w:r>
              <w:rPr>
                <w:b w:val="false"/>
                <w:bCs w:val="false"/>
                <w:sz w:val="20"/>
                <w:szCs w:val="20"/>
              </w:rPr>
              <w:t xml:space="preserve">Manually tied</w:t>
            </w:r>
          </w:p>
        </w:tc>
        <w:tc>
          <w:tcPr>
            <w:shd w:fill="E6F1FB" w:color="auto" w:val="clear"/>
            <w:tcMar>
              <w:top w:type="dxa" w:w="80"/>
              <w:left w:type="dxa" w:w="120"/>
              <w:bottom w:type="dxa" w:w="80"/>
              <w:right w:type="dxa" w:w="120"/>
            </w:tcMar>
            <w:vAlign w:val="center"/>
          </w:tcPr>
          <w:p>
            <w:pPr>
              <w:jc w:val="left"/>
            </w:pPr>
            <w:r>
              <w:rPr>
                <w:b w:val="false"/>
                <w:bCs w:val="false"/>
                <w:sz w:val="20"/>
                <w:szCs w:val="20"/>
              </w:rPr>
              <w:t xml:space="preserve"/>
            </w:r>
          </w:p>
        </w:tc>
        <w:tc>
          <w:tcPr>
            <w:tcMar>
              <w:top w:type="dxa" w:w="80"/>
              <w:left w:type="dxa" w:w="120"/>
              <w:bottom w:type="dxa" w:w="80"/>
              <w:right w:type="dxa" w:w="120"/>
            </w:tcMar>
            <w:vAlign w:val="center"/>
          </w:tcPr>
          <w:p>
            <w:pPr>
              <w:jc w:val="left"/>
            </w:pPr>
            <w:r>
              <w:rPr>
                <w:b w:val="false"/>
                <w:bCs w:val="false"/>
                <w:sz w:val="20"/>
                <w:szCs w:val="20"/>
              </w:rPr>
              <w:t xml:space="preserve">A reviewer linked this record by hand, not the system</w:t>
            </w:r>
          </w:p>
        </w:tc>
        <w:tc>
          <w:tcPr>
            <w:tcMar>
              <w:top w:type="dxa" w:w="80"/>
              <w:left w:type="dxa" w:w="120"/>
              <w:bottom w:type="dxa" w:w="80"/>
              <w:right w:type="dxa" w:w="120"/>
            </w:tcMar>
            <w:vAlign w:val="center"/>
          </w:tcPr>
          <w:p>
            <w:pPr>
              <w:jc w:val="left"/>
            </w:pPr>
            <w:r>
              <w:rPr>
                <w:b w:val="false"/>
                <w:bCs w:val="false"/>
                <w:sz w:val="20"/>
                <w:szCs w:val="20"/>
              </w:rPr>
              <w:t xml:space="preserve">Link tick, solid connector, distinct from auto-matched</w:t>
            </w:r>
          </w:p>
        </w:tc>
      </w:tr>
      <w:tr>
        <w:tc>
          <w:tcPr>
            <w:tcMar>
              <w:top w:type="dxa" w:w="80"/>
              <w:left w:type="dxa" w:w="120"/>
              <w:bottom w:type="dxa" w:w="80"/>
              <w:right w:type="dxa" w:w="120"/>
            </w:tcMar>
            <w:vAlign w:val="center"/>
          </w:tcPr>
          <w:p>
            <w:pPr>
              <w:jc w:val="left"/>
            </w:pPr>
            <w:r>
              <w:rPr>
                <w:b w:val="false"/>
                <w:bCs w:val="false"/>
                <w:sz w:val="20"/>
                <w:szCs w:val="20"/>
              </w:rPr>
              <w:t xml:space="preserve">Unresolved</w:t>
            </w:r>
          </w:p>
        </w:tc>
        <w:tc>
          <w:tcPr>
            <w:shd w:fill="FCEBEB" w:color="auto" w:val="clear"/>
            <w:tcMar>
              <w:top w:type="dxa" w:w="80"/>
              <w:left w:type="dxa" w:w="120"/>
              <w:bottom w:type="dxa" w:w="80"/>
              <w:right w:type="dxa" w:w="120"/>
            </w:tcMar>
            <w:vAlign w:val="center"/>
          </w:tcPr>
          <w:p>
            <w:pPr>
              <w:jc w:val="left"/>
            </w:pPr>
            <w:r>
              <w:rPr>
                <w:b w:val="false"/>
                <w:bCs w:val="false"/>
                <w:sz w:val="20"/>
                <w:szCs w:val="20"/>
              </w:rPr>
              <w:t xml:space="preserve"/>
            </w:r>
          </w:p>
        </w:tc>
        <w:tc>
          <w:tcPr>
            <w:tcMar>
              <w:top w:type="dxa" w:w="80"/>
              <w:left w:type="dxa" w:w="120"/>
              <w:bottom w:type="dxa" w:w="80"/>
              <w:right w:type="dxa" w:w="120"/>
            </w:tcMar>
            <w:vAlign w:val="center"/>
          </w:tcPr>
          <w:p>
            <w:pPr>
              <w:jc w:val="left"/>
            </w:pPr>
            <w:r>
              <w:rPr>
                <w:b w:val="false"/>
                <w:bCs w:val="false"/>
                <w:sz w:val="20"/>
                <w:szCs w:val="20"/>
              </w:rPr>
              <w:t xml:space="preserve">No counterpart found in either source</w:t>
            </w:r>
          </w:p>
        </w:tc>
        <w:tc>
          <w:tcPr>
            <w:tcMar>
              <w:top w:type="dxa" w:w="80"/>
              <w:left w:type="dxa" w:w="120"/>
              <w:bottom w:type="dxa" w:w="80"/>
              <w:right w:type="dxa" w:w="120"/>
            </w:tcMar>
            <w:vAlign w:val="center"/>
          </w:tcPr>
          <w:p>
            <w:pPr>
              <w:jc w:val="left"/>
            </w:pPr>
            <w:r>
              <w:rPr>
                <w:b w:val="false"/>
                <w:bCs w:val="false"/>
                <w:sz w:val="20"/>
                <w:szCs w:val="20"/>
              </w:rPr>
              <w:t xml:space="preserve">Row border, X tick, no connector drawn</w:t>
            </w:r>
          </w:p>
        </w:tc>
      </w:tr>
      <w:tr>
        <w:tc>
          <w:tcPr>
            <w:tcMar>
              <w:top w:type="dxa" w:w="80"/>
              <w:left w:type="dxa" w:w="120"/>
              <w:bottom w:type="dxa" w:w="80"/>
              <w:right w:type="dxa" w:w="120"/>
            </w:tcMar>
            <w:vAlign w:val="center"/>
          </w:tcPr>
          <w:p>
            <w:pPr>
              <w:jc w:val="left"/>
            </w:pPr>
            <w:r>
              <w:rPr>
                <w:b w:val="false"/>
                <w:bCs w:val="false"/>
                <w:sz w:val="20"/>
                <w:szCs w:val="20"/>
              </w:rPr>
              <w:t xml:space="preserve">Neutral / structural</w:t>
            </w:r>
          </w:p>
        </w:tc>
        <w:tc>
          <w:tcPr>
            <w:shd w:fill="F1EFE8" w:color="auto" w:val="clear"/>
            <w:tcMar>
              <w:top w:type="dxa" w:w="80"/>
              <w:left w:type="dxa" w:w="120"/>
              <w:bottom w:type="dxa" w:w="80"/>
              <w:right w:type="dxa" w:w="120"/>
            </w:tcMar>
            <w:vAlign w:val="center"/>
          </w:tcPr>
          <w:p>
            <w:pPr>
              <w:jc w:val="left"/>
            </w:pPr>
            <w:r>
              <w:rPr>
                <w:b w:val="false"/>
                <w:bCs w:val="false"/>
                <w:sz w:val="20"/>
                <w:szCs w:val="20"/>
              </w:rPr>
              <w:t xml:space="preserve"/>
            </w:r>
          </w:p>
        </w:tc>
        <w:tc>
          <w:tcPr>
            <w:tcMar>
              <w:top w:type="dxa" w:w="80"/>
              <w:left w:type="dxa" w:w="120"/>
              <w:bottom w:type="dxa" w:w="80"/>
              <w:right w:type="dxa" w:w="120"/>
            </w:tcMar>
            <w:vAlign w:val="center"/>
          </w:tcPr>
          <w:p>
            <w:pPr>
              <w:jc w:val="left"/>
            </w:pPr>
            <w:r>
              <w:rPr>
                <w:b w:val="false"/>
                <w:bCs w:val="false"/>
                <w:sz w:val="20"/>
                <w:szCs w:val="20"/>
              </w:rPr>
              <w:t xml:space="preserve">Chrome, dividers, inactive state</w:t>
            </w:r>
          </w:p>
        </w:tc>
        <w:tc>
          <w:tcPr>
            <w:tcMar>
              <w:top w:type="dxa" w:w="80"/>
              <w:left w:type="dxa" w:w="120"/>
              <w:bottom w:type="dxa" w:w="80"/>
              <w:right w:type="dxa" w:w="120"/>
            </w:tcMar>
            <w:vAlign w:val="center"/>
          </w:tcPr>
          <w:p>
            <w:pPr>
              <w:jc w:val="left"/>
            </w:pPr>
            <w:r>
              <w:rPr>
                <w:b w:val="false"/>
                <w:bCs w:val="false"/>
                <w:sz w:val="20"/>
                <w:szCs w:val="20"/>
              </w:rPr>
              <w:t xml:space="preserve">Backgrounds, hairlines, disabled controls</w:t>
            </w:r>
          </w:p>
        </w:tc>
      </w:tr>
    </w:tbl>
    <w:p>
      <w:pPr>
        <w:pStyle w:val="Heading1"/>
        <w:spacing w:after="200" w:before="400"/>
      </w:pPr>
      <w:r>
        <w:t xml:space="preserve">8. Typography</w:t>
      </w:r>
    </w:p>
    <w:p>
      <w:pPr>
        <w:pStyle w:val="ListParagraph"/>
        <w:numPr>
          <w:ilvl w:val="0"/>
          <w:numId w:val="1"/>
        </w:numPr>
        <w:spacing w:after="80"/>
      </w:pPr>
      <w:r>
        <w:t xml:space="preserve">Figures (account IDs, dates, counts, amounts) use a monospaced font so columns align vertically — this is the single detail that makes the interface read as a ledger rather than a generic list.</w:t>
      </w:r>
    </w:p>
    <w:p>
      <w:pPr>
        <w:pStyle w:val="ListParagraph"/>
        <w:numPr>
          <w:ilvl w:val="0"/>
          <w:numId w:val="1"/>
        </w:numPr>
        <w:spacing w:after="80"/>
      </w:pPr>
      <w:r>
        <w:t xml:space="preserve">Labels and descriptions use the standard sans-serif UI font at a lighter weight, subordinate to the figures.</w:t>
      </w:r>
    </w:p>
    <w:p>
      <w:pPr>
        <w:pStyle w:val="ListParagraph"/>
        <w:numPr>
          <w:ilvl w:val="0"/>
          <w:numId w:val="1"/>
        </w:numPr>
        <w:spacing w:after="80"/>
      </w:pPr>
      <w:r>
        <w:t xml:space="preserve">Sentence case throughout; no all-caps except single-letter tick codes if a future dense/compact view is needed.</w:t>
      </w:r>
    </w:p>
    <w:p>
      <w:pPr>
        <w:pStyle w:val="Heading1"/>
        <w:spacing w:after="200" w:before="400"/>
      </w:pPr>
      <w:r>
        <w:t xml:space="preserve">9. Motion</w:t>
      </w:r>
    </w:p>
    <w:p>
      <w:pPr>
        <w:spacing w:after="160"/>
      </w:pPr>
      <w:r>
        <w:t xml:space="preserve">Motion is used to communicate causality, not decoration — every animation in this spec exists to show the reviewer that something specific just happened. Nothing loops, and nothing is purely decorative.</w:t>
      </w:r>
    </w:p>
    <w:p>
      <w:pPr>
        <w:pStyle w:val="ListParagraph"/>
        <w:numPr>
          <w:ilvl w:val="0"/>
          <w:numId w:val="1"/>
        </w:numPr>
        <w:spacing w:after="80"/>
      </w:pPr>
      <w:r>
        <w:t xml:space="preserve">Batch load — metric numbers count up from zero over ~0.5s rather than appearing instantly, signaling that a live calculation just ran rather than a static label being displayed.</w:t>
      </w:r>
    </w:p>
    <w:p>
      <w:pPr>
        <w:pStyle w:val="ListParagraph"/>
        <w:numPr>
          <w:ilvl w:val="0"/>
          <w:numId w:val="1"/>
        </w:numPr>
        <w:spacing w:after="80"/>
      </w:pPr>
      <w:r>
        <w:t xml:space="preserve">Trend arrows pop in with a short spring easing on load, colored to direction — a one-time emphasis on which way the number moved since the last batch, not a persistent animation.</w:t>
      </w:r>
    </w:p>
    <w:p>
      <w:pPr>
        <w:pStyle w:val="ListParagraph"/>
        <w:numPr>
          <w:ilvl w:val="0"/>
          <w:numId w:val="1"/>
        </w:numPr>
        <w:spacing w:after="80"/>
      </w:pPr>
      <w:r>
        <w:t xml:space="preserve">Reveal-then-settle — on first load, every connector line (including clean matches) draws in briefly so the reviewer sees the full reconciliation happen once, then matched-pair lines and rows fade to a quiet state after ~1.5s, leaving only candidate, cross-tied, and unresolved lines visible. A toggle re-reveals all connectors on demand for a full audit pass.</w:t>
      </w:r>
    </w:p>
    <w:p>
      <w:pPr>
        <w:pStyle w:val="ListParagraph"/>
        <w:numPr>
          <w:ilvl w:val="0"/>
          <w:numId w:val="1"/>
        </w:numPr>
        <w:spacing w:after="80"/>
      </w:pPr>
      <w:r>
        <w:t xml:space="preserve">Running reconciliation stamps tick marks onto rows one at a time, left to right, with a short stagger delay per row — reinforces that each row was individually checked, not bulk-applied.</w:t>
      </w:r>
    </w:p>
    <w:p>
      <w:pPr>
        <w:pStyle w:val="ListParagraph"/>
        <w:numPr>
          <w:ilvl w:val="0"/>
          <w:numId w:val="1"/>
        </w:numPr>
        <w:spacing w:after="80"/>
      </w:pPr>
      <w:r>
        <w:t xml:space="preserve">Creating a manual tie or confirming a candidate draws its connector line growing from source to destination over ~0.5s, and the tick updates in place — no page reload, no modal, the line itself demonstrates the link being formed.</w:t>
      </w:r>
    </w:p>
    <w:p>
      <w:pPr>
        <w:pStyle w:val="ListParagraph"/>
        <w:numPr>
          <w:ilvl w:val="0"/>
          <w:numId w:val="1"/>
        </w:numPr>
        <w:spacing w:after="80"/>
      </w:pPr>
      <w:r>
        <w:t xml:space="preserve">Rejecting a candidate or closing an exception fades its prior state out as the row updates — confirms the action registered without a jarring jump.</w:t>
      </w:r>
    </w:p>
    <w:p>
      <w:pPr>
        <w:pStyle w:val="Heading1"/>
        <w:spacing w:after="200" w:before="400"/>
      </w:pPr>
      <w:r>
        <w:t xml:space="preserve">10. Accessibility</w:t>
      </w:r>
    </w:p>
    <w:p>
      <w:pPr>
        <w:pStyle w:val="ListParagraph"/>
        <w:numPr>
          <w:ilvl w:val="0"/>
          <w:numId w:val="1"/>
        </w:numPr>
        <w:spacing w:after="80"/>
      </w:pPr>
      <w:r>
        <w:t xml:space="preserve">Every state is encoded by both color and shape/symbol (tick mark, arrow direction, row border) — never color alone.</w:t>
      </w:r>
    </w:p>
    <w:p>
      <w:pPr>
        <w:pStyle w:val="ListParagraph"/>
        <w:numPr>
          <w:ilvl w:val="0"/>
          <w:numId w:val="1"/>
        </w:numPr>
        <w:spacing w:after="80"/>
      </w:pPr>
      <w:r>
        <w:t xml:space="preserve">Minimum touch target 44px for review actions (confirm, flag) on any touch-capable deployment.</w:t>
      </w:r>
    </w:p>
    <w:p>
      <w:pPr>
        <w:pStyle w:val="ListParagraph"/>
        <w:numPr>
          <w:ilvl w:val="0"/>
          <w:numId w:val="1"/>
        </w:numPr>
        <w:spacing w:after="80"/>
      </w:pPr>
      <w:r>
        <w:t xml:space="preserve">Legend strip is not optional chrome — it is required reading and should be present on first render, not hidden behind a tooltip.</w:t>
      </w:r>
    </w:p>
    <w:p>
      <w:pPr>
        <w:pStyle w:val="Heading1"/>
        <w:spacing w:after="200" w:before="400"/>
      </w:pPr>
      <w:r>
        <w:t xml:space="preserve">11. Manual reconciliation flow</w:t>
      </w:r>
    </w:p>
    <w:p>
      <w:pPr>
        <w:spacing w:after="160"/>
      </w:pPr>
      <w:r>
        <w:t xml:space="preserve">Every exception state is actionable, not just visible. This is the core answer to ‘how does a person actually reconcile a mismatch’ — modeled on how a reviewer works a paper ledger: pick up the item that doesn't tie, find its likely counterpart, mark the decision, move to the next one.</w:t>
      </w:r>
    </w:p>
    <w:p>
      <w:pPr>
        <w:pStyle w:val="Heading2"/>
        <w:spacing w:after="150" w:before="300"/>
      </w:pPr>
      <w:r>
        <w:t xml:space="preserve">11.1 Unresolved row (no automatic counterpart)</w:t>
      </w:r>
    </w:p>
    <w:p>
      <w:pPr>
        <w:pStyle w:val="ListParagraph"/>
        <w:numPr>
          <w:ilvl w:val="0"/>
          <w:numId w:val="1"/>
        </w:numPr>
        <w:spacing w:after="80"/>
      </w:pPr>
      <w:r>
        <w:t xml:space="preserve">Tapping an unresolved row opens an inline panel — not a modal — directly beneath the split panel, so the reviewer keeps context of where they are in the batch.</w:t>
      </w:r>
    </w:p>
    <w:p>
      <w:pPr>
        <w:pStyle w:val="ListParagraph"/>
        <w:numPr>
          <w:ilvl w:val="0"/>
          <w:numId w:val="1"/>
        </w:numPr>
        <w:spacing w:after="80"/>
      </w:pPr>
      <w:r>
        <w:t xml:space="preserve">The panel lists every currently-unresolved entry on the opposite side, so the reviewer can manually select the true counterpart the system failed to link automatically.</w:t>
      </w:r>
    </w:p>
    <w:p>
      <w:pPr>
        <w:pStyle w:val="ListParagraph"/>
        <w:numPr>
          <w:ilvl w:val="0"/>
          <w:numId w:val="1"/>
        </w:numPr>
        <w:spacing w:after="80"/>
      </w:pPr>
      <w:r>
        <w:t xml:space="preserve">Selecting a candidate creates a manual tie: both rows update to the ‘manually tied’ mark, a connector line draws between them, and the chosen entry leaves the unresolved pool so it can't be selected twice.</w:t>
      </w:r>
    </w:p>
    <w:p>
      <w:pPr>
        <w:pStyle w:val="ListParagraph"/>
        <w:numPr>
          <w:ilvl w:val="0"/>
          <w:numId w:val="1"/>
        </w:numPr>
        <w:spacing w:after="80"/>
      </w:pPr>
      <w:r>
        <w:t xml:space="preserve">If no counterpart genuinely exists, ‘Mark reviewed — no match’ closes the exception without forcing a false tie — the row keeps its own distinct mark so it reads as ‘looked at and confirmed empty,’ not ‘untouched.’</w:t>
      </w:r>
    </w:p>
    <w:p>
      <w:pPr>
        <w:pStyle w:val="Heading2"/>
        <w:spacing w:after="150" w:before="300"/>
      </w:pPr>
      <w:r>
        <w:t xml:space="preserve">11.2 Candidate row (system-suggested, within date tolerance)</w:t>
      </w:r>
    </w:p>
    <w:p>
      <w:pPr>
        <w:pStyle w:val="ListParagraph"/>
        <w:numPr>
          <w:ilvl w:val="0"/>
          <w:numId w:val="1"/>
        </w:numPr>
        <w:spacing w:after="80"/>
      </w:pPr>
      <w:r>
        <w:t xml:space="preserve">Tapping a candidate opens a panel stating the suggested pair and the exact date offset in plain language, with Confirm and Reject actions — the system proposes, the reviewer decides.</w:t>
      </w:r>
    </w:p>
    <w:p>
      <w:pPr>
        <w:pStyle w:val="ListParagraph"/>
        <w:numPr>
          <w:ilvl w:val="0"/>
          <w:numId w:val="1"/>
        </w:numPr>
        <w:spacing w:after="80"/>
      </w:pPr>
      <w:r>
        <w:t xml:space="preserve">Confirm promotes the pair to a matched connector (solid, teal).</w:t>
      </w:r>
    </w:p>
    <w:p>
      <w:pPr>
        <w:pStyle w:val="ListParagraph"/>
        <w:numPr>
          <w:ilvl w:val="0"/>
          <w:numId w:val="1"/>
        </w:numPr>
        <w:spacing w:after="80"/>
      </w:pPr>
      <w:r>
        <w:t xml:space="preserve">Reject releases both records back into their respective unresolved pools, where they can then be manually tied elsewhere via the flow in 11.1 — rejecting a suggestion never deletes the record, it just returns it to the queue.</w:t>
      </w:r>
    </w:p>
    <w:p>
      <w:pPr>
        <w:pStyle w:val="Heading2"/>
        <w:spacing w:after="150" w:before="300"/>
      </w:pPr>
      <w:r>
        <w:t xml:space="preserve">11.3 Ambiguous row (multiple plausible matches)</w:t>
      </w:r>
    </w:p>
    <w:p>
      <w:pPr>
        <w:spacing w:after="160"/>
      </w:pPr>
      <w:r>
        <w:t xml:space="preserve">A single-best-guess auto-classification is the wrong default when more than one invoice line could plausibly belong to the same account — duplicate submissions and repeat collection cycles make this a real case for bankruptcy/deceased accounts, not an edge case. Classification (Appendix 14.2) must check for this before ever settling on ‘candidate.’</w:t>
      </w:r>
    </w:p>
    <w:p>
      <w:pPr>
        <w:pStyle w:val="ListParagraph"/>
        <w:numPr>
          <w:ilvl w:val="0"/>
          <w:numId w:val="1"/>
        </w:numPr>
        <w:spacing w:after="80"/>
      </w:pPr>
      <w:r>
        <w:t xml:space="preserve">When more than one invoice line matches the same account ID within tolerance, the file row is classified ‘ambiguous’ — a distinct state from candidate, never auto-resolved to whichever match happened to be found first.</w:t>
      </w:r>
    </w:p>
    <w:p>
      <w:pPr>
        <w:pStyle w:val="ListParagraph"/>
        <w:numPr>
          <w:ilvl w:val="0"/>
          <w:numId w:val="1"/>
        </w:numPr>
        <w:spacing w:after="80"/>
      </w:pPr>
      <w:r>
        <w:t xml:space="preserve">Tapping an ambiguous row opens a panel listing every matching invoice line side by side — account ID, date, and any distinguishing field such as batch or cycle number — and requires the reviewer to pick the correct one explicitly.</w:t>
      </w:r>
    </w:p>
    <w:p>
      <w:pPr>
        <w:pStyle w:val="ListParagraph"/>
        <w:numPr>
          <w:ilvl w:val="0"/>
          <w:numId w:val="1"/>
        </w:numPr>
        <w:spacing w:after="80"/>
      </w:pPr>
      <w:r>
        <w:t xml:space="preserve">A comment is required to resolve an ambiguous row regardless of which candidate is chosen, since disambiguating a duplicate is itself a judgment call worth recording — unlike a plain manual tie, where a comment stays optional.</w:t>
      </w:r>
    </w:p>
    <w:p>
      <w:pPr>
        <w:pStyle w:val="ListParagraph"/>
        <w:numPr>
          <w:ilvl w:val="0"/>
          <w:numId w:val="1"/>
        </w:numPr>
        <w:spacing w:after="80"/>
      </w:pPr>
      <w:r>
        <w:t xml:space="preserve">If none of the listed candidates are actually correct, the reviewer can fall back to the full unresolved-pool search from 11.1.</w:t>
      </w:r>
    </w:p>
    <w:p>
      <w:pPr>
        <w:pStyle w:val="Heading2"/>
        <w:spacing w:after="150" w:before="300"/>
      </w:pPr>
      <w:r>
        <w:t xml:space="preserve">11.4 Cross-tied row</w:t>
      </w:r>
    </w:p>
    <w:p>
      <w:pPr>
        <w:pStyle w:val="ListParagraph"/>
        <w:numPr>
          <w:ilvl w:val="0"/>
          <w:numId w:val="1"/>
        </w:numPr>
        <w:spacing w:after="80"/>
      </w:pPr>
      <w:r>
        <w:t xml:space="preserve">Tapping shows read-only context — which batch or reference verified it — with no action available, since it required no reviewer decision in the first place.</w:t>
      </w:r>
    </w:p>
    <w:p>
      <w:pPr>
        <w:pStyle w:val="Heading2"/>
        <w:spacing w:after="150" w:before="300"/>
      </w:pPr>
      <w:r>
        <w:t xml:space="preserve">11.5 Searching the unresolved pool at scale</w:t>
      </w:r>
    </w:p>
    <w:p>
      <w:pPr>
        <w:pStyle w:val="ListParagraph"/>
        <w:numPr>
          <w:ilvl w:val="0"/>
          <w:numId w:val="1"/>
        </w:numPr>
        <w:spacing w:after="80"/>
      </w:pPr>
      <w:r>
        <w:t xml:space="preserve">A batch with hundreds of exceptions makes a plain list unusable, so the picker in 11.1 opens with a search field focused by default, filtering the pool by account ID as the reviewer types.</w:t>
      </w:r>
    </w:p>
    <w:p>
      <w:pPr>
        <w:pStyle w:val="ListParagraph"/>
        <w:numPr>
          <w:ilvl w:val="0"/>
          <w:numId w:val="1"/>
        </w:numPr>
        <w:spacing w:after="80"/>
      </w:pPr>
      <w:r>
        <w:t xml:space="preserve">Below a rough threshold (roughly 20 unresolved entries) the search field can stay hidden and the plain list is enough — it should only appear once the pool exceeds that size, so small batches aren't cluttered with a control they don't need.</w:t>
      </w:r>
    </w:p>
    <w:p>
      <w:pPr>
        <w:pStyle w:val="ListParagraph"/>
        <w:numPr>
          <w:ilvl w:val="0"/>
          <w:numId w:val="1"/>
        </w:numPr>
        <w:spacing w:after="80"/>
      </w:pPr>
      <w:r>
        <w:t xml:space="preserve">Default sort within the pool is by date proximity to the selected row, not alphabetical or arrival order — the most likely counterpart should be the first thing the reviewer sees, before they even need to search.</w:t>
      </w:r>
    </w:p>
    <w:p>
      <w:pPr>
        <w:pStyle w:val="Heading2"/>
        <w:spacing w:after="150" w:before="300"/>
      </w:pPr>
      <w:r>
        <w:t xml:space="preserve">11.6 Reviewer comments</w:t>
      </w:r>
    </w:p>
    <w:p>
      <w:pPr>
        <w:pStyle w:val="ListParagraph"/>
        <w:numPr>
          <w:ilvl w:val="0"/>
          <w:numId w:val="1"/>
        </w:numPr>
        <w:spacing w:after="80"/>
      </w:pPr>
      <w:r>
        <w:t xml:space="preserve">Confirming a manual tie includes an optional comment field — ‘why does this tie make sense’ — encouraged but not blocking, since many ties are self-evident from the account ID and date alone.</w:t>
      </w:r>
    </w:p>
    <w:p>
      <w:pPr>
        <w:pStyle w:val="ListParagraph"/>
        <w:numPr>
          <w:ilvl w:val="0"/>
          <w:numId w:val="1"/>
        </w:numPr>
        <w:spacing w:after="80"/>
      </w:pPr>
      <w:r>
        <w:t xml:space="preserve">Marking a row ‘reviewed — no match’ requires a comment before it can be submitted, and resolving an ambiguous row (11.3) requires one too — these are the two places this module forces justification, mirroring the mandatory-comment rule already used in the eligible-accounts letter-approval workflow.</w:t>
      </w:r>
    </w:p>
    <w:p>
      <w:pPr>
        <w:pStyle w:val="ListParagraph"/>
        <w:numPr>
          <w:ilvl w:val="0"/>
          <w:numId w:val="1"/>
        </w:numPr>
        <w:spacing w:after="80"/>
      </w:pPr>
      <w:r>
        <w:t xml:space="preserve">Any row carrying a comment shows a small message-bubble marker next to its tick mark. Tapping a manually-tied or reviewed row afterward reopens the comment as read-only context — the note travels with the record, not just the audit log.</w:t>
      </w:r>
    </w:p>
    <w:p>
      <w:pPr>
        <w:pStyle w:val="Heading2"/>
        <w:spacing w:after="150" w:before="300"/>
      </w:pPr>
      <w:r>
        <w:t xml:space="preserve">11.7 Audit trail</w:t>
      </w:r>
    </w:p>
    <w:p>
      <w:pPr>
        <w:pStyle w:val="ListParagraph"/>
        <w:numPr>
          <w:ilvl w:val="0"/>
          <w:numId w:val="1"/>
        </w:numPr>
        <w:spacing w:after="80"/>
      </w:pPr>
      <w:r>
        <w:t xml:space="preserve">Every manual action — tie created, candidate confirmed or rejected, ambiguity resolved, exception marked reviewed — writes an entry to the existing iResolve audit-log pattern: reviewer identity, timestamp, before/after state, and the comment if one was entered.</w:t>
      </w:r>
    </w:p>
    <w:p>
      <w:pPr>
        <w:pStyle w:val="ListParagraph"/>
        <w:numPr>
          <w:ilvl w:val="0"/>
          <w:numId w:val="1"/>
        </w:numPr>
        <w:spacing w:after="80"/>
      </w:pPr>
      <w:r>
        <w:t xml:space="preserve">Manually tied pairs remain visually distinct (blue link mark and blue connector) from system-matched pairs indefinitely — months later, anyone reviewing the batch can tell which ties were computed and which were a human judgment call.</w:t>
      </w:r>
    </w:p>
    <w:p>
      <w:pPr>
        <w:pStyle w:val="Heading1"/>
        <w:spacing w:after="200" w:before="400"/>
      </w:pPr>
      <w:r>
        <w:t xml:space="preserve">12. Component breakdown for handoff</w:t>
      </w:r>
    </w:p>
    <w:p>
      <w:pPr>
        <w:pStyle w:val="ListParagraph"/>
        <w:numPr>
          <w:ilvl w:val="0"/>
          <w:numId w:val="1"/>
        </w:numPr>
        <w:spacing w:after="80"/>
      </w:pPr>
      <w:r>
        <w:t xml:space="preserve">SummaryBar — 4 metric cards + 2 trend arrows, reads from batch comparison endpoint</w:t>
      </w:r>
    </w:p>
    <w:p>
      <w:pPr>
        <w:pStyle w:val="ListParagraph"/>
        <w:numPr>
          <w:ilvl w:val="0"/>
          <w:numId w:val="1"/>
        </w:numPr>
        <w:spacing w:after="80"/>
      </w:pPr>
      <w:r>
        <w:t xml:space="preserve">SplitReconciliationPanel — two virtualized row lists (file / invoice) + SVG connector overlay recalculated on scroll and resize, invoice order derived from file order per Section 4.1</w:t>
      </w:r>
    </w:p>
    <w:p>
      <w:pPr>
        <w:pStyle w:val="ListParagraph"/>
        <w:numPr>
          <w:ilvl w:val="0"/>
          <w:numId w:val="1"/>
        </w:numPr>
        <w:spacing w:after="80"/>
      </w:pPr>
      <w:r>
        <w:t xml:space="preserve">TickBadge — stamp component, 6 states (agreed / recomputed / ambiguous / cross-tied / manually tied / reviewed), stagger-animated on batch run</w:t>
      </w:r>
    </w:p>
    <w:p>
      <w:pPr>
        <w:pStyle w:val="ListParagraph"/>
        <w:numPr>
          <w:ilvl w:val="0"/>
          <w:numId w:val="1"/>
        </w:numPr>
        <w:spacing w:after="80"/>
      </w:pPr>
      <w:r>
        <w:t xml:space="preserve">LegendStrip — sticky footer, single source of truth for tick and connector meaning</w:t>
      </w:r>
    </w:p>
    <w:p>
      <w:pPr>
        <w:pStyle w:val="ListParagraph"/>
        <w:numPr>
          <w:ilvl w:val="0"/>
          <w:numId w:val="1"/>
        </w:numPr>
        <w:spacing w:after="80"/>
      </w:pPr>
      <w:r>
        <w:t xml:space="preserve">RowDetailDrawer — audit trail: reviewer, timestamp, prior tick history, comments</w:t>
      </w:r>
    </w:p>
    <w:p>
      <w:pPr>
        <w:pStyle w:val="ListParagraph"/>
        <w:numPr>
          <w:ilvl w:val="0"/>
          <w:numId w:val="1"/>
        </w:numPr>
        <w:spacing w:after="80"/>
      </w:pPr>
      <w:r>
        <w:t xml:space="preserve">All state transitions (tick applied, match confirmed, row flagged) write to the existing audit-log pattern already used elsewhere in iResolve.</w:t>
      </w:r>
    </w:p>
    <w:p>
      <w:pPr>
        <w:pStyle w:val="Heading1"/>
        <w:spacing w:after="200" w:before="400"/>
      </w:pPr>
      <w:r>
        <w:t xml:space="preserve">13. Open decisions</w:t>
      </w:r>
    </w:p>
    <w:p>
      <w:pPr>
        <w:pStyle w:val="ListParagraph"/>
        <w:numPr>
          <w:ilvl w:val="0"/>
          <w:numId w:val="1"/>
        </w:numPr>
        <w:spacing w:after="80"/>
      </w:pPr>
      <w:r>
        <w:t xml:space="preserve">Exact date-tolerance window for a ‘candidate’ match (± how many days) — configurable per vendor, or fixed?</w:t>
      </w:r>
    </w:p>
    <w:p>
      <w:pPr>
        <w:pStyle w:val="ListParagraph"/>
        <w:numPr>
          <w:ilvl w:val="0"/>
          <w:numId w:val="1"/>
        </w:numPr>
        <w:spacing w:after="80"/>
      </w:pPr>
      <w:r>
        <w:t xml:space="preserve">Whether the legend strip stays sticky at all times or only appears once per session with a persistent ‘view legend’ affordance for very long batches.</w:t>
      </w:r>
    </w:p>
    <w:p>
      <w:pPr>
        <w:pStyle w:val="ListParagraph"/>
        <w:numPr>
          <w:ilvl w:val="0"/>
          <w:numId w:val="1"/>
        </w:numPr>
        <w:spacing w:after="80"/>
      </w:pPr>
      <w:r>
        <w:t xml:space="preserve">Exact threshold at which the pool search field appears (Section 11.5 estimates ~20 entries) — worth validating against real batch sizes rather than a guess.</w:t>
      </w:r>
    </w:p>
    <w:p>
      <w:pPr>
        <w:pStyle w:val="ListParagraph"/>
        <w:numPr>
          <w:ilvl w:val="0"/>
          <w:numId w:val="1"/>
        </w:numPr>
        <w:spacing w:after="80"/>
      </w:pPr>
      <w:r>
        <w:t xml:space="preserve">Connector rendering when the matched row falls outside the virtualized viewport — needs a fallback (e.g. an edge indicator with ‘tied to a row below, tap to jump’) rather than assuming both endpoints are always in the DOM.</w:t>
      </w:r>
    </w:p>
    <w:p>
      <w:pPr>
        <w:pStyle w:val="ListParagraph"/>
        <w:numPr>
          <w:ilvl w:val="0"/>
          <w:numId w:val="1"/>
        </w:numPr>
        <w:spacing w:after="80"/>
      </w:pPr>
      <w:r>
        <w:t xml:space="preserve">Precise definition of ‘last batch’ for the trend arrows in Section 5 — immediately prior run, same weekday last cycle, or a rolling average. Day-to-day noise could otherwise flip an arrow's direction without meaning anything.</w:t>
      </w:r>
    </w:p>
    <w:p>
      <w:pPr>
        <w:pStyle w:val="ListParagraph"/>
        <w:numPr>
          <w:ilvl w:val="0"/>
          <w:numId w:val="1"/>
        </w:numPr>
        <w:spacing w:after="80"/>
      </w:pPr>
      <w:r>
        <w:t xml:space="preserve">Resolved this round: matched-pair connectors declutter after the initial reveal-then-settle animation (Section 9); manual overrides and reviewer comments are specified in Section 11; row ordering (4.1) and ambiguous/duplicate matches (11.3) are now specified rather than left implicit.</w:t>
      </w:r>
    </w:p>
    <w:p>
      <w:r>
        <w:br w:type="page"/>
      </w:r>
    </w:p>
    <w:p>
      <w:pPr>
        <w:pStyle w:val="Heading1"/>
        <w:spacing w:after="200" w:before="400"/>
      </w:pPr>
      <w:r>
        <w:t xml:space="preserve">14. Appendix — reference implementation</w:t>
      </w:r>
    </w:p>
    <w:p>
      <w:pPr>
        <w:spacing w:after="160"/>
      </w:pPr>
      <w:r>
        <w:t xml:space="preserve">The following snippets are working logic pulled directly from the interactive prototypes reviewed during this design pass — not pseudocode. They're framework-agnostic (vanilla DOM/SVG) so Codex or Claude Code can port the logic into iResolve's actual React/FastAPI stack rather than re-deriving it from prose. Selector names and state shape are illustrative; adapt to the real data model.</w:t>
      </w:r>
    </w:p>
    <w:p>
      <w:pPr>
        <w:pStyle w:val="Heading2"/>
        <w:spacing w:after="150" w:before="300"/>
      </w:pPr>
      <w:r>
        <w:t xml:space="preserve">14.1 Connector line construction</w:t>
      </w:r>
    </w:p>
    <w:p>
      <w:pPr>
        <w:spacing w:after="160"/>
      </w:pPr>
      <w:r>
        <w:t xml:space="preserve">Draws a cubic-bezier line between a file row and its invoice counterpart using live DOM positions — not fixed coordinates — so it holds up under variable row heights and content.</w:t>
      </w:r>
    </w:p>
    <w:p>
      <w:pPr>
        <w:pBdr>
          <w:top w:val="single" w:color="D8D5CC" w:sz="4" w:space="6"/>
          <w:bottom w:val="single" w:color="D8D5CC" w:sz="4" w:space="6"/>
          <w:left w:val="single" w:color="D8D5CC" w:sz="4" w:space="8"/>
          <w:right w:val="single" w:color="D8D5CC" w:sz="4" w:space="8"/>
        </w:pBdr>
        <w:shd w:fill="F1EFE8" w:color="auto" w:val="clear"/>
        <w:spacing w:after="200" w:line="260"/>
      </w:pPr>
      <w:r>
        <w:rPr>
          <w:rFonts w:ascii="Courier New" w:cs="Courier New" w:eastAsia="Courier New" w:hAnsi="Courier New"/>
          <w:sz w:val="16"/>
          <w:szCs w:val="16"/>
        </w:rPr>
        <w:t xml:space="preserve">function drawConnector(fileRowEl, invoiceRowEl, color, dashArray) {</w:t>
      </w:r>
      <w:r>
        <w:br/>
        <w:t xml:space="preserve"/>
      </w:r>
      <w:r>
        <w:rPr>
          <w:rFonts w:ascii="Courier New" w:cs="Courier New" w:eastAsia="Courier New" w:hAnsi="Courier New"/>
          <w:sz w:val="16"/>
          <w:szCs w:val="16"/>
        </w:rPr>
        <w:t xml:space="preserve">  const wrapRect = wrap.getBoundingClientRect();</w:t>
      </w:r>
      <w:r>
        <w:br/>
        <w:t xml:space="preserve"/>
      </w:r>
      <w:r>
        <w:rPr>
          <w:rFonts w:ascii="Courier New" w:cs="Courier New" w:eastAsia="Courier New" w:hAnsi="Courier New"/>
          <w:sz w:val="16"/>
          <w:szCs w:val="16"/>
        </w:rPr>
        <w:t xml:space="preserve">  const r1 = fileRowEl.getBoundingClientRect();</w:t>
      </w:r>
      <w:r>
        <w:br/>
        <w:t xml:space="preserve"/>
      </w:r>
      <w:r>
        <w:rPr>
          <w:rFonts w:ascii="Courier New" w:cs="Courier New" w:eastAsia="Courier New" w:hAnsi="Courier New"/>
          <w:sz w:val="16"/>
          <w:szCs w:val="16"/>
        </w:rPr>
        <w:t xml:space="preserve">  const r2 = invoiceRowEl.getBoundingClientRect();</w:t>
      </w:r>
      <w:r>
        <w:br/>
        <w:t xml:space="preserve"/>
      </w:r>
      <w:r>
        <w:rPr>
          <w:rFonts w:ascii="Courier New" w:cs="Courier New" w:eastAsia="Courier New" w:hAnsi="Courier New"/>
          <w:sz w:val="16"/>
          <w:szCs w:val="16"/>
        </w:rPr>
        <w:t xml:space="preserve">  const p1 = { x: r1.right - wrapRect.left, y: r1.top - wrapRect.top + r1.height / 2 };</w:t>
      </w:r>
      <w:r>
        <w:br/>
        <w:t xml:space="preserve"/>
      </w:r>
      <w:r>
        <w:rPr>
          <w:rFonts w:ascii="Courier New" w:cs="Courier New" w:eastAsia="Courier New" w:hAnsi="Courier New"/>
          <w:sz w:val="16"/>
          <w:szCs w:val="16"/>
        </w:rPr>
        <w:t xml:space="preserve">  const p2 = { x: r2.left - wrapRect.left, y: r2.top - wrapRect.top + r2.height / 2 };</w:t>
      </w:r>
      <w:r>
        <w:br/>
        <w:t xml:space="preserve"/>
      </w:r>
      <w:r>
        <w:rPr>
          <w:rFonts w:ascii="Courier New" w:cs="Courier New" w:eastAsia="Courier New" w:hAnsi="Courier New"/>
          <w:sz w:val="16"/>
          <w:szCs w:val="16"/>
        </w:rPr>
        <w:t xml:space="preserve">  const midX = (p1.x + p2.x) / 2;</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const path = document.createElementNS('http://www.w3.org/2000/svg', 'path');</w:t>
      </w:r>
      <w:r>
        <w:br/>
        <w:t xml:space="preserve"/>
      </w:r>
      <w:r>
        <w:rPr>
          <w:rFonts w:ascii="Courier New" w:cs="Courier New" w:eastAsia="Courier New" w:hAnsi="Courier New"/>
          <w:sz w:val="16"/>
          <w:szCs w:val="16"/>
        </w:rPr>
        <w:t xml:space="preserve">  path.setAttribute('d',</w:t>
      </w:r>
      <w:r>
        <w:br/>
        <w:t xml:space="preserve"/>
      </w:r>
      <w:r>
        <w:rPr>
          <w:rFonts w:ascii="Courier New" w:cs="Courier New" w:eastAsia="Courier New" w:hAnsi="Courier New"/>
          <w:sz w:val="16"/>
          <w:szCs w:val="16"/>
        </w:rPr>
        <w:t xml:space="preserve">    `M ${p1.x} ${p1.y} C ${midX} ${p1.y}, ${midX} ${p2.y}, ${p2.x} ${p2.y}`);</w:t>
      </w:r>
      <w:r>
        <w:br/>
        <w:t xml:space="preserve"/>
      </w:r>
      <w:r>
        <w:rPr>
          <w:rFonts w:ascii="Courier New" w:cs="Courier New" w:eastAsia="Courier New" w:hAnsi="Courier New"/>
          <w:sz w:val="16"/>
          <w:szCs w:val="16"/>
        </w:rPr>
        <w:t xml:space="preserve">  path.setAttribute('fill', 'none');</w:t>
      </w:r>
      <w:r>
        <w:br/>
        <w:t xml:space="preserve"/>
      </w:r>
      <w:r>
        <w:rPr>
          <w:rFonts w:ascii="Courier New" w:cs="Courier New" w:eastAsia="Courier New" w:hAnsi="Courier New"/>
          <w:sz w:val="16"/>
          <w:szCs w:val="16"/>
        </w:rPr>
        <w:t xml:space="preserve">  path.setAttribute('stroke', color);</w:t>
      </w:r>
      <w:r>
        <w:br/>
        <w:t xml:space="preserve"/>
      </w:r>
      <w:r>
        <w:rPr>
          <w:rFonts w:ascii="Courier New" w:cs="Courier New" w:eastAsia="Courier New" w:hAnsi="Courier New"/>
          <w:sz w:val="16"/>
          <w:szCs w:val="16"/>
        </w:rPr>
        <w:t xml:space="preserve">  path.setAttribute('stroke-width', '1.6');</w:t>
      </w:r>
      <w:r>
        <w:br/>
        <w:t xml:space="preserve"/>
      </w:r>
      <w:r>
        <w:rPr>
          <w:rFonts w:ascii="Courier New" w:cs="Courier New" w:eastAsia="Courier New" w:hAnsi="Courier New"/>
          <w:sz w:val="16"/>
          <w:szCs w:val="16"/>
        </w:rPr>
        <w:t xml:space="preserve">  if (dashArray) path.setAttribute('stroke-dasharray', dashArray);</w:t>
      </w:r>
      <w:r>
        <w:br/>
        <w:t xml:space="preserve"/>
      </w:r>
      <w:r>
        <w:rPr>
          <w:rFonts w:ascii="Courier New" w:cs="Courier New" w:eastAsia="Courier New" w:hAnsi="Courier New"/>
          <w:sz w:val="16"/>
          <w:szCs w:val="16"/>
        </w:rPr>
        <w:t xml:space="preserve">  path.setAttribute('stroke-linecap', 'round');</w:t>
      </w:r>
      <w:r>
        <w:br/>
        <w:t xml:space="preserve"/>
      </w:r>
      <w:r>
        <w:rPr>
          <w:rFonts w:ascii="Courier New" w:cs="Courier New" w:eastAsia="Courier New" w:hAnsi="Courier New"/>
          <w:sz w:val="16"/>
          <w:szCs w:val="16"/>
        </w:rPr>
        <w:t xml:space="preserve">  svg.appendChild(path);</w:t>
      </w:r>
      <w:r>
        <w:br/>
        <w:t xml:space="preserve"/>
      </w:r>
      <w:r>
        <w:rPr>
          <w:rFonts w:ascii="Courier New" w:cs="Courier New" w:eastAsia="Courier New" w:hAnsi="Courier New"/>
          <w:sz w:val="16"/>
          <w:szCs w:val="16"/>
        </w:rPr>
        <w:t xml:space="preserv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Recalculate on scroll and resize, not just on data change —</w:t>
      </w:r>
      <w:r>
        <w:br/>
        <w:t xml:space="preserve"/>
      </w:r>
      <w:r>
        <w:rPr>
          <w:rFonts w:ascii="Courier New" w:cs="Courier New" w:eastAsia="Courier New" w:hAnsi="Courier New"/>
          <w:sz w:val="16"/>
          <w:szCs w:val="16"/>
        </w:rPr>
        <w:t xml:space="preserve">// positions drift whenever the row list scrolls under the SVG overlay.</w:t>
      </w:r>
      <w:r>
        <w:br/>
        <w:t xml:space="preserve"/>
      </w:r>
      <w:r>
        <w:rPr>
          <w:rFonts w:ascii="Courier New" w:cs="Courier New" w:eastAsia="Courier New" w:hAnsi="Courier New"/>
          <w:sz w:val="16"/>
          <w:szCs w:val="16"/>
        </w:rPr>
        <w:t xml:space="preserve">window.addEventListener('resize', redrawAllConnectors);</w:t>
      </w:r>
      <w:r>
        <w:br/>
        <w:t xml:space="preserve"/>
      </w:r>
      <w:r>
        <w:rPr>
          <w:rFonts w:ascii="Courier New" w:cs="Courier New" w:eastAsia="Courier New" w:hAnsi="Courier New"/>
          <w:sz w:val="16"/>
          <w:szCs w:val="16"/>
        </w:rPr>
        <w:t xml:space="preserve">splitPanelScrollContainer.addEventListener('scroll', redrawAllConnectors);</w:t>
      </w:r>
    </w:p>
    <w:p>
      <w:pPr>
        <w:pStyle w:val="Heading2"/>
        <w:spacing w:after="150" w:before="300"/>
      </w:pPr>
      <w:r>
        <w:t xml:space="preserve">14.2 Match classification</w:t>
      </w:r>
    </w:p>
    <w:p>
      <w:pPr>
        <w:spacing w:after="160"/>
      </w:pPr>
      <w:r>
        <w:t xml:space="preserve">Classifies a file record against the invoice set by account ID and date tolerance, checking for multiple plausible matches before ever settling on a single candidate — this is the core reconciliation decision the whole UI is built to visualize, and the ambiguous-match check (Section 11.3) is not optional.</w:t>
      </w:r>
    </w:p>
    <w:p>
      <w:pPr>
        <w:pBdr>
          <w:top w:val="single" w:color="D8D5CC" w:sz="4" w:space="6"/>
          <w:bottom w:val="single" w:color="D8D5CC" w:sz="4" w:space="6"/>
          <w:left w:val="single" w:color="D8D5CC" w:sz="4" w:space="8"/>
          <w:right w:val="single" w:color="D8D5CC" w:sz="4" w:space="8"/>
        </w:pBdr>
        <w:shd w:fill="F1EFE8" w:color="auto" w:val="clear"/>
        <w:spacing w:after="200" w:line="260"/>
      </w:pPr>
      <w:r>
        <w:rPr>
          <w:rFonts w:ascii="Courier New" w:cs="Courier New" w:eastAsia="Courier New" w:hAnsi="Courier New"/>
          <w:sz w:val="16"/>
          <w:szCs w:val="16"/>
        </w:rPr>
        <w:t xml:space="preserve">function classify(fileRecord, invoiceByAccountId, toleranceDays = 3) {</w:t>
      </w:r>
      <w:r>
        <w:br/>
        <w:t xml:space="preserve"/>
      </w:r>
      <w:r>
        <w:rPr>
          <w:rFonts w:ascii="Courier New" w:cs="Courier New" w:eastAsia="Courier New" w:hAnsi="Courier New"/>
          <w:sz w:val="16"/>
          <w:szCs w:val="16"/>
        </w:rPr>
        <w:t xml:space="preserve">  const matches = (invoiceByAccountId[fileRecord.accountId] || [])</w:t>
      </w:r>
      <w:r>
        <w:br/>
        <w:t xml:space="preserve"/>
      </w:r>
      <w:r>
        <w:rPr>
          <w:rFonts w:ascii="Courier New" w:cs="Courier New" w:eastAsia="Courier New" w:hAnsi="Courier New"/>
          <w:sz w:val="16"/>
          <w:szCs w:val="16"/>
        </w:rPr>
        <w:t xml:space="preserve">    .filter(inv =&gt; Math.abs(inv.date - fileRecord.date) &lt;= toleranceDays);</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if (matches.length === 0) return { status: 'unresolved'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if (matches.length &gt; 1) {</w:t>
      </w:r>
      <w:r>
        <w:br/>
        <w:t xml:space="preserve"/>
      </w:r>
      <w:r>
        <w:rPr>
          <w:rFonts w:ascii="Courier New" w:cs="Courier New" w:eastAsia="Courier New" w:hAnsi="Courier New"/>
          <w:sz w:val="16"/>
          <w:szCs w:val="16"/>
        </w:rPr>
        <w:t xml:space="preserve">    return { status: 'ambiguous', candidates: matches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const inv = matches[0];</w:t>
      </w:r>
      <w:r>
        <w:br/>
        <w:t xml:space="preserve"/>
      </w:r>
      <w:r>
        <w:rPr>
          <w:rFonts w:ascii="Courier New" w:cs="Courier New" w:eastAsia="Courier New" w:hAnsi="Courier New"/>
          <w:sz w:val="16"/>
          <w:szCs w:val="16"/>
        </w:rPr>
        <w:t xml:space="preserve">  const dayDiff = Math.abs(inv.date - fileRecord.date);</w:t>
      </w:r>
      <w:r>
        <w:br/>
        <w:t xml:space="preserve"/>
      </w:r>
      <w:r>
        <w:rPr>
          <w:rFonts w:ascii="Courier New" w:cs="Courier New" w:eastAsia="Courier New" w:hAnsi="Courier New"/>
          <w:sz w:val="16"/>
          <w:szCs w:val="16"/>
        </w:rPr>
        <w:t xml:space="preserve">  if (dayDiff === 0) return { status: 'matched', invoiceRecord: inv };</w:t>
      </w:r>
      <w:r>
        <w:br/>
        <w:t xml:space="preserve"/>
      </w:r>
      <w:r>
        <w:rPr>
          <w:rFonts w:ascii="Courier New" w:cs="Courier New" w:eastAsia="Courier New" w:hAnsi="Courier New"/>
          <w:sz w:val="16"/>
          <w:szCs w:val="16"/>
        </w:rPr>
        <w:t xml:space="preserve">  return { status: 'candidate', invoiceRecord: inv, offsetDays: inv.date - fileRecord.date };</w:t>
      </w:r>
      <w:r>
        <w:br/>
        <w:t xml:space="preserve"/>
      </w:r>
      <w:r>
        <w:rPr>
          <w:rFonts w:ascii="Courier New" w:cs="Courier New" w:eastAsia="Courier New" w:hAnsi="Courier New"/>
          <w:sz w:val="16"/>
          <w:szCs w:val="16"/>
        </w:rPr>
        <w:t xml:space="preserv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invoiceByAccountId maps an account ID to an ARRAY of invoice lines,</w:t>
      </w:r>
      <w:r>
        <w:br/>
        <w:t xml:space="preserve"/>
      </w:r>
      <w:r>
        <w:rPr>
          <w:rFonts w:ascii="Courier New" w:cs="Courier New" w:eastAsia="Courier New" w:hAnsi="Courier New"/>
          <w:sz w:val="16"/>
          <w:szCs w:val="16"/>
        </w:rPr>
        <w:t xml:space="preserve">// not a single record — duplicate submissions and repeat cycles mean</w:t>
      </w:r>
      <w:r>
        <w:br/>
        <w:t xml:space="preserve"/>
      </w:r>
      <w:r>
        <w:rPr>
          <w:rFonts w:ascii="Courier New" w:cs="Courier New" w:eastAsia="Courier New" w:hAnsi="Courier New"/>
          <w:sz w:val="16"/>
          <w:szCs w:val="16"/>
        </w:rPr>
        <w:t xml:space="preserve">// more than one invoice line can legitimately share an account ID.</w:t>
      </w:r>
      <w:r>
        <w:br/>
        <w:t xml:space="preserve"/>
      </w:r>
      <w:r>
        <w:rPr>
          <w:rFonts w:ascii="Courier New" w:cs="Courier New" w:eastAsia="Courier New" w:hAnsi="Courier New"/>
          <w:sz w:val="16"/>
          <w:szCs w:val="16"/>
        </w:rPr>
        <w:t xml:space="preserve">//</w:t>
      </w:r>
      <w:r>
        <w:br/>
        <w:t xml:space="preserve"/>
      </w:r>
      <w:r>
        <w:rPr>
          <w:rFonts w:ascii="Courier New" w:cs="Courier New" w:eastAsia="Courier New" w:hAnsi="Courier New"/>
          <w:sz w:val="16"/>
          <w:szCs w:val="16"/>
        </w:rPr>
        <w:t xml:space="preserve">// Any invoice record with no corresponding file account ID is</w:t>
      </w:r>
      <w:r>
        <w:br/>
        <w:t xml:space="preserve"/>
      </w:r>
      <w:r>
        <w:rPr>
          <w:rFonts w:ascii="Courier New" w:cs="Courier New" w:eastAsia="Courier New" w:hAnsi="Courier New"/>
          <w:sz w:val="16"/>
          <w:szCs w:val="16"/>
        </w:rPr>
        <w:t xml:space="preserve">// unresolved on the invoice side — classify the invoice set the</w:t>
      </w:r>
      <w:r>
        <w:br/>
        <w:t xml:space="preserve"/>
      </w:r>
      <w:r>
        <w:rPr>
          <w:rFonts w:ascii="Courier New" w:cs="Courier New" w:eastAsia="Courier New" w:hAnsi="Courier New"/>
          <w:sz w:val="16"/>
          <w:szCs w:val="16"/>
        </w:rPr>
        <w:t xml:space="preserve">// same way, in the opposite direction, to catch those too.</w:t>
      </w:r>
    </w:p>
    <w:p>
      <w:pPr>
        <w:pStyle w:val="Heading2"/>
        <w:spacing w:after="150" w:before="300"/>
      </w:pPr>
      <w:r>
        <w:t xml:space="preserve">14.3 Manual tie-out and comment gate</w:t>
      </w:r>
    </w:p>
    <w:p>
      <w:pPr>
        <w:spacing w:after="160"/>
      </w:pPr>
      <w:r>
        <w:t xml:space="preserve">Implements the Section 11.5 rule: a comment is optional when confirming a manual tie, but required when closing an exception with no match.</w:t>
      </w:r>
    </w:p>
    <w:p>
      <w:pPr>
        <w:pBdr>
          <w:top w:val="single" w:color="D8D5CC" w:sz="4" w:space="6"/>
          <w:bottom w:val="single" w:color="D8D5CC" w:sz="4" w:space="6"/>
          <w:left w:val="single" w:color="D8D5CC" w:sz="4" w:space="8"/>
          <w:right w:val="single" w:color="D8D5CC" w:sz="4" w:space="8"/>
        </w:pBdr>
        <w:shd w:fill="F1EFE8" w:color="auto" w:val="clear"/>
        <w:spacing w:after="200" w:line="260"/>
      </w:pPr>
      <w:r>
        <w:rPr>
          <w:rFonts w:ascii="Courier New" w:cs="Courier New" w:eastAsia="Courier New" w:hAnsi="Courier New"/>
          <w:sz w:val="16"/>
          <w:szCs w:val="16"/>
        </w:rPr>
        <w:t xml:space="preserve">function submitReviewedNoMatch(record, commentText) {</w:t>
      </w:r>
      <w:r>
        <w:br/>
        <w:t xml:space="preserve"/>
      </w:r>
      <w:r>
        <w:rPr>
          <w:rFonts w:ascii="Courier New" w:cs="Courier New" w:eastAsia="Courier New" w:hAnsi="Courier New"/>
          <w:sz w:val="16"/>
          <w:szCs w:val="16"/>
        </w:rPr>
        <w:t xml:space="preserve">  if (!commentText || !commentText.trim()) {</w:t>
      </w:r>
      <w:r>
        <w:br/>
        <w:t xml:space="preserve"/>
      </w:r>
      <w:r>
        <w:rPr>
          <w:rFonts w:ascii="Courier New" w:cs="Courier New" w:eastAsia="Courier New" w:hAnsi="Courier New"/>
          <w:sz w:val="16"/>
          <w:szCs w:val="16"/>
        </w:rPr>
        <w:t xml:space="preserve">    return { ok: false, error: 'A comment is required to close without a tie.'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record.status = 'reviewed';</w:t>
      </w:r>
      <w:r>
        <w:br/>
        <w:t xml:space="preserve"/>
      </w:r>
      <w:r>
        <w:rPr>
          <w:rFonts w:ascii="Courier New" w:cs="Courier New" w:eastAsia="Courier New" w:hAnsi="Courier New"/>
          <w:sz w:val="16"/>
          <w:szCs w:val="16"/>
        </w:rPr>
        <w:t xml:space="preserve">  record.comment = commentText.trim();</w:t>
      </w:r>
      <w:r>
        <w:br/>
        <w:t xml:space="preserve"/>
      </w:r>
      <w:r>
        <w:rPr>
          <w:rFonts w:ascii="Courier New" w:cs="Courier New" w:eastAsia="Courier New" w:hAnsi="Courier New"/>
          <w:sz w:val="16"/>
          <w:szCs w:val="16"/>
        </w:rPr>
        <w:t xml:space="preserve">  writeAuditLog({</w:t>
      </w:r>
      <w:r>
        <w:br/>
        <w:t xml:space="preserve"/>
      </w:r>
      <w:r>
        <w:rPr>
          <w:rFonts w:ascii="Courier New" w:cs="Courier New" w:eastAsia="Courier New" w:hAnsi="Courier New"/>
          <w:sz w:val="16"/>
          <w:szCs w:val="16"/>
        </w:rPr>
        <w:t xml:space="preserve">    recordId: record.accountId,</w:t>
      </w:r>
      <w:r>
        <w:br/>
        <w:t xml:space="preserve"/>
      </w:r>
      <w:r>
        <w:rPr>
          <w:rFonts w:ascii="Courier New" w:cs="Courier New" w:eastAsia="Courier New" w:hAnsi="Courier New"/>
          <w:sz w:val="16"/>
          <w:szCs w:val="16"/>
        </w:rPr>
        <w:t xml:space="preserve">    action: 'reviewed_no_match',</w:t>
      </w:r>
      <w:r>
        <w:br/>
        <w:t xml:space="preserve"/>
      </w:r>
      <w:r>
        <w:rPr>
          <w:rFonts w:ascii="Courier New" w:cs="Courier New" w:eastAsia="Courier New" w:hAnsi="Courier New"/>
          <w:sz w:val="16"/>
          <w:szCs w:val="16"/>
        </w:rPr>
        <w:t xml:space="preserve">    reviewer: currentUser.id,</w:t>
      </w:r>
      <w:r>
        <w:br/>
        <w:t xml:space="preserve"/>
      </w:r>
      <w:r>
        <w:rPr>
          <w:rFonts w:ascii="Courier New" w:cs="Courier New" w:eastAsia="Courier New" w:hAnsi="Courier New"/>
          <w:sz w:val="16"/>
          <w:szCs w:val="16"/>
        </w:rPr>
        <w:t xml:space="preserve">    timestamp: new Date().toISOString(),</w:t>
      </w:r>
      <w:r>
        <w:br/>
        <w:t xml:space="preserve"/>
      </w:r>
      <w:r>
        <w:rPr>
          <w:rFonts w:ascii="Courier New" w:cs="Courier New" w:eastAsia="Courier New" w:hAnsi="Courier New"/>
          <w:sz w:val="16"/>
          <w:szCs w:val="16"/>
        </w:rPr>
        <w:t xml:space="preserve">    comment: record.comment</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return { ok: true };</w:t>
      </w:r>
      <w:r>
        <w:br/>
        <w:t xml:space="preserve"/>
      </w:r>
      <w:r>
        <w:rPr>
          <w:rFonts w:ascii="Courier New" w:cs="Courier New" w:eastAsia="Courier New" w:hAnsi="Courier New"/>
          <w:sz w:val="16"/>
          <w:szCs w:val="16"/>
        </w:rPr>
        <w:t xml:space="preserv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function submitManualTie(record, chosenInvoiceRecord, commentText) {</w:t>
      </w:r>
      <w:r>
        <w:br/>
        <w:t xml:space="preserve"/>
      </w:r>
      <w:r>
        <w:rPr>
          <w:rFonts w:ascii="Courier New" w:cs="Courier New" w:eastAsia="Courier New" w:hAnsi="Courier New"/>
          <w:sz w:val="16"/>
          <w:szCs w:val="16"/>
        </w:rPr>
        <w:t xml:space="preserve">  record.status = 'manual';</w:t>
      </w:r>
      <w:r>
        <w:br/>
        <w:t xml:space="preserve"/>
      </w:r>
      <w:r>
        <w:rPr>
          <w:rFonts w:ascii="Courier New" w:cs="Courier New" w:eastAsia="Courier New" w:hAnsi="Courier New"/>
          <w:sz w:val="16"/>
          <w:szCs w:val="16"/>
        </w:rPr>
        <w:t xml:space="preserve">  record.tiedTo = chosenInvoiceRecord.accountId;</w:t>
      </w:r>
      <w:r>
        <w:br/>
        <w:t xml:space="preserve"/>
      </w:r>
      <w:r>
        <w:rPr>
          <w:rFonts w:ascii="Courier New" w:cs="Courier New" w:eastAsia="Courier New" w:hAnsi="Courier New"/>
          <w:sz w:val="16"/>
          <w:szCs w:val="16"/>
        </w:rPr>
        <w:t xml:space="preserve">  record.comment = commentText &amp;&amp; commentText.trim() ? commentText.trim() : null;</w:t>
      </w:r>
      <w:r>
        <w:br/>
        <w:t xml:space="preserve"/>
      </w:r>
      <w:r>
        <w:rPr>
          <w:rFonts w:ascii="Courier New" w:cs="Courier New" w:eastAsia="Courier New" w:hAnsi="Courier New"/>
          <w:sz w:val="16"/>
          <w:szCs w:val="16"/>
        </w:rPr>
        <w:t xml:space="preserve">  unresolvedPool = unresolvedPool.filter(</w:t>
      </w:r>
      <w:r>
        <w:br/>
        <w:t xml:space="preserve"/>
      </w:r>
      <w:r>
        <w:rPr>
          <w:rFonts w:ascii="Courier New" w:cs="Courier New" w:eastAsia="Courier New" w:hAnsi="Courier New"/>
          <w:sz w:val="16"/>
          <w:szCs w:val="16"/>
        </w:rPr>
        <w:t xml:space="preserve">    r =&gt; r.accountId !== chosenInvoiceRecord.accountId</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writeAuditLog({</w:t>
      </w:r>
      <w:r>
        <w:br/>
        <w:t xml:space="preserve"/>
      </w:r>
      <w:r>
        <w:rPr>
          <w:rFonts w:ascii="Courier New" w:cs="Courier New" w:eastAsia="Courier New" w:hAnsi="Courier New"/>
          <w:sz w:val="16"/>
          <w:szCs w:val="16"/>
        </w:rPr>
        <w:t xml:space="preserve">    recordId: record.accountId,</w:t>
      </w:r>
      <w:r>
        <w:br/>
        <w:t xml:space="preserve"/>
      </w:r>
      <w:r>
        <w:rPr>
          <w:rFonts w:ascii="Courier New" w:cs="Courier New" w:eastAsia="Courier New" w:hAnsi="Courier New"/>
          <w:sz w:val="16"/>
          <w:szCs w:val="16"/>
        </w:rPr>
        <w:t xml:space="preserve">    action: 'manual_tie',</w:t>
      </w:r>
      <w:r>
        <w:br/>
        <w:t xml:space="preserve"/>
      </w:r>
      <w:r>
        <w:rPr>
          <w:rFonts w:ascii="Courier New" w:cs="Courier New" w:eastAsia="Courier New" w:hAnsi="Courier New"/>
          <w:sz w:val="16"/>
          <w:szCs w:val="16"/>
        </w:rPr>
        <w:t xml:space="preserve">    reviewer: currentUser.id,</w:t>
      </w:r>
      <w:r>
        <w:br/>
        <w:t xml:space="preserve"/>
      </w:r>
      <w:r>
        <w:rPr>
          <w:rFonts w:ascii="Courier New" w:cs="Courier New" w:eastAsia="Courier New" w:hAnsi="Courier New"/>
          <w:sz w:val="16"/>
          <w:szCs w:val="16"/>
        </w:rPr>
        <w:t xml:space="preserve">    timestamp: new Date().toISOString(),</w:t>
      </w:r>
      <w:r>
        <w:br/>
        <w:t xml:space="preserve"/>
      </w:r>
      <w:r>
        <w:rPr>
          <w:rFonts w:ascii="Courier New" w:cs="Courier New" w:eastAsia="Courier New" w:hAnsi="Courier New"/>
          <w:sz w:val="16"/>
          <w:szCs w:val="16"/>
        </w:rPr>
        <w:t xml:space="preserve">    tiedTo: chosenInvoiceRecord.accountId,</w:t>
      </w:r>
      <w:r>
        <w:br/>
        <w:t xml:space="preserve"/>
      </w:r>
      <w:r>
        <w:rPr>
          <w:rFonts w:ascii="Courier New" w:cs="Courier New" w:eastAsia="Courier New" w:hAnsi="Courier New"/>
          <w:sz w:val="16"/>
          <w:szCs w:val="16"/>
        </w:rPr>
        <w:t xml:space="preserve">    comment: record.comment</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w:t>
      </w:r>
    </w:p>
    <w:p>
      <w:pPr>
        <w:pStyle w:val="Heading2"/>
        <w:spacing w:after="150" w:before="300"/>
      </w:pPr>
      <w:r>
        <w:t xml:space="preserve">14.4 Pool search, threshold-gated</w:t>
      </w:r>
    </w:p>
    <w:p>
      <w:pPr>
        <w:spacing w:after="160"/>
      </w:pPr>
      <w:r>
        <w:t xml:space="preserve">Search only renders once the unresolved pool crosses the size threshold from Section 11.5 — otherwise the picker just lists everything.</w:t>
      </w:r>
    </w:p>
    <w:p>
      <w:pPr>
        <w:pBdr>
          <w:top w:val="single" w:color="D8D5CC" w:sz="4" w:space="6"/>
          <w:bottom w:val="single" w:color="D8D5CC" w:sz="4" w:space="6"/>
          <w:left w:val="single" w:color="D8D5CC" w:sz="4" w:space="8"/>
          <w:right w:val="single" w:color="D8D5CC" w:sz="4" w:space="8"/>
        </w:pBdr>
        <w:shd w:fill="F1EFE8" w:color="auto" w:val="clear"/>
        <w:spacing w:after="200" w:line="260"/>
      </w:pPr>
      <w:r>
        <w:rPr>
          <w:rFonts w:ascii="Courier New" w:cs="Courier New" w:eastAsia="Courier New" w:hAnsi="Courier New"/>
          <w:sz w:val="16"/>
          <w:szCs w:val="16"/>
        </w:rPr>
        <w:t xml:space="preserve">function renderPoolPicker(pool, selectedRecord, container) {</w:t>
      </w:r>
      <w:r>
        <w:br/>
        <w:t xml:space="preserve"/>
      </w:r>
      <w:r>
        <w:rPr>
          <w:rFonts w:ascii="Courier New" w:cs="Courier New" w:eastAsia="Courier New" w:hAnsi="Courier New"/>
          <w:sz w:val="16"/>
          <w:szCs w:val="16"/>
        </w:rPr>
        <w:t xml:space="preserve">  const SEARCH_THRESHOLD = 20;</w:t>
      </w:r>
      <w:r>
        <w:br/>
        <w:t xml:space="preserve"/>
      </w:r>
      <w:r>
        <w:rPr>
          <w:rFonts w:ascii="Courier New" w:cs="Courier New" w:eastAsia="Courier New" w:hAnsi="Courier New"/>
          <w:sz w:val="16"/>
          <w:szCs w:val="16"/>
        </w:rPr>
        <w:t xml:space="preserve">  const sorted = [...pool].sort((a, b) =&gt;</w:t>
      </w:r>
      <w:r>
        <w:br/>
        <w:t xml:space="preserve"/>
      </w:r>
      <w:r>
        <w:rPr>
          <w:rFonts w:ascii="Courier New" w:cs="Courier New" w:eastAsia="Courier New" w:hAnsi="Courier New"/>
          <w:sz w:val="16"/>
          <w:szCs w:val="16"/>
        </w:rPr>
        <w:t xml:space="preserve">    Math.abs(a.date - selectedRecord.date) - Math.abs(b.date - selectedRecord.date)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const showSearch = pool.length &gt; SEARCH_THRESHOLD;</w:t>
      </w:r>
      <w:r>
        <w:br/>
        <w:t xml:space="preserve"/>
      </w:r>
      <w:r>
        <w:rPr>
          <w:rFonts w:ascii="Courier New" w:cs="Courier New" w:eastAsia="Courier New" w:hAnsi="Courier New"/>
          <w:sz w:val="16"/>
          <w:szCs w:val="16"/>
        </w:rPr>
        <w:t xml:space="preserve">  renderList(container, sorted, { withSearchBox: showSearch });</w:t>
      </w:r>
      <w:r>
        <w:br/>
        <w:t xml:space="preserve"/>
      </w:r>
      <w:r>
        <w:rPr>
          <w:rFonts w:ascii="Courier New" w:cs="Courier New" w:eastAsia="Courier New" w:hAnsi="Courier New"/>
          <w:sz w:val="16"/>
          <w:szCs w:val="16"/>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CRM · Credence Resource Management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iResolve — Reconciliation Module UI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2026-09-07T06:38:15.737Z</dcterms:created>
  <dcterms:modified xsi:type="dcterms:W3CDTF">2026-09-07T06:38:15.737Z</dcterms:modified>
</cp:coreProperties>
</file>

<file path=docProps/custom.xml><?xml version="1.0" encoding="utf-8"?>
<Properties xmlns="http://schemas.openxmlformats.org/officeDocument/2006/custom-properties" xmlns:vt="http://schemas.openxmlformats.org/officeDocument/2006/docPropsVTypes"/>
</file>