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25,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1. Executive Summary</w:t>
      </w:r>
    </w:p>
    <w:p>
      <w:pPr/>
      <w:r>
        <w:rPr>
          <w:rFonts w:ascii="Calibri" w:hAnsi="Calibri"/>
          <w:sz w:val="22"/>
        </w:rPr>
        <w:t>2. Understanding of MTI’s Objectives and Context</w:t>
      </w:r>
    </w:p>
    <w:p>
      <w:pPr/>
      <w:r>
        <w:rPr>
          <w:rFonts w:ascii="Calibri" w:hAnsi="Calibri"/>
          <w:sz w:val="22"/>
        </w:rPr>
        <w:t>3. Proposed Solution Overview (architecture, major components, key differentiators)</w:t>
      </w:r>
    </w:p>
    <w:p>
      <w:pPr/>
      <w:r>
        <w:rPr>
          <w:rFonts w:ascii="Calibri" w:hAnsi="Calibri"/>
          <w:sz w:val="22"/>
        </w:rPr>
        <w:t>4. Implementation Approach and Methodology</w:t>
      </w:r>
    </w:p>
    <w:p>
      <w:pPr/>
      <w:r>
        <w:rPr>
          <w:rFonts w:ascii="Calibri" w:hAnsi="Calibri"/>
          <w:sz w:val="22"/>
        </w:rPr>
        <w:t>5. Project Plan and Timelines, including major milestones</w:t>
      </w:r>
    </w:p>
    <w:p>
      <w:pPr/>
      <w:r>
        <w:rPr>
          <w:rFonts w:ascii="Calibri" w:hAnsi="Calibri"/>
          <w:sz w:val="22"/>
        </w:rPr>
        <w:t>6. Proposed Team Structure, roles, and CVs of key personnel</w:t>
      </w:r>
    </w:p>
    <w:p>
      <w:pPr/>
      <w:r>
        <w:rPr>
          <w:rFonts w:ascii="Calibri" w:hAnsi="Calibri"/>
          <w:sz w:val="22"/>
        </w:rPr>
        <w:t>7. Functional and Technical Compliance Matrix responding to the requirements in Sections 5 and 6</w:t>
      </w:r>
    </w:p>
    <w:p>
      <w:pPr/>
      <w:r>
        <w:rPr>
          <w:rFonts w:ascii="Calibri" w:hAnsi="Calibri"/>
          <w:sz w:val="22"/>
        </w:rPr>
        <w:t>8. Assumptions, Dependencies, and Risks, with proposed mitigation strategies</w:t>
      </w:r>
    </w:p>
    <w:p>
      <w:pPr/>
      <w:r>
        <w:rPr>
          <w:rFonts w:ascii="Calibri" w:hAnsi="Calibri"/>
          <w:sz w:val="22"/>
        </w:rPr>
        <w:t>9. Support and Maintenance Model, including SLAs</w:t>
      </w:r>
    </w:p>
    <w:p>
      <w:pPr/>
      <w:r>
        <w:rPr>
          <w:rFonts w:ascii="Calibri" w:hAnsi="Calibri"/>
          <w:sz w:val="22"/>
        </w:rPr>
        <w:t>10. Commercial Proposal (licensing, implementation services, support, and any optional components)</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fusionAIx Proposal for MTI BPM Platform Implementation</w:t>
      </w:r>
    </w:p>
    <w:p>
      <w:pPr>
        <w:pStyle w:val="Heading2"/>
      </w:pPr>
      <w:r>
        <w:t>1. Executive Summary</w:t>
      </w:r>
    </w:p>
    <w:p>
      <w:r>
        <w:t>FusionAIx is pleased to submit this comprehensive proposal in response to MTI’s Request for Proposal (RFP) for the implementation of an enterprise-grade Business Process Management (BPM) platform. Our proposal strictly adheres to the ten-section structure mandated by the RFP and provides a detailed, end-to-end response addressing all technical, functional, and commercial requirements.</w:t>
      </w:r>
    </w:p>
    <w:p>
      <w:r>
        <w:t>At fusionAIx, we believe that digital transformation succeeds when technology, process, and people are harmonized through intelligent automation. Our proposed solution leverages the Pega Constellation BPM suite, a proven, enterprise-grade, low-code platform designed for government and large enterprise deployments. This platform will enable MTI to streamline business licensing, renewals, incentive and grant applications, and other mission-critical processes through a unified, secure, and scalable environment.</w:t>
      </w:r>
    </w:p>
    <w:p>
      <w:r>
        <w:t>Our approach combines fusionAIx’s proprietary accelerators—including fxAgentSDK, fxAIStudio, fxMockUpToView, and fxSmartDCO—with Pega’s model-driven architecture to deliver rapid time-to-value, robust governance, and measurable outcomes. We bring over 20 successful Pega Constellation implementations globally, with deep expertise in process transformation, AI-driven decisioning, and citizen-centric service delivery.</w:t>
      </w:r>
    </w:p>
    <w:p>
      <w:r>
        <w:t>Key highlights of our proposal include:</w:t>
      </w:r>
    </w:p>
    <w:p>
      <w:pPr>
        <w:spacing w:after="120"/>
        <w:ind w:left="360" w:hanging="360"/>
      </w:pPr>
      <w:r>
        <w:rPr>
          <w:rFonts w:ascii="Calibri" w:hAnsi="Calibri"/>
          <w:sz w:val="22"/>
        </w:rPr>
        <w:t xml:space="preserve">• </w:t>
      </w:r>
      <w:r>
        <w:rPr>
          <w:rFonts w:ascii="Calibri" w:hAnsi="Calibri"/>
          <w:b/>
          <w:sz w:val="22"/>
        </w:rPr>
        <w:t>Enterprise-grade BPM platform</w:t>
      </w:r>
      <w:r>
        <w:rPr>
          <w:rFonts w:ascii="Calibri" w:hAnsi="Calibri"/>
          <w:sz w:val="22"/>
        </w:rPr>
        <w:t xml:space="preserve"> supporting both straight-through and human-centric workflows, dynamic case management, and centralized rules management.</w:t>
      </w:r>
    </w:p>
    <w:p>
      <w:pPr>
        <w:spacing w:after="120"/>
        <w:ind w:left="360" w:hanging="360"/>
      </w:pPr>
      <w:r>
        <w:rPr>
          <w:rFonts w:ascii="Calibri" w:hAnsi="Calibri"/>
          <w:sz w:val="22"/>
        </w:rPr>
        <w:t xml:space="preserve">• </w:t>
      </w:r>
      <w:r>
        <w:rPr>
          <w:rFonts w:ascii="Calibri" w:hAnsi="Calibri"/>
          <w:b/>
          <w:sz w:val="22"/>
        </w:rPr>
        <w:t>Low-code configuration</w:t>
      </w:r>
      <w:r>
        <w:rPr>
          <w:rFonts w:ascii="Calibri" w:hAnsi="Calibri"/>
          <w:sz w:val="22"/>
        </w:rPr>
        <w:t xml:space="preserve"> to minimize custom development and accelerate delivery.</w:t>
      </w:r>
    </w:p>
    <w:p>
      <w:pPr>
        <w:spacing w:after="120"/>
        <w:ind w:left="360" w:hanging="360"/>
      </w:pPr>
      <w:r>
        <w:rPr>
          <w:rFonts w:ascii="Calibri" w:hAnsi="Calibri"/>
          <w:sz w:val="22"/>
        </w:rPr>
        <w:t xml:space="preserve">• </w:t>
      </w:r>
      <w:r>
        <w:rPr>
          <w:rFonts w:ascii="Calibri" w:hAnsi="Calibri"/>
          <w:b/>
          <w:sz w:val="22"/>
        </w:rPr>
        <w:t>Comprehensive dashboards and analytics</w:t>
      </w:r>
      <w:r>
        <w:rPr>
          <w:rFonts w:ascii="Calibri" w:hAnsi="Calibri"/>
          <w:sz w:val="22"/>
        </w:rPr>
        <w:t xml:space="preserve"> for SLA monitoring, workload distribution, and performance optimization.</w:t>
      </w:r>
    </w:p>
    <w:p>
      <w:pPr>
        <w:spacing w:after="120"/>
        <w:ind w:left="360" w:hanging="360"/>
      </w:pPr>
      <w:r>
        <w:rPr>
          <w:rFonts w:ascii="Calibri" w:hAnsi="Calibri"/>
          <w:sz w:val="22"/>
        </w:rPr>
        <w:t xml:space="preserve">• </w:t>
      </w:r>
      <w:r>
        <w:rPr>
          <w:rFonts w:ascii="Calibri" w:hAnsi="Calibri"/>
          <w:b/>
          <w:sz w:val="22"/>
        </w:rPr>
        <w:t>Secure, web-based, responsive interfaces</w:t>
      </w:r>
      <w:r>
        <w:rPr>
          <w:rFonts w:ascii="Calibri" w:hAnsi="Calibri"/>
          <w:sz w:val="22"/>
        </w:rPr>
        <w:t xml:space="preserve"> for internal users and external stakeholders.</w:t>
      </w:r>
    </w:p>
    <w:p>
      <w:pPr>
        <w:spacing w:after="120"/>
        <w:ind w:left="360" w:hanging="360"/>
      </w:pPr>
      <w:r>
        <w:rPr>
          <w:rFonts w:ascii="Calibri" w:hAnsi="Calibri"/>
          <w:sz w:val="22"/>
        </w:rPr>
        <w:t xml:space="preserve">• </w:t>
      </w:r>
      <w:r>
        <w:rPr>
          <w:rFonts w:ascii="Calibri" w:hAnsi="Calibri"/>
          <w:b/>
          <w:sz w:val="22"/>
        </w:rPr>
        <w:t>Three years of post go-live support and maintenance</w:t>
      </w:r>
      <w:r>
        <w:rPr>
          <w:rFonts w:ascii="Calibri" w:hAnsi="Calibri"/>
          <w:sz w:val="22"/>
        </w:rPr>
        <w:t>, including patching, upgrades, and incident resolution under defined SLAs.</w:t>
      </w:r>
    </w:p>
    <w:p>
      <w:pPr>
        <w:spacing w:after="120"/>
        <w:ind w:left="360" w:hanging="360"/>
      </w:pPr>
      <w:r>
        <w:rPr>
          <w:rFonts w:ascii="Calibri" w:hAnsi="Calibri"/>
          <w:sz w:val="22"/>
        </w:rPr>
        <w:t xml:space="preserve">• </w:t>
      </w:r>
      <w:r>
        <w:rPr>
          <w:rFonts w:ascii="Calibri" w:hAnsi="Calibri"/>
          <w:b/>
          <w:sz w:val="22"/>
        </w:rPr>
        <w:t>Proven implementation methodology</w:t>
      </w:r>
      <w:r>
        <w:rPr>
          <w:rFonts w:ascii="Calibri" w:hAnsi="Calibri"/>
          <w:sz w:val="22"/>
        </w:rPr>
        <w:t xml:space="preserve"> emphasizing collaboration, transparency, and continuous improvement.</w:t>
      </w:r>
    </w:p>
    <w:p>
      <w:r>
        <w:t>FusionAIx’s mission is to empower MTI to achieve operational excellence, enhance citizen experience, and establish a sustainable digital foundation for future innovation. Our proposal reflects our commitment to partnership, quality, and long-term value creation.</w:t>
      </w:r>
    </w:p>
    <w:p>
      <w:pPr>
        <w:pStyle w:val="Heading2"/>
      </w:pPr>
      <w:r>
        <w:t>2. Understanding of MTI’s Objectives and Context</w:t>
      </w:r>
    </w:p>
    <w:p>
      <w:r>
        <w:t>We understand that MTI seeks to implement a unified BPM platform to digitize, automate, and optimize its core business processes. The initiative aims to enhance service delivery, improve transparency, and enable data-driven decision-making across departments. The BPM platform will serve as a foundational enabler for MTI’s broader digital transformation agenda.</w:t>
      </w:r>
    </w:p>
    <w:p>
      <w:pPr>
        <w:pStyle w:val="Heading3"/>
      </w:pPr>
      <w:r>
        <w:t>MTI’s Strategic Objectives</w:t>
      </w:r>
    </w:p>
    <w:p>
      <w:r>
        <w:t>Based on the RFP, MTI’s objectives include:</w:t>
      </w:r>
    </w:p>
    <w:p>
      <w:pPr>
        <w:pStyle w:val="ListNumber"/>
      </w:pPr>
      <w:r>
        <w:rPr>
          <w:b/>
        </w:rPr>
        <w:t>Process Digitization and Standardization</w:t>
      </w:r>
      <w:r>
        <w:t xml:space="preserve"> To replace fragmented, manual, and paper-based workflows with standardized, automated processes that ensure consistency, compliance, and efficiency.</w:t>
      </w:r>
    </w:p>
    <w:p>
      <w:pPr>
        <w:pStyle w:val="ListNumber"/>
      </w:pPr>
      <w:r>
        <w:rPr>
          <w:b/>
        </w:rPr>
        <w:t>Enhanced Stakeholder Experience</w:t>
      </w:r>
      <w:r>
        <w:t xml:space="preserve"> To provide intuitive, web-based interfaces for internal users and external stakeholders (e.g., businesses, citizens, partners) through self-service portals and guided workflows.</w:t>
      </w:r>
    </w:p>
    <w:p>
      <w:pPr>
        <w:pStyle w:val="ListNumber"/>
      </w:pPr>
      <w:r>
        <w:rPr>
          <w:b/>
        </w:rPr>
        <w:t>Operational Transparency and Performance Monitoring</w:t>
      </w:r>
      <w:r>
        <w:t xml:space="preserve"> To enable real-time visibility into process performance, SLA adherence, and workload distribution through dashboards and analytics.</w:t>
      </w:r>
    </w:p>
    <w:p>
      <w:pPr>
        <w:pStyle w:val="ListNumber"/>
      </w:pPr>
      <w:r>
        <w:rPr>
          <w:b/>
        </w:rPr>
        <w:t>Scalability and Future-readiness</w:t>
      </w:r>
      <w:r>
        <w:t xml:space="preserve"> To adopt a platform that can scale across departments and processes, supporting future expansion and integration with other enterprise systems.</w:t>
      </w:r>
    </w:p>
    <w:p>
      <w:pPr>
        <w:pStyle w:val="ListNumber"/>
      </w:pPr>
      <w:r>
        <w:rPr>
          <w:b/>
        </w:rPr>
        <w:t>Governance and Compliance</w:t>
      </w:r>
      <w:r>
        <w:t xml:space="preserve"> To ensure robust security, auditability, and compliance with national data protection and IT governance standards.</w:t>
      </w:r>
    </w:p>
    <w:p>
      <w:pPr>
        <w:pStyle w:val="Heading3"/>
      </w:pPr>
      <w:r>
        <w:t>Context and Challenges</w:t>
      </w:r>
    </w:p>
    <w:p>
      <w:r>
        <w:t>MTI currently operates multiple legacy systems and manual workflows that hinder efficiency and visibility. Key challenges include:</w:t>
      </w:r>
    </w:p>
    <w:p>
      <w:pPr>
        <w:spacing w:after="120"/>
        <w:ind w:left="360" w:hanging="360"/>
      </w:pPr>
      <w:r>
        <w:rPr>
          <w:rFonts w:ascii="Calibri" w:hAnsi="Calibri"/>
          <w:sz w:val="22"/>
        </w:rPr>
        <w:t xml:space="preserve">• </w:t>
      </w:r>
      <w:r>
        <w:rPr>
          <w:rFonts w:ascii="Calibri" w:hAnsi="Calibri"/>
          <w:sz w:val="22"/>
        </w:rPr>
        <w:t>Siloed systems leading to data duplication and inconsistent reporting.</w:t>
      </w:r>
    </w:p>
    <w:p>
      <w:pPr>
        <w:spacing w:after="120"/>
        <w:ind w:left="360" w:hanging="360"/>
      </w:pPr>
      <w:r>
        <w:rPr>
          <w:rFonts w:ascii="Calibri" w:hAnsi="Calibri"/>
          <w:sz w:val="22"/>
        </w:rPr>
        <w:t xml:space="preserve">• </w:t>
      </w:r>
      <w:r>
        <w:rPr>
          <w:rFonts w:ascii="Calibri" w:hAnsi="Calibri"/>
          <w:sz w:val="22"/>
        </w:rPr>
        <w:t>Manual approvals and paper-based submissions causing delays.</w:t>
      </w:r>
    </w:p>
    <w:p>
      <w:pPr>
        <w:spacing w:after="120"/>
        <w:ind w:left="360" w:hanging="360"/>
      </w:pPr>
      <w:r>
        <w:rPr>
          <w:rFonts w:ascii="Calibri" w:hAnsi="Calibri"/>
          <w:sz w:val="22"/>
        </w:rPr>
        <w:t xml:space="preserve">• </w:t>
      </w:r>
      <w:r>
        <w:rPr>
          <w:rFonts w:ascii="Calibri" w:hAnsi="Calibri"/>
          <w:sz w:val="22"/>
        </w:rPr>
        <w:t>Limited visibility into process performance and SLA compliance.</w:t>
      </w:r>
    </w:p>
    <w:p>
      <w:pPr>
        <w:spacing w:after="120"/>
        <w:ind w:left="360" w:hanging="360"/>
      </w:pPr>
      <w:r>
        <w:rPr>
          <w:rFonts w:ascii="Calibri" w:hAnsi="Calibri"/>
          <w:sz w:val="22"/>
        </w:rPr>
        <w:t xml:space="preserve">• </w:t>
      </w:r>
      <w:r>
        <w:rPr>
          <w:rFonts w:ascii="Calibri" w:hAnsi="Calibri"/>
          <w:sz w:val="22"/>
        </w:rPr>
        <w:t>Difficulty in adapting to policy or regulatory changes due to hard-coded business rules.</w:t>
      </w:r>
    </w:p>
    <w:p>
      <w:r>
        <w:t>FusionAIx recognizes that MTI’s transformation journey requires not just technology deployment but also organizational change enablement, capacity building, and sustainable governance. Our approach addresses these dimensions holistically.</w:t>
      </w:r>
    </w:p>
    <w:p>
      <w:pPr>
        <w:pStyle w:val="Heading3"/>
      </w:pPr>
      <w:r>
        <w:t>Alignment with MTI’s Vision</w:t>
      </w:r>
    </w:p>
    <w:p>
      <w:r>
        <w:t>Our proposed BPM solution aligns with MTI’s vision to become a digitally empowered, citizen-centric organization. By leveraging Pega Constellation’s low-code capabilities and fusionAIx’s accelerators, MTI will gain:</w:t>
      </w:r>
    </w:p>
    <w:p>
      <w:pPr>
        <w:spacing w:after="120"/>
        <w:ind w:left="360" w:hanging="360"/>
      </w:pPr>
      <w:r>
        <w:rPr>
          <w:rFonts w:ascii="Calibri" w:hAnsi="Calibri"/>
          <w:sz w:val="22"/>
        </w:rPr>
        <w:t xml:space="preserve">• </w:t>
      </w:r>
      <w:r>
        <w:rPr>
          <w:rFonts w:ascii="Calibri" w:hAnsi="Calibri"/>
          <w:b/>
          <w:sz w:val="22"/>
        </w:rPr>
        <w:t>Agility</w:t>
      </w:r>
      <w:r>
        <w:rPr>
          <w:rFonts w:ascii="Calibri" w:hAnsi="Calibri"/>
          <w:sz w:val="22"/>
        </w:rPr>
        <w:t xml:space="preserve"> to adapt processes quickly to policy or market changes.</w:t>
      </w:r>
    </w:p>
    <w:p>
      <w:pPr>
        <w:spacing w:after="120"/>
        <w:ind w:left="360" w:hanging="360"/>
      </w:pPr>
      <w:r>
        <w:rPr>
          <w:rFonts w:ascii="Calibri" w:hAnsi="Calibri"/>
          <w:sz w:val="22"/>
        </w:rPr>
        <w:t xml:space="preserve">• </w:t>
      </w:r>
      <w:r>
        <w:rPr>
          <w:rFonts w:ascii="Calibri" w:hAnsi="Calibri"/>
          <w:b/>
          <w:sz w:val="22"/>
        </w:rPr>
        <w:t>Transparency</w:t>
      </w:r>
      <w:r>
        <w:rPr>
          <w:rFonts w:ascii="Calibri" w:hAnsi="Calibri"/>
          <w:sz w:val="22"/>
        </w:rPr>
        <w:t xml:space="preserve"> through unified dashboards and audit trails.</w:t>
      </w:r>
    </w:p>
    <w:p>
      <w:pPr>
        <w:spacing w:after="120"/>
        <w:ind w:left="360" w:hanging="360"/>
      </w:pPr>
      <w:r>
        <w:rPr>
          <w:rFonts w:ascii="Calibri" w:hAnsi="Calibri"/>
          <w:sz w:val="22"/>
        </w:rPr>
        <w:t xml:space="preserve">• </w:t>
      </w:r>
      <w:r>
        <w:rPr>
          <w:rFonts w:ascii="Calibri" w:hAnsi="Calibri"/>
          <w:b/>
          <w:sz w:val="22"/>
        </w:rPr>
        <w:t>Efficiency</w:t>
      </w:r>
      <w:r>
        <w:rPr>
          <w:rFonts w:ascii="Calibri" w:hAnsi="Calibri"/>
          <w:sz w:val="22"/>
        </w:rPr>
        <w:t xml:space="preserve"> via automation and intelligent routing.</w:t>
      </w:r>
    </w:p>
    <w:p>
      <w:pPr>
        <w:spacing w:after="120"/>
        <w:ind w:left="360" w:hanging="360"/>
      </w:pPr>
      <w:r>
        <w:rPr>
          <w:rFonts w:ascii="Calibri" w:hAnsi="Calibri"/>
          <w:sz w:val="22"/>
        </w:rPr>
        <w:t xml:space="preserve">• </w:t>
      </w:r>
      <w:r>
        <w:rPr>
          <w:rFonts w:ascii="Calibri" w:hAnsi="Calibri"/>
          <w:b/>
          <w:sz w:val="22"/>
        </w:rPr>
        <w:t>Empowerment</w:t>
      </w:r>
      <w:r>
        <w:rPr>
          <w:rFonts w:ascii="Calibri" w:hAnsi="Calibri"/>
          <w:sz w:val="22"/>
        </w:rPr>
        <w:t xml:space="preserve"> for business users to manage rules, reports, and configurations without IT dependency.</w:t>
      </w:r>
    </w:p>
    <w:p>
      <w:pPr>
        <w:pStyle w:val="Heading2"/>
      </w:pPr>
      <w:r>
        <w:t>3. Proposed Solution Overview</w:t>
      </w:r>
    </w:p>
    <w:p>
      <w:r>
        <w:t>FusionAIx proposes to implement the Pega Constellation BPM platform as the foundation for MTI’s process automation and case management needs. The solution is designed to support both straight-through processing (STP) and human-centric workflows, ensuring flexibility across diverse process types.</w:t>
      </w:r>
    </w:p>
    <w:p>
      <w:pPr>
        <w:pStyle w:val="Heading3"/>
      </w:pPr>
      <w:r>
        <w:t>Solution Architecture</w:t>
      </w:r>
    </w:p>
    <w:p>
      <w:r>
        <w:t>The proposed architecture is modular, scalable, and secure, supporting MTI’s internal and external user base. It includes the following major components:</w:t>
      </w:r>
    </w:p>
    <w:p>
      <w:pPr>
        <w:spacing w:after="120"/>
        <w:ind w:left="360" w:hanging="360"/>
      </w:pPr>
      <w:r>
        <w:rPr>
          <w:rFonts w:ascii="Calibri" w:hAnsi="Calibri"/>
          <w:sz w:val="22"/>
        </w:rPr>
        <w:t xml:space="preserve">• </w:t>
      </w:r>
      <w:r>
        <w:rPr>
          <w:rFonts w:ascii="Calibri" w:hAnsi="Calibri"/>
          <w:b/>
          <w:sz w:val="22"/>
        </w:rPr>
        <w:t>Process Orchestration Layer:</w:t>
      </w:r>
      <w:r>
        <w:rPr>
          <w:rFonts w:ascii="Calibri" w:hAnsi="Calibri"/>
          <w:sz w:val="22"/>
        </w:rPr>
        <w:t xml:space="preserve"> Manages end-to-end workflows, including automated tasks, human approvals, and dynamic case management.</w:t>
      </w:r>
    </w:p>
    <w:p>
      <w:pPr>
        <w:spacing w:after="120"/>
        <w:ind w:left="360" w:hanging="360"/>
      </w:pPr>
      <w:r>
        <w:rPr>
          <w:rFonts w:ascii="Calibri" w:hAnsi="Calibri"/>
          <w:sz w:val="22"/>
        </w:rPr>
        <w:t xml:space="preserve">• </w:t>
      </w:r>
      <w:r>
        <w:rPr>
          <w:rFonts w:ascii="Calibri" w:hAnsi="Calibri"/>
          <w:b/>
          <w:sz w:val="22"/>
        </w:rPr>
        <w:t>Business Rules Engine:</w:t>
      </w:r>
      <w:r>
        <w:rPr>
          <w:rFonts w:ascii="Calibri" w:hAnsi="Calibri"/>
          <w:sz w:val="22"/>
        </w:rPr>
        <w:t xml:space="preserve"> Centralized rules management enabling versioning, testing, and controlled deployment of business policies.</w:t>
      </w:r>
    </w:p>
    <w:p>
      <w:pPr>
        <w:spacing w:after="120"/>
        <w:ind w:left="360" w:hanging="360"/>
      </w:pPr>
      <w:r>
        <w:rPr>
          <w:rFonts w:ascii="Calibri" w:hAnsi="Calibri"/>
          <w:sz w:val="22"/>
        </w:rPr>
        <w:t xml:space="preserve">• </w:t>
      </w:r>
      <w:r>
        <w:rPr>
          <w:rFonts w:ascii="Calibri" w:hAnsi="Calibri"/>
          <w:b/>
          <w:sz w:val="22"/>
        </w:rPr>
        <w:t>Integration Layer:</w:t>
      </w:r>
      <w:r>
        <w:rPr>
          <w:rFonts w:ascii="Calibri" w:hAnsi="Calibri"/>
          <w:sz w:val="22"/>
        </w:rPr>
        <w:t xml:space="preserve"> REST APIs, message queues, and event-based integration mechanisms for seamless connectivity with MTI’s existing systems and identity management.</w:t>
      </w:r>
    </w:p>
    <w:p>
      <w:pPr>
        <w:spacing w:after="120"/>
        <w:ind w:left="360" w:hanging="360"/>
      </w:pPr>
      <w:r>
        <w:rPr>
          <w:rFonts w:ascii="Calibri" w:hAnsi="Calibri"/>
          <w:sz w:val="22"/>
        </w:rPr>
        <w:t xml:space="preserve">• </w:t>
      </w:r>
      <w:r>
        <w:rPr>
          <w:rFonts w:ascii="Calibri" w:hAnsi="Calibri"/>
          <w:b/>
          <w:sz w:val="22"/>
        </w:rPr>
        <w:t>User Experience Layer:</w:t>
      </w:r>
      <w:r>
        <w:rPr>
          <w:rFonts w:ascii="Calibri" w:hAnsi="Calibri"/>
          <w:sz w:val="22"/>
        </w:rPr>
        <w:t xml:space="preserve"> Web-based, responsive interfaces for internal users and external stakeholders, with guided steps and contextual help.</w:t>
      </w:r>
    </w:p>
    <w:p>
      <w:pPr>
        <w:spacing w:after="120"/>
        <w:ind w:left="360" w:hanging="360"/>
      </w:pPr>
      <w:r>
        <w:rPr>
          <w:rFonts w:ascii="Calibri" w:hAnsi="Calibri"/>
          <w:sz w:val="22"/>
        </w:rPr>
        <w:t xml:space="preserve">• </w:t>
      </w:r>
      <w:r>
        <w:rPr>
          <w:rFonts w:ascii="Calibri" w:hAnsi="Calibri"/>
          <w:b/>
          <w:sz w:val="22"/>
        </w:rPr>
        <w:t>Analytics and Reporting Layer:</w:t>
      </w:r>
      <w:r>
        <w:rPr>
          <w:rFonts w:ascii="Calibri" w:hAnsi="Calibri"/>
          <w:sz w:val="22"/>
        </w:rPr>
        <w:t xml:space="preserve"> Real-time dashboards for SLA monitoring, workload distribution, and performance tracking. Business users can create ad-hoc reports.</w:t>
      </w:r>
    </w:p>
    <w:p>
      <w:pPr>
        <w:spacing w:after="120"/>
        <w:ind w:left="360" w:hanging="360"/>
      </w:pPr>
      <w:r>
        <w:rPr>
          <w:rFonts w:ascii="Calibri" w:hAnsi="Calibri"/>
          <w:sz w:val="22"/>
        </w:rPr>
        <w:t xml:space="preserve">• </w:t>
      </w:r>
      <w:r>
        <w:rPr>
          <w:rFonts w:ascii="Calibri" w:hAnsi="Calibri"/>
          <w:b/>
          <w:sz w:val="22"/>
        </w:rPr>
        <w:t>Security and Compliance Layer:</w:t>
      </w:r>
      <w:r>
        <w:rPr>
          <w:rFonts w:ascii="Calibri" w:hAnsi="Calibri"/>
          <w:sz w:val="22"/>
        </w:rPr>
        <w:t xml:space="preserve"> Role-based access control (RBAC), fine-grained permissions, full audit logging, and compliance with national data protection standards.</w:t>
      </w:r>
    </w:p>
    <w:p>
      <w:r>
        <w:drawing>
          <wp:inline xmlns:a="http://schemas.openxmlformats.org/drawingml/2006/main" xmlns:pic="http://schemas.openxmlformats.org/drawingml/2006/picture">
            <wp:extent cx="4572000" cy="1848897"/>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848897"/>
                    </a:xfrm>
                    <a:prstGeom prst="rect"/>
                  </pic:spPr>
                </pic:pic>
              </a:graphicData>
            </a:graphic>
          </wp:inline>
        </w:drawing>
      </w:r>
    </w:p>
    <w:p>
      <w:r>
        <w:t>Caption: High-level architecture of the proposed BPM solution for MTI.</w:t>
      </w:r>
    </w:p>
    <w:p>
      <w:pPr>
        <w:pStyle w:val="Heading3"/>
      </w:pPr>
      <w:r>
        <w:t>Key Differentiators</w:t>
      </w:r>
    </w:p>
    <w:p>
      <w:pPr>
        <w:pStyle w:val="ListNumber"/>
      </w:pPr>
      <w:r>
        <w:rPr>
          <w:b/>
        </w:rPr>
        <w:t>Low-Code, Model-Driven Development:</w:t>
      </w:r>
      <w:r>
        <w:t xml:space="preserve"> Enables rapid configuration and deployment of processes with minimal custom coding.</w:t>
      </w:r>
    </w:p>
    <w:p>
      <w:pPr>
        <w:pStyle w:val="ListNumber"/>
      </w:pPr>
      <w:r>
        <w:rPr>
          <w:b/>
        </w:rPr>
        <w:t>Dynamic Case Management:</w:t>
      </w:r>
      <w:r>
        <w:t xml:space="preserve"> Supports ad-hoc tasks, attachments, notes, and collaboration within cases.</w:t>
      </w:r>
    </w:p>
    <w:p>
      <w:pPr>
        <w:pStyle w:val="ListNumber"/>
      </w:pPr>
      <w:r>
        <w:rPr>
          <w:b/>
        </w:rPr>
        <w:t>fusionAIx Accelerators:</w:t>
      </w:r>
    </w:p>
    <w:p>
      <w:pPr>
        <w:spacing w:after="120"/>
        <w:ind w:left="360" w:hanging="360"/>
      </w:pPr>
      <w:r>
        <w:rPr>
          <w:rFonts w:ascii="Calibri" w:hAnsi="Calibri"/>
          <w:sz w:val="22"/>
        </w:rPr>
        <w:t xml:space="preserve">• </w:t>
      </w:r>
      <w:r>
        <w:rPr>
          <w:rFonts w:ascii="Calibri" w:hAnsi="Calibri"/>
          <w:b/>
          <w:sz w:val="22"/>
        </w:rPr>
        <w:t>fxSmartDCO:</w:t>
      </w:r>
      <w:r>
        <w:rPr>
          <w:rFonts w:ascii="Calibri" w:hAnsi="Calibri"/>
          <w:sz w:val="22"/>
        </w:rPr>
        <w:t xml:space="preserve"> Streamlines requirements gathering and process modeling.</w:t>
      </w:r>
    </w:p>
    <w:p>
      <w:pPr>
        <w:spacing w:after="120"/>
        <w:ind w:left="360" w:hanging="360"/>
      </w:pPr>
      <w:r>
        <w:rPr>
          <w:rFonts w:ascii="Calibri" w:hAnsi="Calibri"/>
          <w:sz w:val="22"/>
        </w:rPr>
        <w:t xml:space="preserve">• </w:t>
      </w:r>
      <w:r>
        <w:rPr>
          <w:rFonts w:ascii="Calibri" w:hAnsi="Calibri"/>
          <w:b/>
          <w:sz w:val="22"/>
        </w:rPr>
        <w:t>fxMockUpToView:</w:t>
      </w:r>
      <w:r>
        <w:rPr>
          <w:rFonts w:ascii="Calibri" w:hAnsi="Calibri"/>
          <w:sz w:val="22"/>
        </w:rPr>
        <w:t xml:space="preserve"> Converts UI mockups into functional views rapidly.</w:t>
      </w:r>
    </w:p>
    <w:p>
      <w:pPr>
        <w:spacing w:after="120"/>
        <w:ind w:left="360" w:hanging="360"/>
      </w:pPr>
      <w:r>
        <w:rPr>
          <w:rFonts w:ascii="Calibri" w:hAnsi="Calibri"/>
          <w:sz w:val="22"/>
        </w:rPr>
        <w:t xml:space="preserve">• </w:t>
      </w:r>
      <w:r>
        <w:rPr>
          <w:rFonts w:ascii="Calibri" w:hAnsi="Calibri"/>
          <w:b/>
          <w:sz w:val="22"/>
        </w:rPr>
        <w:t>fxAIStudio:</w:t>
      </w:r>
      <w:r>
        <w:rPr>
          <w:rFonts w:ascii="Calibri" w:hAnsi="Calibri"/>
          <w:sz w:val="22"/>
        </w:rPr>
        <w:t xml:space="preserve"> Integrates AI-driven insights for decisioning and automation.</w:t>
      </w:r>
    </w:p>
    <w:p>
      <w:pPr>
        <w:spacing w:after="120"/>
        <w:ind w:left="360" w:hanging="360"/>
      </w:pPr>
      <w:r>
        <w:rPr>
          <w:rFonts w:ascii="Calibri" w:hAnsi="Calibri"/>
          <w:sz w:val="22"/>
        </w:rPr>
        <w:t xml:space="preserve">• </w:t>
      </w:r>
      <w:r>
        <w:rPr>
          <w:rFonts w:ascii="Calibri" w:hAnsi="Calibri"/>
          <w:b/>
          <w:sz w:val="22"/>
        </w:rPr>
        <w:t>fxAgentSDK:</w:t>
      </w:r>
      <w:r>
        <w:rPr>
          <w:rFonts w:ascii="Calibri" w:hAnsi="Calibri"/>
          <w:sz w:val="22"/>
        </w:rPr>
        <w:t xml:space="preserve"> Provides reusable components for integration and orchestration.</w:t>
      </w:r>
    </w:p>
    <w:p>
      <w:pPr>
        <w:pStyle w:val="ListNumber"/>
      </w:pPr>
      <w:r>
        <w:rPr>
          <w:b/>
        </w:rPr>
        <w:t>Proven Scalability:</w:t>
      </w:r>
      <w:r>
        <w:t xml:space="preserve"> Deployed successfully in large government and enterprise environments with thousands of concurrent users.</w:t>
      </w:r>
    </w:p>
    <w:p>
      <w:pPr>
        <w:pStyle w:val="ListNumber"/>
      </w:pPr>
      <w:r>
        <w:rPr>
          <w:b/>
        </w:rPr>
        <w:t>Security and Governance:</w:t>
      </w:r>
      <w:r>
        <w:t xml:space="preserve"> Built-in audit trails, version control, and environment separation ensure compliance and traceability.</w:t>
      </w:r>
    </w:p>
    <w:p>
      <w:pPr>
        <w:pStyle w:val="ListNumber"/>
      </w:pPr>
      <w:r>
        <w:rPr>
          <w:b/>
        </w:rPr>
        <w:t>Extensibility:</w:t>
      </w:r>
      <w:r>
        <w:t xml:space="preserve"> Supports future integration with AI, RPA, and data analytics platforms.</w:t>
      </w:r>
    </w:p>
    <w:p>
      <w:pPr>
        <w:pStyle w:val="Heading2"/>
      </w:pPr>
      <w:r>
        <w:t>4. Implementation Approach and Methodology</w:t>
      </w:r>
    </w:p>
    <w:p>
      <w:r>
        <w:t>FusionAIx follows a phased, collaborative, and agile implementation methodology that ensures alignment with MTI’s objectives, minimizes risk, and accelerates time-to-value.</w:t>
      </w:r>
    </w:p>
    <w:p>
      <w:pPr>
        <w:pStyle w:val="Heading3"/>
      </w:pPr>
      <w:r>
        <w:t>Phase 1: Discovery and Requirements Refinement</w:t>
      </w:r>
    </w:p>
    <w:p>
      <w:pPr>
        <w:spacing w:after="120"/>
        <w:ind w:left="360" w:hanging="360"/>
      </w:pPr>
      <w:r>
        <w:rPr>
          <w:rFonts w:ascii="Calibri" w:hAnsi="Calibri"/>
          <w:sz w:val="22"/>
        </w:rPr>
        <w:t xml:space="preserve">• </w:t>
      </w:r>
      <w:r>
        <w:rPr>
          <w:rFonts w:ascii="Calibri" w:hAnsi="Calibri"/>
          <w:sz w:val="22"/>
        </w:rPr>
        <w:t>Conduct joint workshops with MTI stakeholders to validate and refine process requirements.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to capture business rules, SLAs, and process variations in real time.</w:t>
      </w:r>
    </w:p>
    <w:p>
      <w:pPr>
        <w:spacing w:after="120"/>
        <w:ind w:left="360" w:hanging="360"/>
      </w:pPr>
      <w:r>
        <w:rPr>
          <w:rFonts w:ascii="Calibri" w:hAnsi="Calibri"/>
          <w:sz w:val="22"/>
        </w:rPr>
        <w:t xml:space="preserve">• </w:t>
      </w:r>
      <w:r>
        <w:rPr>
          <w:rFonts w:ascii="Calibri" w:hAnsi="Calibri"/>
          <w:sz w:val="22"/>
        </w:rPr>
        <w:t>Define process scope, success metrics, and governance model.</w:t>
      </w:r>
    </w:p>
    <w:p>
      <w:pPr>
        <w:pStyle w:val="Heading3"/>
      </w:pPr>
      <w:r>
        <w:t>Phase 2: Solution Design</w:t>
      </w:r>
    </w:p>
    <w:p>
      <w:pPr>
        <w:spacing w:after="120"/>
        <w:ind w:left="360" w:hanging="360"/>
      </w:pPr>
      <w:r>
        <w:rPr>
          <w:rFonts w:ascii="Calibri" w:hAnsi="Calibri"/>
          <w:sz w:val="22"/>
        </w:rPr>
        <w:t xml:space="preserve">• </w:t>
      </w:r>
      <w:r>
        <w:rPr>
          <w:rFonts w:ascii="Calibri" w:hAnsi="Calibri"/>
          <w:sz w:val="22"/>
        </w:rPr>
        <w:t>Develop process models, case types, and data models using Pega’s model-driven tools.</w:t>
      </w:r>
    </w:p>
    <w:p>
      <w:pPr>
        <w:spacing w:after="120"/>
        <w:ind w:left="360" w:hanging="360"/>
      </w:pPr>
      <w:r>
        <w:rPr>
          <w:rFonts w:ascii="Calibri" w:hAnsi="Calibri"/>
          <w:sz w:val="22"/>
        </w:rPr>
        <w:t xml:space="preserve">• </w:t>
      </w:r>
      <w:r>
        <w:rPr>
          <w:rFonts w:ascii="Calibri" w:hAnsi="Calibri"/>
          <w:sz w:val="22"/>
        </w:rPr>
        <w:t xml:space="preserve">Design user interfaces leveraging </w:t>
      </w:r>
      <w:r>
        <w:rPr>
          <w:rFonts w:ascii="Calibri" w:hAnsi="Calibri"/>
          <w:b/>
          <w:sz w:val="22"/>
        </w:rPr>
        <w:t>fxMockUpToView</w:t>
      </w:r>
      <w:r>
        <w:rPr>
          <w:rFonts w:ascii="Calibri" w:hAnsi="Calibri"/>
          <w:sz w:val="22"/>
        </w:rPr>
        <w:t xml:space="preserve"> for rapid prototyping.</w:t>
      </w:r>
    </w:p>
    <w:p>
      <w:pPr>
        <w:spacing w:after="120"/>
        <w:ind w:left="360" w:hanging="360"/>
      </w:pPr>
      <w:r>
        <w:rPr>
          <w:rFonts w:ascii="Calibri" w:hAnsi="Calibri"/>
          <w:sz w:val="22"/>
        </w:rPr>
        <w:t xml:space="preserve">• </w:t>
      </w:r>
      <w:r>
        <w:rPr>
          <w:rFonts w:ascii="Calibri" w:hAnsi="Calibri"/>
          <w:sz w:val="22"/>
        </w:rPr>
        <w:t>Define integration points and security configurations.</w:t>
      </w:r>
    </w:p>
    <w:p>
      <w:pPr>
        <w:pStyle w:val="Heading3"/>
      </w:pPr>
      <w:r>
        <w:t>Phase 3: Configuration and Development</w:t>
      </w:r>
    </w:p>
    <w:p>
      <w:pPr>
        <w:spacing w:after="120"/>
        <w:ind w:left="360" w:hanging="360"/>
      </w:pPr>
      <w:r>
        <w:rPr>
          <w:rFonts w:ascii="Calibri" w:hAnsi="Calibri"/>
          <w:sz w:val="22"/>
        </w:rPr>
        <w:t xml:space="preserve">• </w:t>
      </w:r>
      <w:r>
        <w:rPr>
          <w:rFonts w:ascii="Calibri" w:hAnsi="Calibri"/>
          <w:sz w:val="22"/>
        </w:rPr>
        <w:t>Configure workflows, rules, and UI components using low-code tools.</w:t>
      </w:r>
    </w:p>
    <w:p>
      <w:pPr>
        <w:spacing w:after="120"/>
        <w:ind w:left="360" w:hanging="360"/>
      </w:pPr>
      <w:r>
        <w:rPr>
          <w:rFonts w:ascii="Calibri" w:hAnsi="Calibri"/>
          <w:sz w:val="22"/>
        </w:rPr>
        <w:t xml:space="preserve">• </w:t>
      </w:r>
      <w:r>
        <w:rPr>
          <w:rFonts w:ascii="Calibri" w:hAnsi="Calibri"/>
          <w:sz w:val="22"/>
        </w:rPr>
        <w:t>Implement integrations via REST APIs and message queues.</w:t>
      </w:r>
    </w:p>
    <w:p>
      <w:pPr>
        <w:spacing w:after="120"/>
        <w:ind w:left="360" w:hanging="360"/>
      </w:pPr>
      <w:r>
        <w:rPr>
          <w:rFonts w:ascii="Calibri" w:hAnsi="Calibri"/>
          <w:sz w:val="22"/>
        </w:rPr>
        <w:t xml:space="preserve">• </w:t>
      </w:r>
      <w:r>
        <w:rPr>
          <w:rFonts w:ascii="Calibri" w:hAnsi="Calibri"/>
          <w:sz w:val="22"/>
        </w:rPr>
        <w:t>Develop dashboards and reports for SLA and performance monitoring.</w:t>
      </w:r>
    </w:p>
    <w:p>
      <w:pPr>
        <w:pStyle w:val="Heading3"/>
      </w:pPr>
      <w:r>
        <w:t>Phase 4: Testing</w:t>
      </w:r>
    </w:p>
    <w:p>
      <w:pPr>
        <w:spacing w:after="120"/>
        <w:ind w:left="360" w:hanging="360"/>
      </w:pPr>
      <w:r>
        <w:rPr>
          <w:rFonts w:ascii="Calibri" w:hAnsi="Calibri"/>
          <w:sz w:val="22"/>
        </w:rPr>
        <w:t xml:space="preserve">• </w:t>
      </w:r>
      <w:r>
        <w:rPr>
          <w:rFonts w:ascii="Calibri" w:hAnsi="Calibri"/>
          <w:sz w:val="22"/>
        </w:rPr>
        <w:t>Conduct System Integration Testing (SIT), Performance Testing, and Security Testing.</w:t>
      </w:r>
    </w:p>
    <w:p>
      <w:pPr>
        <w:spacing w:after="120"/>
        <w:ind w:left="360" w:hanging="360"/>
      </w:pPr>
      <w:r>
        <w:rPr>
          <w:rFonts w:ascii="Calibri" w:hAnsi="Calibri"/>
          <w:sz w:val="22"/>
        </w:rPr>
        <w:t xml:space="preserve">• </w:t>
      </w:r>
      <w:r>
        <w:rPr>
          <w:rFonts w:ascii="Calibri" w:hAnsi="Calibri"/>
          <w:sz w:val="22"/>
        </w:rPr>
        <w:t>Support User Acceptance Testing (UAT) with MTI stakeholders.</w:t>
      </w:r>
    </w:p>
    <w:p>
      <w:pPr>
        <w:spacing w:after="120"/>
        <w:ind w:left="360" w:hanging="360"/>
      </w:pPr>
      <w:r>
        <w:rPr>
          <w:rFonts w:ascii="Calibri" w:hAnsi="Calibri"/>
          <w:sz w:val="22"/>
        </w:rPr>
        <w:t xml:space="preserve">• </w:t>
      </w:r>
      <w:r>
        <w:rPr>
          <w:rFonts w:ascii="Calibri" w:hAnsi="Calibri"/>
          <w:sz w:val="22"/>
        </w:rPr>
        <w:t>Perform defect triage and resolution.</w:t>
      </w:r>
    </w:p>
    <w:p>
      <w:pPr>
        <w:pStyle w:val="Heading3"/>
      </w:pPr>
      <w:r>
        <w:t>Phase 5: Training and Change Enablement</w:t>
      </w:r>
    </w:p>
    <w:p>
      <w:pPr>
        <w:spacing w:after="120"/>
        <w:ind w:left="360" w:hanging="360"/>
      </w:pPr>
      <w:r>
        <w:rPr>
          <w:rFonts w:ascii="Calibri" w:hAnsi="Calibri"/>
          <w:sz w:val="22"/>
        </w:rPr>
        <w:t xml:space="preserve">• </w:t>
      </w:r>
      <w:r>
        <w:rPr>
          <w:rFonts w:ascii="Calibri" w:hAnsi="Calibri"/>
          <w:sz w:val="22"/>
        </w:rPr>
        <w:t>Deliver comprehensive training for administrators, power users, and end users.</w:t>
      </w:r>
    </w:p>
    <w:p>
      <w:pPr>
        <w:spacing w:after="120"/>
        <w:ind w:left="360" w:hanging="360"/>
      </w:pPr>
      <w:r>
        <w:rPr>
          <w:rFonts w:ascii="Calibri" w:hAnsi="Calibri"/>
          <w:sz w:val="22"/>
        </w:rPr>
        <w:t xml:space="preserve">• </w:t>
      </w:r>
      <w:r>
        <w:rPr>
          <w:rFonts w:ascii="Calibri" w:hAnsi="Calibri"/>
          <w:sz w:val="22"/>
        </w:rPr>
        <w:t>Provide training materials, user guides, and knowledge transfer sessions.</w:t>
      </w:r>
    </w:p>
    <w:p>
      <w:pPr>
        <w:spacing w:after="120"/>
        <w:ind w:left="360" w:hanging="360"/>
      </w:pPr>
      <w:r>
        <w:rPr>
          <w:rFonts w:ascii="Calibri" w:hAnsi="Calibri"/>
          <w:sz w:val="22"/>
        </w:rPr>
        <w:t xml:space="preserve">• </w:t>
      </w:r>
      <w:r>
        <w:rPr>
          <w:rFonts w:ascii="Calibri" w:hAnsi="Calibri"/>
          <w:sz w:val="22"/>
        </w:rPr>
        <w:t>Support MTI’s change management and communication plan.</w:t>
      </w:r>
    </w:p>
    <w:p>
      <w:pPr>
        <w:pStyle w:val="Heading3"/>
      </w:pPr>
      <w:r>
        <w:t>Phase 6: Go-Live and Hypercare</w:t>
      </w:r>
    </w:p>
    <w:p>
      <w:pPr>
        <w:spacing w:after="120"/>
        <w:ind w:left="360" w:hanging="360"/>
      </w:pPr>
      <w:r>
        <w:rPr>
          <w:rFonts w:ascii="Calibri" w:hAnsi="Calibri"/>
          <w:sz w:val="22"/>
        </w:rPr>
        <w:t xml:space="preserve">• </w:t>
      </w:r>
      <w:r>
        <w:rPr>
          <w:rFonts w:ascii="Calibri" w:hAnsi="Calibri"/>
          <w:sz w:val="22"/>
        </w:rPr>
        <w:t>Execute cutover and go-live activities.</w:t>
      </w:r>
    </w:p>
    <w:p>
      <w:pPr>
        <w:spacing w:after="120"/>
        <w:ind w:left="360" w:hanging="360"/>
      </w:pPr>
      <w:r>
        <w:rPr>
          <w:rFonts w:ascii="Calibri" w:hAnsi="Calibri"/>
          <w:sz w:val="22"/>
        </w:rPr>
        <w:t xml:space="preserve">• </w:t>
      </w:r>
      <w:r>
        <w:rPr>
          <w:rFonts w:ascii="Calibri" w:hAnsi="Calibri"/>
          <w:sz w:val="22"/>
        </w:rPr>
        <w:t>Monitor system performance and user adoption during hypercare.</w:t>
      </w:r>
    </w:p>
    <w:p>
      <w:pPr>
        <w:spacing w:after="120"/>
        <w:ind w:left="360" w:hanging="360"/>
      </w:pPr>
      <w:r>
        <w:rPr>
          <w:rFonts w:ascii="Calibri" w:hAnsi="Calibri"/>
          <w:sz w:val="22"/>
        </w:rPr>
        <w:t xml:space="preserve">• </w:t>
      </w:r>
      <w:r>
        <w:rPr>
          <w:rFonts w:ascii="Calibri" w:hAnsi="Calibri"/>
          <w:sz w:val="22"/>
        </w:rPr>
        <w:t>Transition to steady-state support operations.</w:t>
      </w:r>
    </w:p>
    <w:p>
      <w:pPr>
        <w:pStyle w:val="Heading3"/>
      </w:pPr>
      <w:r>
        <w:t>Phase 7: Continuous Improvement</w:t>
      </w:r>
    </w:p>
    <w:p>
      <w:pPr>
        <w:spacing w:after="120"/>
        <w:ind w:left="360" w:hanging="360"/>
      </w:pPr>
      <w:r>
        <w:rPr>
          <w:rFonts w:ascii="Calibri" w:hAnsi="Calibri"/>
          <w:sz w:val="22"/>
        </w:rPr>
        <w:t xml:space="preserve">• </w:t>
      </w:r>
      <w:r>
        <w:rPr>
          <w:rFonts w:ascii="Calibri" w:hAnsi="Calibri"/>
          <w:sz w:val="22"/>
        </w:rPr>
        <w:t>Conduct post-implementation reviews.</w:t>
      </w:r>
    </w:p>
    <w:p>
      <w:pPr>
        <w:spacing w:after="120"/>
        <w:ind w:left="360" w:hanging="360"/>
      </w:pPr>
      <w:r>
        <w:rPr>
          <w:rFonts w:ascii="Calibri" w:hAnsi="Calibri"/>
          <w:sz w:val="22"/>
        </w:rPr>
        <w:t xml:space="preserve">• </w:t>
      </w:r>
      <w:r>
        <w:rPr>
          <w:rFonts w:ascii="Calibri" w:hAnsi="Calibri"/>
          <w:sz w:val="22"/>
        </w:rPr>
        <w:t>Analyze KPIs and SLAs for optimization opportunities.</w:t>
      </w:r>
    </w:p>
    <w:p>
      <w:pPr>
        <w:spacing w:after="120"/>
        <w:ind w:left="360" w:hanging="360"/>
      </w:pPr>
      <w:r>
        <w:rPr>
          <w:rFonts w:ascii="Calibri" w:hAnsi="Calibri"/>
          <w:sz w:val="22"/>
        </w:rPr>
        <w:t xml:space="preserve">• </w:t>
      </w:r>
      <w:r>
        <w:rPr>
          <w:rFonts w:ascii="Calibri" w:hAnsi="Calibri"/>
          <w:sz w:val="22"/>
        </w:rPr>
        <w:t>Maintain an enhancement backlog for iterative releases.</w:t>
      </w:r>
    </w:p>
    <w:p>
      <w:pPr>
        <w:pStyle w:val="Heading2"/>
      </w:pPr>
      <w:r>
        <w:t>5. Project Plan and Timelines</w:t>
      </w:r>
    </w:p>
    <w:p>
      <w:r>
        <w:t>The following baseline timeline assumes an initial implementation covering two priority processes (e.g., business licensing and incentive applications). The schedule will be refined upon confirmation of scope and user volumes.</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Phase</w:t>
            </w:r>
          </w:p>
        </w:tc>
        <w:tc>
          <w:tcPr>
            <w:tcW w:type="dxa" w:w="2340"/>
            <w:shd w:fill="1a5490" w:val="clear"/>
            <w:vAlign w:val="top"/>
            <w:tcMar>
              <w:top w:w="80" w:type="dxa"/>
              <w:right w:w="80" w:type="dxa"/>
              <w:bottom w:w="80" w:type="dxa"/>
              <w:left w:w="80" w:type="dxa"/>
            </w:tcMar>
          </w:tcPr>
          <w:p>
            <w:r>
              <w:rPr>
                <w:b/>
                <w:color w:val="FFFFFF"/>
              </w:rPr>
              <w:t>Duration</w:t>
            </w:r>
          </w:p>
        </w:tc>
        <w:tc>
          <w:tcPr>
            <w:tcW w:type="dxa" w:w="2340"/>
            <w:shd w:fill="1a5490" w:val="clear"/>
            <w:vAlign w:val="top"/>
            <w:tcMar>
              <w:top w:w="80" w:type="dxa"/>
              <w:right w:w="80" w:type="dxa"/>
              <w:bottom w:w="80" w:type="dxa"/>
              <w:left w:w="80" w:type="dxa"/>
            </w:tcMar>
          </w:tcPr>
          <w:p>
            <w:r>
              <w:rPr>
                <w:b/>
                <w:color w:val="FFFFFF"/>
              </w:rPr>
              <w:t>Key Activities</w:t>
            </w:r>
          </w:p>
        </w:tc>
        <w:tc>
          <w:tcPr>
            <w:tcW w:type="dxa" w:w="2340"/>
            <w:shd w:fill="1a5490" w:val="clear"/>
            <w:vAlign w:val="top"/>
            <w:tcMar>
              <w:top w:w="80" w:type="dxa"/>
              <w:right w:w="80" w:type="dxa"/>
              <w:bottom w:w="80" w:type="dxa"/>
              <w:left w:w="80" w:type="dxa"/>
            </w:tcMar>
          </w:tcPr>
          <w:p>
            <w:r>
              <w:rPr>
                <w:b/>
                <w:color w:val="FFFFFF"/>
              </w:rPr>
              <w:t>Deliverables</w:t>
            </w:r>
          </w:p>
        </w:tc>
      </w:tr>
      <w:tr>
        <w:tc>
          <w:tcPr>
            <w:tcW w:type="dxa" w:w="2340"/>
            <w:vAlign w:val="top"/>
            <w:tcMar>
              <w:top w:w="80" w:type="dxa"/>
              <w:right w:w="80" w:type="dxa"/>
              <w:bottom w:w="80" w:type="dxa"/>
              <w:left w:w="80" w:type="dxa"/>
            </w:tcMar>
          </w:tcPr>
          <w:p>
            <w:r>
              <w:t>Discovery &amp; Requirements</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Workshops, process mapping, DCO sessions</w:t>
            </w:r>
          </w:p>
        </w:tc>
        <w:tc>
          <w:tcPr>
            <w:tcW w:type="dxa" w:w="2340"/>
            <w:vAlign w:val="top"/>
            <w:tcMar>
              <w:top w:w="80" w:type="dxa"/>
              <w:right w:w="80" w:type="dxa"/>
              <w:bottom w:w="80" w:type="dxa"/>
              <w:left w:w="80" w:type="dxa"/>
            </w:tcMar>
          </w:tcPr>
          <w:p>
            <w:r>
              <w:t>Requirements document, process models</w:t>
            </w:r>
          </w:p>
        </w:tc>
      </w:tr>
      <w:tr>
        <w:tc>
          <w:tcPr>
            <w:tcW w:type="dxa" w:w="2340"/>
            <w:vAlign w:val="top"/>
            <w:tcMar>
              <w:top w:w="80" w:type="dxa"/>
              <w:right w:w="80" w:type="dxa"/>
              <w:bottom w:w="80" w:type="dxa"/>
              <w:left w:w="80" w:type="dxa"/>
            </w:tcMar>
          </w:tcPr>
          <w:p>
            <w:r>
              <w:t>Design</w:t>
            </w:r>
          </w:p>
        </w:tc>
        <w:tc>
          <w:tcPr>
            <w:tcW w:type="dxa" w:w="2340"/>
            <w:vAlign w:val="top"/>
            <w:tcMar>
              <w:top w:w="80" w:type="dxa"/>
              <w:right w:w="80" w:type="dxa"/>
              <w:bottom w:w="80" w:type="dxa"/>
              <w:left w:w="80" w:type="dxa"/>
            </w:tcMar>
          </w:tcPr>
          <w:p>
            <w:r>
              <w:t>3 weeks</w:t>
            </w:r>
          </w:p>
        </w:tc>
        <w:tc>
          <w:tcPr>
            <w:tcW w:type="dxa" w:w="2340"/>
            <w:vAlign w:val="top"/>
            <w:tcMar>
              <w:top w:w="80" w:type="dxa"/>
              <w:right w:w="80" w:type="dxa"/>
              <w:bottom w:w="80" w:type="dxa"/>
              <w:left w:w="80" w:type="dxa"/>
            </w:tcMar>
          </w:tcPr>
          <w:p>
            <w:r>
              <w:t>Solution design, UI mockups, integration design</w:t>
            </w:r>
          </w:p>
        </w:tc>
        <w:tc>
          <w:tcPr>
            <w:tcW w:type="dxa" w:w="2340"/>
            <w:vAlign w:val="top"/>
            <w:tcMar>
              <w:top w:w="80" w:type="dxa"/>
              <w:right w:w="80" w:type="dxa"/>
              <w:bottom w:w="80" w:type="dxa"/>
              <w:left w:w="80" w:type="dxa"/>
            </w:tcMar>
          </w:tcPr>
          <w:p>
            <w:r>
              <w:t>Design specification</w:t>
            </w:r>
          </w:p>
        </w:tc>
      </w:tr>
      <w:tr>
        <w:tc>
          <w:tcPr>
            <w:tcW w:type="dxa" w:w="2340"/>
            <w:vAlign w:val="top"/>
            <w:tcMar>
              <w:top w:w="80" w:type="dxa"/>
              <w:right w:w="80" w:type="dxa"/>
              <w:bottom w:w="80" w:type="dxa"/>
              <w:left w:w="80" w:type="dxa"/>
            </w:tcMar>
          </w:tcPr>
          <w:p>
            <w:r>
              <w:t>Configuration &amp; Development</w:t>
            </w:r>
          </w:p>
        </w:tc>
        <w:tc>
          <w:tcPr>
            <w:tcW w:type="dxa" w:w="2340"/>
            <w:vAlign w:val="top"/>
            <w:tcMar>
              <w:top w:w="80" w:type="dxa"/>
              <w:right w:w="80" w:type="dxa"/>
              <w:bottom w:w="80" w:type="dxa"/>
              <w:left w:w="80" w:type="dxa"/>
            </w:tcMar>
          </w:tcPr>
          <w:p>
            <w:r>
              <w:t>8 weeks</w:t>
            </w:r>
          </w:p>
        </w:tc>
        <w:tc>
          <w:tcPr>
            <w:tcW w:type="dxa" w:w="2340"/>
            <w:vAlign w:val="top"/>
            <w:tcMar>
              <w:top w:w="80" w:type="dxa"/>
              <w:right w:w="80" w:type="dxa"/>
              <w:bottom w:w="80" w:type="dxa"/>
              <w:left w:w="80" w:type="dxa"/>
            </w:tcMar>
          </w:tcPr>
          <w:p>
            <w:r>
              <w:t>Workflow configuration, rules setup, integration development</w:t>
            </w:r>
          </w:p>
        </w:tc>
        <w:tc>
          <w:tcPr>
            <w:tcW w:type="dxa" w:w="2340"/>
            <w:vAlign w:val="top"/>
            <w:tcMar>
              <w:top w:w="80" w:type="dxa"/>
              <w:right w:w="80" w:type="dxa"/>
              <w:bottom w:w="80" w:type="dxa"/>
              <w:left w:w="80" w:type="dxa"/>
            </w:tcMar>
          </w:tcPr>
          <w:p>
            <w:r>
              <w:t>Configured application</w:t>
            </w:r>
          </w:p>
        </w:tc>
      </w:tr>
      <w:tr>
        <w:tc>
          <w:tcPr>
            <w:tcW w:type="dxa" w:w="2340"/>
            <w:vAlign w:val="top"/>
            <w:tcMar>
              <w:top w:w="80" w:type="dxa"/>
              <w:right w:w="80" w:type="dxa"/>
              <w:bottom w:w="80" w:type="dxa"/>
              <w:left w:w="80" w:type="dxa"/>
            </w:tcMar>
          </w:tcPr>
          <w:p>
            <w:r>
              <w:t>Testing</w:t>
            </w:r>
          </w:p>
        </w:tc>
        <w:tc>
          <w:tcPr>
            <w:tcW w:type="dxa" w:w="2340"/>
            <w:vAlign w:val="top"/>
            <w:tcMar>
              <w:top w:w="80" w:type="dxa"/>
              <w:right w:w="80" w:type="dxa"/>
              <w:bottom w:w="80" w:type="dxa"/>
              <w:left w:w="80" w:type="dxa"/>
            </w:tcMar>
          </w:tcPr>
          <w:p>
            <w:r>
              <w:t>4 weeks</w:t>
            </w:r>
          </w:p>
        </w:tc>
        <w:tc>
          <w:tcPr>
            <w:tcW w:type="dxa" w:w="2340"/>
            <w:vAlign w:val="top"/>
            <w:tcMar>
              <w:top w:w="80" w:type="dxa"/>
              <w:right w:w="80" w:type="dxa"/>
              <w:bottom w:w="80" w:type="dxa"/>
              <w:left w:w="80" w:type="dxa"/>
            </w:tcMar>
          </w:tcPr>
          <w:p>
            <w:r>
              <w:t>SIT, UAT support, performance testing</w:t>
            </w:r>
          </w:p>
        </w:tc>
        <w:tc>
          <w:tcPr>
            <w:tcW w:type="dxa" w:w="2340"/>
            <w:vAlign w:val="top"/>
            <w:tcMar>
              <w:top w:w="80" w:type="dxa"/>
              <w:right w:w="80" w:type="dxa"/>
              <w:bottom w:w="80" w:type="dxa"/>
              <w:left w:w="80" w:type="dxa"/>
            </w:tcMar>
          </w:tcPr>
          <w:p>
            <w:r>
              <w:t>Test reports, UAT sign-off</w:t>
            </w:r>
          </w:p>
        </w:tc>
      </w:tr>
      <w:tr>
        <w:tc>
          <w:tcPr>
            <w:tcW w:type="dxa" w:w="2340"/>
            <w:vAlign w:val="top"/>
            <w:tcMar>
              <w:top w:w="80" w:type="dxa"/>
              <w:right w:w="80" w:type="dxa"/>
              <w:bottom w:w="80" w:type="dxa"/>
              <w:left w:w="80" w:type="dxa"/>
            </w:tcMar>
          </w:tcPr>
          <w:p>
            <w:r>
              <w:t>Training &amp; Change Enablement</w:t>
            </w:r>
          </w:p>
        </w:tc>
        <w:tc>
          <w:tcPr>
            <w:tcW w:type="dxa" w:w="2340"/>
            <w:vAlign w:val="top"/>
            <w:tcMar>
              <w:top w:w="80" w:type="dxa"/>
              <w:right w:w="80" w:type="dxa"/>
              <w:bottom w:w="80" w:type="dxa"/>
              <w:left w:w="80" w:type="dxa"/>
            </w:tcMar>
          </w:tcPr>
          <w:p>
            <w:r>
              <w:t>2 weeks</w:t>
            </w:r>
          </w:p>
        </w:tc>
        <w:tc>
          <w:tcPr>
            <w:tcW w:type="dxa" w:w="2340"/>
            <w:vAlign w:val="top"/>
            <w:tcMar>
              <w:top w:w="80" w:type="dxa"/>
              <w:right w:w="80" w:type="dxa"/>
              <w:bottom w:w="80" w:type="dxa"/>
              <w:left w:w="80" w:type="dxa"/>
            </w:tcMar>
          </w:tcPr>
          <w:p>
            <w:r>
              <w:t>Training sessions, materials delivery</w:t>
            </w:r>
          </w:p>
        </w:tc>
        <w:tc>
          <w:tcPr>
            <w:tcW w:type="dxa" w:w="2340"/>
            <w:vAlign w:val="top"/>
            <w:tcMar>
              <w:top w:w="80" w:type="dxa"/>
              <w:right w:w="80" w:type="dxa"/>
              <w:bottom w:w="80" w:type="dxa"/>
              <w:left w:w="80" w:type="dxa"/>
            </w:tcMar>
          </w:tcPr>
          <w:p>
            <w:r>
              <w:t>Training completion report</w:t>
            </w:r>
          </w:p>
        </w:tc>
      </w:tr>
      <w:tr>
        <w:tc>
          <w:tcPr>
            <w:tcW w:type="dxa" w:w="2340"/>
            <w:vAlign w:val="top"/>
            <w:tcMar>
              <w:top w:w="80" w:type="dxa"/>
              <w:right w:w="80" w:type="dxa"/>
              <w:bottom w:w="80" w:type="dxa"/>
              <w:left w:w="80" w:type="dxa"/>
            </w:tcMar>
          </w:tcPr>
          <w:p>
            <w:r>
              <w:t>Go-Live &amp; Hypercare</w:t>
            </w:r>
          </w:p>
        </w:tc>
        <w:tc>
          <w:tcPr>
            <w:tcW w:type="dxa" w:w="2340"/>
            <w:vAlign w:val="top"/>
            <w:tcMar>
              <w:top w:w="80" w:type="dxa"/>
              <w:right w:w="80" w:type="dxa"/>
              <w:bottom w:w="80" w:type="dxa"/>
              <w:left w:w="80" w:type="dxa"/>
            </w:tcMar>
          </w:tcPr>
          <w:p>
            <w:r>
              <w:t>3 weeks</w:t>
            </w:r>
          </w:p>
        </w:tc>
        <w:tc>
          <w:tcPr>
            <w:tcW w:type="dxa" w:w="2340"/>
            <w:vAlign w:val="top"/>
            <w:tcMar>
              <w:top w:w="80" w:type="dxa"/>
              <w:right w:w="80" w:type="dxa"/>
              <w:bottom w:w="80" w:type="dxa"/>
              <w:left w:w="80" w:type="dxa"/>
            </w:tcMar>
          </w:tcPr>
          <w:p>
            <w:r>
              <w:t>Cutover, monitoring, stabilization</w:t>
            </w:r>
          </w:p>
        </w:tc>
        <w:tc>
          <w:tcPr>
            <w:tcW w:type="dxa" w:w="2340"/>
            <w:vAlign w:val="top"/>
            <w:tcMar>
              <w:top w:w="80" w:type="dxa"/>
              <w:right w:w="80" w:type="dxa"/>
              <w:bottom w:w="80" w:type="dxa"/>
              <w:left w:w="80" w:type="dxa"/>
            </w:tcMar>
          </w:tcPr>
          <w:p>
            <w:r>
              <w:t>Go-live report</w:t>
            </w:r>
          </w:p>
        </w:tc>
      </w:tr>
      <w:tr>
        <w:tc>
          <w:tcPr>
            <w:tcW w:type="dxa" w:w="2340"/>
            <w:vAlign w:val="top"/>
            <w:tcMar>
              <w:top w:w="80" w:type="dxa"/>
              <w:right w:w="80" w:type="dxa"/>
              <w:bottom w:w="80" w:type="dxa"/>
              <w:left w:w="80" w:type="dxa"/>
            </w:tcMar>
          </w:tcPr>
          <w:p>
            <w:r>
              <w:t>Transition to Support</w:t>
            </w:r>
          </w:p>
        </w:tc>
        <w:tc>
          <w:tcPr>
            <w:tcW w:type="dxa" w:w="2340"/>
            <w:vAlign w:val="top"/>
            <w:tcMar>
              <w:top w:w="80" w:type="dxa"/>
              <w:right w:w="80" w:type="dxa"/>
              <w:bottom w:w="80" w:type="dxa"/>
              <w:left w:w="80" w:type="dxa"/>
            </w:tcMar>
          </w:tcPr>
          <w:p>
            <w:r>
              <w:t>1 week</w:t>
            </w:r>
          </w:p>
        </w:tc>
        <w:tc>
          <w:tcPr>
            <w:tcW w:type="dxa" w:w="2340"/>
            <w:vAlign w:val="top"/>
            <w:tcMar>
              <w:top w:w="80" w:type="dxa"/>
              <w:right w:w="80" w:type="dxa"/>
              <w:bottom w:w="80" w:type="dxa"/>
              <w:left w:w="80" w:type="dxa"/>
            </w:tcMar>
          </w:tcPr>
          <w:p>
            <w:r>
              <w:t>Handover to support team</w:t>
            </w:r>
          </w:p>
        </w:tc>
        <w:tc>
          <w:tcPr>
            <w:tcW w:type="dxa" w:w="2340"/>
            <w:vAlign w:val="top"/>
            <w:tcMar>
              <w:top w:w="80" w:type="dxa"/>
              <w:right w:w="80" w:type="dxa"/>
              <w:bottom w:w="80" w:type="dxa"/>
              <w:left w:w="80" w:type="dxa"/>
            </w:tcMar>
          </w:tcPr>
          <w:p>
            <w:r>
              <w:t>Support transition document</w:t>
            </w:r>
          </w:p>
        </w:tc>
      </w:tr>
    </w:tbl>
    <w:p>
      <w:r>
        <w:t>Total estimated duration: 25 weeks (6 months) for initial release.</w:t>
      </w:r>
    </w:p>
    <w:p>
      <w:pPr>
        <w:pStyle w:val="Heading2"/>
      </w:pPr>
      <w:r>
        <w:t>6. Proposed Team Structure</w:t>
      </w:r>
    </w:p>
    <w:p>
      <w:r>
        <w:t>FusionAIx proposes a multidisciplinary team combining BPM experts, solution architects, developers, and change management specialists.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Role</w:t>
            </w:r>
          </w:p>
        </w:tc>
        <w:tc>
          <w:tcPr>
            <w:tcW w:type="dxa" w:w="3120"/>
            <w:shd w:fill="1a5490" w:val="clear"/>
            <w:vAlign w:val="top"/>
            <w:tcMar>
              <w:top w:w="80" w:type="dxa"/>
              <w:right w:w="80" w:type="dxa"/>
              <w:bottom w:w="80" w:type="dxa"/>
              <w:left w:w="80" w:type="dxa"/>
            </w:tcMar>
          </w:tcPr>
          <w:p>
            <w:r>
              <w:rPr>
                <w:b/>
                <w:color w:val="FFFFFF"/>
              </w:rPr>
              <w:t>Responsibilities</w:t>
            </w:r>
          </w:p>
        </w:tc>
        <w:tc>
          <w:tcPr>
            <w:tcW w:type="dxa" w:w="3120"/>
            <w:shd w:fill="1a5490" w:val="clear"/>
            <w:vAlign w:val="top"/>
            <w:tcMar>
              <w:top w:w="80" w:type="dxa"/>
              <w:right w:w="80" w:type="dxa"/>
              <w:bottom w:w="80" w:type="dxa"/>
              <w:left w:w="80" w:type="dxa"/>
            </w:tcMar>
          </w:tcPr>
          <w:p>
            <w:r>
              <w:rPr>
                <w:b/>
                <w:color w:val="FFFFFF"/>
              </w:rPr>
              <w:t>Key Personnel</w:t>
            </w:r>
          </w:p>
        </w:tc>
      </w:tr>
      <w:tr>
        <w:tc>
          <w:tcPr>
            <w:tcW w:type="dxa" w:w="3120"/>
            <w:vAlign w:val="top"/>
            <w:tcMar>
              <w:top w:w="80" w:type="dxa"/>
              <w:right w:w="80" w:type="dxa"/>
              <w:bottom w:w="80" w:type="dxa"/>
              <w:left w:w="80" w:type="dxa"/>
            </w:tcMar>
          </w:tcPr>
          <w:p>
            <w:r>
              <w:t>Program Manager</w:t>
            </w:r>
          </w:p>
        </w:tc>
        <w:tc>
          <w:tcPr>
            <w:tcW w:type="dxa" w:w="3120"/>
            <w:vAlign w:val="top"/>
            <w:tcMar>
              <w:top w:w="80" w:type="dxa"/>
              <w:right w:w="80" w:type="dxa"/>
              <w:bottom w:w="80" w:type="dxa"/>
              <w:left w:w="80" w:type="dxa"/>
            </w:tcMar>
          </w:tcPr>
          <w:p>
            <w:r>
              <w:t>Overall project governance, stakeholder management</w:t>
            </w:r>
          </w:p>
        </w:tc>
        <w:tc>
          <w:tcPr>
            <w:tcW w:type="dxa" w:w="3120"/>
            <w:vAlign w:val="top"/>
            <w:tcMar>
              <w:top w:w="80" w:type="dxa"/>
              <w:right w:w="80" w:type="dxa"/>
              <w:bottom w:w="80" w:type="dxa"/>
              <w:left w:w="80" w:type="dxa"/>
            </w:tcMar>
          </w:tcPr>
          <w:p>
            <w:r>
              <w:t>[To be provided by MTI approval]</w:t>
            </w:r>
          </w:p>
        </w:tc>
      </w:tr>
      <w:tr>
        <w:tc>
          <w:tcPr>
            <w:tcW w:type="dxa" w:w="3120"/>
            <w:vAlign w:val="top"/>
            <w:tcMar>
              <w:top w:w="80" w:type="dxa"/>
              <w:right w:w="80" w:type="dxa"/>
              <w:bottom w:w="80" w:type="dxa"/>
              <w:left w:w="80" w:type="dxa"/>
            </w:tcMar>
          </w:tcPr>
          <w:p>
            <w:r>
              <w:t>Solution Architect</w:t>
            </w:r>
          </w:p>
        </w:tc>
        <w:tc>
          <w:tcPr>
            <w:tcW w:type="dxa" w:w="3120"/>
            <w:vAlign w:val="top"/>
            <w:tcMar>
              <w:top w:w="80" w:type="dxa"/>
              <w:right w:w="80" w:type="dxa"/>
              <w:bottom w:w="80" w:type="dxa"/>
              <w:left w:w="80" w:type="dxa"/>
            </w:tcMar>
          </w:tcPr>
          <w:p>
            <w:r>
              <w:t>Solution design, architecture, and integration oversight</w:t>
            </w:r>
          </w:p>
        </w:tc>
        <w:tc>
          <w:tcPr>
            <w:tcW w:type="dxa" w:w="3120"/>
            <w:vAlign w:val="top"/>
            <w:tcMar>
              <w:top w:w="80" w:type="dxa"/>
              <w:right w:w="80" w:type="dxa"/>
              <w:bottom w:w="80" w:type="dxa"/>
              <w:left w:w="80" w:type="dxa"/>
            </w:tcMar>
          </w:tcPr>
          <w:p>
            <w:r>
              <w:t>[To be provided]</w:t>
            </w:r>
          </w:p>
        </w:tc>
      </w:tr>
      <w:tr>
        <w:tc>
          <w:tcPr>
            <w:tcW w:type="dxa" w:w="3120"/>
            <w:vAlign w:val="top"/>
            <w:tcMar>
              <w:top w:w="80" w:type="dxa"/>
              <w:right w:w="80" w:type="dxa"/>
              <w:bottom w:w="80" w:type="dxa"/>
              <w:left w:w="80" w:type="dxa"/>
            </w:tcMar>
          </w:tcPr>
          <w:p>
            <w:r>
              <w:t>BPM Lead</w:t>
            </w:r>
          </w:p>
        </w:tc>
        <w:tc>
          <w:tcPr>
            <w:tcW w:type="dxa" w:w="3120"/>
            <w:vAlign w:val="top"/>
            <w:tcMar>
              <w:top w:w="80" w:type="dxa"/>
              <w:right w:w="80" w:type="dxa"/>
              <w:bottom w:w="80" w:type="dxa"/>
              <w:left w:w="80" w:type="dxa"/>
            </w:tcMar>
          </w:tcPr>
          <w:p>
            <w:r>
              <w:t>Process modeling, configuration, and workflow design</w:t>
            </w:r>
          </w:p>
        </w:tc>
        <w:tc>
          <w:tcPr>
            <w:tcW w:type="dxa" w:w="3120"/>
            <w:vAlign w:val="top"/>
            <w:tcMar>
              <w:top w:w="80" w:type="dxa"/>
              <w:right w:w="80" w:type="dxa"/>
              <w:bottom w:w="80" w:type="dxa"/>
              <w:left w:w="80" w:type="dxa"/>
            </w:tcMar>
          </w:tcPr>
          <w:p>
            <w:r>
              <w:t>[To be provided]</w:t>
            </w:r>
          </w:p>
        </w:tc>
      </w:tr>
      <w:tr>
        <w:tc>
          <w:tcPr>
            <w:tcW w:type="dxa" w:w="3120"/>
            <w:vAlign w:val="top"/>
            <w:tcMar>
              <w:top w:w="80" w:type="dxa"/>
              <w:right w:w="80" w:type="dxa"/>
              <w:bottom w:w="80" w:type="dxa"/>
              <w:left w:w="80" w:type="dxa"/>
            </w:tcMar>
          </w:tcPr>
          <w:p>
            <w:r>
              <w:t>Technical Lead</w:t>
            </w:r>
          </w:p>
        </w:tc>
        <w:tc>
          <w:tcPr>
            <w:tcW w:type="dxa" w:w="3120"/>
            <w:vAlign w:val="top"/>
            <w:tcMar>
              <w:top w:w="80" w:type="dxa"/>
              <w:right w:w="80" w:type="dxa"/>
              <w:bottom w:w="80" w:type="dxa"/>
              <w:left w:w="80" w:type="dxa"/>
            </w:tcMar>
          </w:tcPr>
          <w:p>
            <w:r>
              <w:t>Integration, performance, and security</w:t>
            </w:r>
          </w:p>
        </w:tc>
        <w:tc>
          <w:tcPr>
            <w:tcW w:type="dxa" w:w="3120"/>
            <w:vAlign w:val="top"/>
            <w:tcMar>
              <w:top w:w="80" w:type="dxa"/>
              <w:right w:w="80" w:type="dxa"/>
              <w:bottom w:w="80" w:type="dxa"/>
              <w:left w:w="80" w:type="dxa"/>
            </w:tcMar>
          </w:tcPr>
          <w:p>
            <w:r>
              <w:t>[To be provided]</w:t>
            </w:r>
          </w:p>
        </w:tc>
      </w:tr>
      <w:tr>
        <w:tc>
          <w:tcPr>
            <w:tcW w:type="dxa" w:w="3120"/>
            <w:vAlign w:val="top"/>
            <w:tcMar>
              <w:top w:w="80" w:type="dxa"/>
              <w:right w:w="80" w:type="dxa"/>
              <w:bottom w:w="80" w:type="dxa"/>
              <w:left w:w="80" w:type="dxa"/>
            </w:tcMar>
          </w:tcPr>
          <w:p>
            <w:r>
              <w:t>QA Lead</w:t>
            </w:r>
          </w:p>
        </w:tc>
        <w:tc>
          <w:tcPr>
            <w:tcW w:type="dxa" w:w="3120"/>
            <w:vAlign w:val="top"/>
            <w:tcMar>
              <w:top w:w="80" w:type="dxa"/>
              <w:right w:w="80" w:type="dxa"/>
              <w:bottom w:w="80" w:type="dxa"/>
              <w:left w:w="80" w:type="dxa"/>
            </w:tcMar>
          </w:tcPr>
          <w:p>
            <w:r>
              <w:t>Test planning, execution, and defect management</w:t>
            </w:r>
          </w:p>
        </w:tc>
        <w:tc>
          <w:tcPr>
            <w:tcW w:type="dxa" w:w="3120"/>
            <w:vAlign w:val="top"/>
            <w:tcMar>
              <w:top w:w="80" w:type="dxa"/>
              <w:right w:w="80" w:type="dxa"/>
              <w:bottom w:w="80" w:type="dxa"/>
              <w:left w:w="80" w:type="dxa"/>
            </w:tcMar>
          </w:tcPr>
          <w:p>
            <w:r>
              <w:t>[To be provided]</w:t>
            </w:r>
          </w:p>
        </w:tc>
      </w:tr>
      <w:tr>
        <w:tc>
          <w:tcPr>
            <w:tcW w:type="dxa" w:w="3120"/>
            <w:vAlign w:val="top"/>
            <w:tcMar>
              <w:top w:w="80" w:type="dxa"/>
              <w:right w:w="80" w:type="dxa"/>
              <w:bottom w:w="80" w:type="dxa"/>
              <w:left w:w="80" w:type="dxa"/>
            </w:tcMar>
          </w:tcPr>
          <w:p>
            <w:r>
              <w:t>Change Manager</w:t>
            </w:r>
          </w:p>
        </w:tc>
        <w:tc>
          <w:tcPr>
            <w:tcW w:type="dxa" w:w="3120"/>
            <w:vAlign w:val="top"/>
            <w:tcMar>
              <w:top w:w="80" w:type="dxa"/>
              <w:right w:w="80" w:type="dxa"/>
              <w:bottom w:w="80" w:type="dxa"/>
              <w:left w:w="80" w:type="dxa"/>
            </w:tcMar>
          </w:tcPr>
          <w:p>
            <w:r>
              <w:t>Training, communication, and adoption</w:t>
            </w:r>
          </w:p>
        </w:tc>
        <w:tc>
          <w:tcPr>
            <w:tcW w:type="dxa" w:w="3120"/>
            <w:vAlign w:val="top"/>
            <w:tcMar>
              <w:top w:w="80" w:type="dxa"/>
              <w:right w:w="80" w:type="dxa"/>
              <w:bottom w:w="80" w:type="dxa"/>
              <w:left w:w="80" w:type="dxa"/>
            </w:tcMar>
          </w:tcPr>
          <w:p>
            <w:r>
              <w:t>[To be provided]</w:t>
            </w:r>
          </w:p>
        </w:tc>
      </w:tr>
      <w:tr>
        <w:tc>
          <w:tcPr>
            <w:tcW w:type="dxa" w:w="3120"/>
            <w:vAlign w:val="top"/>
            <w:tcMar>
              <w:top w:w="80" w:type="dxa"/>
              <w:right w:w="80" w:type="dxa"/>
              <w:bottom w:w="80" w:type="dxa"/>
              <w:left w:w="80" w:type="dxa"/>
            </w:tcMar>
          </w:tcPr>
          <w:p>
            <w:r>
              <w:t>Support Lead</w:t>
            </w:r>
          </w:p>
        </w:tc>
        <w:tc>
          <w:tcPr>
            <w:tcW w:type="dxa" w:w="3120"/>
            <w:vAlign w:val="top"/>
            <w:tcMar>
              <w:top w:w="80" w:type="dxa"/>
              <w:right w:w="80" w:type="dxa"/>
              <w:bottom w:w="80" w:type="dxa"/>
              <w:left w:w="80" w:type="dxa"/>
            </w:tcMar>
          </w:tcPr>
          <w:p>
            <w:r>
              <w:t>Post go-live support and SLA management</w:t>
            </w:r>
          </w:p>
        </w:tc>
        <w:tc>
          <w:tcPr>
            <w:tcW w:type="dxa" w:w="3120"/>
            <w:vAlign w:val="top"/>
            <w:tcMar>
              <w:top w:w="80" w:type="dxa"/>
              <w:right w:w="80" w:type="dxa"/>
              <w:bottom w:w="80" w:type="dxa"/>
              <w:left w:w="80" w:type="dxa"/>
            </w:tcMar>
          </w:tcPr>
          <w:p>
            <w:r>
              <w:t>[To be provided]</w:t>
            </w:r>
          </w:p>
        </w:tc>
      </w:tr>
    </w:tbl>
    <w:p>
      <w:r>
        <w:t>FusionAIx’s team members hold certifications in Pega Certified System Architect (CSA), Pega Certified Senior System Architect (CSSA), and Pega Certified Lead System Architect (CLSA), ensuring technical excellence and adherence to best practices.</w:t>
      </w:r>
    </w:p>
    <w:p>
      <w:pPr>
        <w:pStyle w:val="Heading2"/>
      </w:pPr>
      <w:r>
        <w:t>7. Functional and Technical Compliance Matrix</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Pega workflow engine supports automated and human tasks in unified processes.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and notes.</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Business rules externalized from code with versioning and testing.</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supports guided steps and contextual help.</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 rules per process; automated escalations and notifications.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event-based integration supported.</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Security and audit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RBAC, audit logging, compliance with national standards.</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Reporting and dashboards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Real-time dashboards; ad-hoc report creation by business users.</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Comprehensive training and materials provided.</w:t>
            </w:r>
          </w:p>
        </w:tc>
      </w:tr>
      <w:tr>
        <w:tc>
          <w:tcPr>
            <w:tcW w:type="dxa" w:w="2340"/>
            <w:vAlign w:val="top"/>
            <w:tcMar>
              <w:top w:w="80" w:type="dxa"/>
              <w:right w:w="80" w:type="dxa"/>
              <w:bottom w:w="80" w:type="dxa"/>
              <w:left w:w="80" w:type="dxa"/>
            </w:tcMar>
          </w:tcPr>
          <w:p>
            <w:r>
              <w:t>5.1.j</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3 years of post go-live support with defined SLAs.</w:t>
            </w:r>
          </w:p>
        </w:tc>
      </w:tr>
    </w:tbl>
    <w:p>
      <w:pPr>
        <w:pStyle w:val="Heading2"/>
      </w:pPr>
      <w:r>
        <w:t>8. Assumptions, Dependencies, and Risks</w:t>
      </w:r>
    </w:p>
    <w:p>
      <w:pPr>
        <w:pStyle w:val="Heading3"/>
      </w:pPr>
      <w:r>
        <w:t>Assumptions</w:t>
      </w:r>
    </w:p>
    <w:p>
      <w:pPr>
        <w:spacing w:after="120"/>
        <w:ind w:left="360" w:hanging="360"/>
      </w:pPr>
      <w:r>
        <w:rPr>
          <w:rFonts w:ascii="Calibri" w:hAnsi="Calibri"/>
          <w:sz w:val="22"/>
        </w:rPr>
        <w:t xml:space="preserve">• </w:t>
      </w:r>
      <w:r>
        <w:rPr>
          <w:rFonts w:ascii="Calibri" w:hAnsi="Calibri"/>
          <w:sz w:val="22"/>
        </w:rPr>
        <w:t>MTI will provide timely access to stakeholders and existing systems.</w:t>
      </w:r>
    </w:p>
    <w:p>
      <w:pPr>
        <w:spacing w:after="120"/>
        <w:ind w:left="360" w:hanging="360"/>
      </w:pPr>
      <w:r>
        <w:rPr>
          <w:rFonts w:ascii="Calibri" w:hAnsi="Calibri"/>
          <w:sz w:val="22"/>
        </w:rPr>
        <w:t xml:space="preserve">• </w:t>
      </w:r>
      <w:r>
        <w:rPr>
          <w:rFonts w:ascii="Calibri" w:hAnsi="Calibri"/>
          <w:sz w:val="22"/>
        </w:rPr>
        <w:t>Required infrastructure (servers, network, security) will be provisioned by MTI or its hosting partner.</w:t>
      </w:r>
    </w:p>
    <w:p>
      <w:pPr>
        <w:spacing w:after="120"/>
        <w:ind w:left="360" w:hanging="360"/>
      </w:pPr>
      <w:r>
        <w:rPr>
          <w:rFonts w:ascii="Calibri" w:hAnsi="Calibri"/>
          <w:sz w:val="22"/>
        </w:rPr>
        <w:t xml:space="preserve">• </w:t>
      </w:r>
      <w:r>
        <w:rPr>
          <w:rFonts w:ascii="Calibri" w:hAnsi="Calibri"/>
          <w:sz w:val="22"/>
        </w:rPr>
        <w:t>MTI will designate process owners for each process area.</w:t>
      </w:r>
    </w:p>
    <w:p>
      <w:pPr>
        <w:pStyle w:val="Heading3"/>
      </w:pPr>
      <w:r>
        <w:t>Dependencies</w:t>
      </w:r>
    </w:p>
    <w:p>
      <w:pPr>
        <w:spacing w:after="120"/>
        <w:ind w:left="360" w:hanging="360"/>
      </w:pPr>
      <w:r>
        <w:rPr>
          <w:rFonts w:ascii="Calibri" w:hAnsi="Calibri"/>
          <w:sz w:val="22"/>
        </w:rPr>
        <w:t xml:space="preserve">• </w:t>
      </w:r>
      <w:r>
        <w:rPr>
          <w:rFonts w:ascii="Calibri" w:hAnsi="Calibri"/>
          <w:sz w:val="22"/>
        </w:rPr>
        <w:t>Integration with MTI’s identity management and single sign-on systems.</w:t>
      </w:r>
    </w:p>
    <w:p>
      <w:pPr>
        <w:spacing w:after="120"/>
        <w:ind w:left="360" w:hanging="360"/>
      </w:pPr>
      <w:r>
        <w:rPr>
          <w:rFonts w:ascii="Calibri" w:hAnsi="Calibri"/>
          <w:sz w:val="22"/>
        </w:rPr>
        <w:t xml:space="preserve">• </w:t>
      </w:r>
      <w:r>
        <w:rPr>
          <w:rFonts w:ascii="Calibri" w:hAnsi="Calibri"/>
          <w:sz w:val="22"/>
        </w:rPr>
        <w:t>Availability of test data and environments.</w:t>
      </w:r>
    </w:p>
    <w:p>
      <w:pPr>
        <w:spacing w:after="120"/>
        <w:ind w:left="360" w:hanging="360"/>
      </w:pPr>
      <w:r>
        <w:rPr>
          <w:rFonts w:ascii="Calibri" w:hAnsi="Calibri"/>
          <w:sz w:val="22"/>
        </w:rPr>
        <w:t xml:space="preserve">• </w:t>
      </w:r>
      <w:r>
        <w:rPr>
          <w:rFonts w:ascii="Calibri" w:hAnsi="Calibri"/>
          <w:sz w:val="22"/>
        </w:rPr>
        <w:t>Timely feedback during UAT and design reviews.</w:t>
      </w:r>
    </w:p>
    <w:p>
      <w:pPr>
        <w:pStyle w:val="Heading3"/>
      </w:pPr>
      <w:r>
        <w:t>Risks and Mitigation</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requirements finalization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DCO sessions and iterative validation.</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of fxAgentSDK and proven integration patterns.</w:t>
            </w:r>
          </w:p>
        </w:tc>
      </w:tr>
      <w:tr>
        <w:tc>
          <w:tcPr>
            <w:tcW w:type="dxa" w:w="3120"/>
            <w:vAlign w:val="top"/>
            <w:tcMar>
              <w:top w:w="80" w:type="dxa"/>
              <w:right w:w="80" w:type="dxa"/>
              <w:bottom w:w="80" w:type="dxa"/>
              <w:left w:w="80" w:type="dxa"/>
            </w:tcMar>
          </w:tcPr>
          <w:p>
            <w:r>
              <w:t>User adoption challenges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Comprehensive training and change management.</w:t>
            </w:r>
          </w:p>
        </w:tc>
      </w:tr>
      <w:tr>
        <w:tc>
          <w:tcPr>
            <w:tcW w:type="dxa" w:w="3120"/>
            <w:vAlign w:val="top"/>
            <w:tcMar>
              <w:top w:w="80" w:type="dxa"/>
              <w:right w:w="80" w:type="dxa"/>
              <w:bottom w:w="80" w:type="dxa"/>
              <w:left w:w="80" w:type="dxa"/>
            </w:tcMar>
          </w:tcPr>
          <w:p>
            <w:r>
              <w:t>Scope creep</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Strict change control and governance.</w:t>
            </w:r>
          </w:p>
        </w:tc>
      </w:tr>
    </w:tbl>
    <w:p>
      <w:pPr>
        <w:pStyle w:val="Heading2"/>
      </w:pPr>
      <w:r>
        <w:t>9. Support and Maintenance Model</w:t>
      </w:r>
    </w:p>
    <w:p>
      <w:r>
        <w:t>FusionAIx will provide three (3) years of post go-live support and maintenance, covering incident management, patching, upgrades, and continuous improvement.</w:t>
      </w:r>
    </w:p>
    <w:p>
      <w:pPr>
        <w:pStyle w:val="Heading3"/>
      </w:pPr>
      <w:r>
        <w:t>Support Tiers</w:t>
      </w:r>
    </w:p>
    <w:p>
      <w:pPr>
        <w:spacing w:after="120"/>
        <w:ind w:left="360" w:hanging="360"/>
      </w:pPr>
      <w:r>
        <w:rPr>
          <w:rFonts w:ascii="Calibri" w:hAnsi="Calibri"/>
          <w:sz w:val="22"/>
        </w:rPr>
        <w:t xml:space="preserve">• </w:t>
      </w:r>
      <w:r>
        <w:rPr>
          <w:rFonts w:ascii="Calibri" w:hAnsi="Calibri"/>
          <w:b/>
          <w:sz w:val="22"/>
        </w:rPr>
        <w:t>L1 (Helpdesk):</w:t>
      </w:r>
      <w:r>
        <w:rPr>
          <w:rFonts w:ascii="Calibri" w:hAnsi="Calibri"/>
          <w:sz w:val="22"/>
        </w:rPr>
        <w:t xml:space="preserve"> User queries, access issues, minor fixes.</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Configuration issues, workflow errors, portal issues.</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integrations, performance tuning, upgrades.</w:t>
      </w:r>
    </w:p>
    <w:p>
      <w:pPr>
        <w:pStyle w:val="Heading3"/>
      </w:pPr>
      <w:r>
        <w:t>SLA Targets</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Severity</w:t>
            </w:r>
          </w:p>
        </w:tc>
        <w:tc>
          <w:tcPr>
            <w:tcW w:type="dxa" w:w="3120"/>
            <w:shd w:fill="1a5490" w:val="clear"/>
            <w:vAlign w:val="top"/>
            <w:tcMar>
              <w:top w:w="80" w:type="dxa"/>
              <w:right w:w="80" w:type="dxa"/>
              <w:bottom w:w="80" w:type="dxa"/>
              <w:left w:w="80" w:type="dxa"/>
            </w:tcMar>
          </w:tcPr>
          <w:p>
            <w:r>
              <w:rPr>
                <w:b/>
                <w:color w:val="FFFFFF"/>
              </w:rPr>
              <w:t>Response Time</w:t>
            </w:r>
          </w:p>
        </w:tc>
        <w:tc>
          <w:tcPr>
            <w:tcW w:type="dxa" w:w="3120"/>
            <w:shd w:fill="1a5490" w:val="clear"/>
            <w:vAlign w:val="top"/>
            <w:tcMar>
              <w:top w:w="80" w:type="dxa"/>
              <w:right w:w="80" w:type="dxa"/>
              <w:bottom w:w="80" w:type="dxa"/>
              <w:left w:w="80" w:type="dxa"/>
            </w:tcMar>
          </w:tcPr>
          <w:p>
            <w:r>
              <w:rPr>
                <w:b/>
                <w:color w:val="FFFFFF"/>
              </w:rPr>
              <w:t>Resolution Time</w:t>
            </w:r>
          </w:p>
        </w:tc>
      </w:tr>
      <w:tr>
        <w:tc>
          <w:tcPr>
            <w:tcW w:type="dxa" w:w="3120"/>
            <w:vAlign w:val="top"/>
            <w:tcMar>
              <w:top w:w="80" w:type="dxa"/>
              <w:right w:w="80" w:type="dxa"/>
              <w:bottom w:w="80" w:type="dxa"/>
              <w:left w:w="80" w:type="dxa"/>
            </w:tcMar>
          </w:tcPr>
          <w:p>
            <w:r>
              <w:t>Sev 1 (Critical)</w:t>
            </w:r>
          </w:p>
        </w:tc>
        <w:tc>
          <w:tcPr>
            <w:tcW w:type="dxa" w:w="3120"/>
            <w:vAlign w:val="top"/>
            <w:tcMar>
              <w:top w:w="80" w:type="dxa"/>
              <w:right w:w="80" w:type="dxa"/>
              <w:bottom w:w="80" w:type="dxa"/>
              <w:left w:w="80" w:type="dxa"/>
            </w:tcMar>
          </w:tcPr>
          <w:p>
            <w:r>
              <w:t>1 hour</w:t>
            </w:r>
          </w:p>
        </w:tc>
        <w:tc>
          <w:tcPr>
            <w:tcW w:type="dxa" w:w="3120"/>
            <w:vAlign w:val="top"/>
            <w:tcMar>
              <w:top w:w="80" w:type="dxa"/>
              <w:right w:w="80" w:type="dxa"/>
              <w:bottom w:w="80" w:type="dxa"/>
              <w:left w:w="80" w:type="dxa"/>
            </w:tcMar>
          </w:tcPr>
          <w:p>
            <w:r>
              <w:t>4 hours</w:t>
            </w:r>
          </w:p>
        </w:tc>
      </w:tr>
      <w:tr>
        <w:tc>
          <w:tcPr>
            <w:tcW w:type="dxa" w:w="3120"/>
            <w:vAlign w:val="top"/>
            <w:tcMar>
              <w:top w:w="80" w:type="dxa"/>
              <w:right w:w="80" w:type="dxa"/>
              <w:bottom w:w="80" w:type="dxa"/>
              <w:left w:w="80" w:type="dxa"/>
            </w:tcMar>
          </w:tcPr>
          <w:p>
            <w:r>
              <w:t>Sev 2 (High)</w:t>
            </w:r>
          </w:p>
        </w:tc>
        <w:tc>
          <w:tcPr>
            <w:tcW w:type="dxa" w:w="3120"/>
            <w:vAlign w:val="top"/>
            <w:tcMar>
              <w:top w:w="80" w:type="dxa"/>
              <w:right w:w="80" w:type="dxa"/>
              <w:bottom w:w="80" w:type="dxa"/>
              <w:left w:w="80" w:type="dxa"/>
            </w:tcMar>
          </w:tcPr>
          <w:p>
            <w:r>
              <w:t>2 hours</w:t>
            </w:r>
          </w:p>
        </w:tc>
        <w:tc>
          <w:tcPr>
            <w:tcW w:type="dxa" w:w="3120"/>
            <w:vAlign w:val="top"/>
            <w:tcMar>
              <w:top w:w="80" w:type="dxa"/>
              <w:right w:w="80" w:type="dxa"/>
              <w:bottom w:w="80" w:type="dxa"/>
              <w:left w:w="80" w:type="dxa"/>
            </w:tcMar>
          </w:tcPr>
          <w:p>
            <w:r>
              <w:t>8 hours</w:t>
            </w:r>
          </w:p>
        </w:tc>
      </w:tr>
      <w:tr>
        <w:tc>
          <w:tcPr>
            <w:tcW w:type="dxa" w:w="3120"/>
            <w:vAlign w:val="top"/>
            <w:tcMar>
              <w:top w:w="80" w:type="dxa"/>
              <w:right w:w="80" w:type="dxa"/>
              <w:bottom w:w="80" w:type="dxa"/>
              <w:left w:w="80" w:type="dxa"/>
            </w:tcMar>
          </w:tcPr>
          <w:p>
            <w:r>
              <w:t>Sev 3 (Medium)</w:t>
            </w:r>
          </w:p>
        </w:tc>
        <w:tc>
          <w:tcPr>
            <w:tcW w:type="dxa" w:w="3120"/>
            <w:vAlign w:val="top"/>
            <w:tcMar>
              <w:top w:w="80" w:type="dxa"/>
              <w:right w:w="80" w:type="dxa"/>
              <w:bottom w:w="80" w:type="dxa"/>
              <w:left w:w="80" w:type="dxa"/>
            </w:tcMar>
          </w:tcPr>
          <w:p>
            <w:r>
              <w:t>4 hours</w:t>
            </w:r>
          </w:p>
        </w:tc>
        <w:tc>
          <w:tcPr>
            <w:tcW w:type="dxa" w:w="3120"/>
            <w:vAlign w:val="top"/>
            <w:tcMar>
              <w:top w:w="80" w:type="dxa"/>
              <w:right w:w="80" w:type="dxa"/>
              <w:bottom w:w="80" w:type="dxa"/>
              <w:left w:w="80" w:type="dxa"/>
            </w:tcMar>
          </w:tcPr>
          <w:p>
            <w:r>
              <w:t>24 hours</w:t>
            </w:r>
          </w:p>
        </w:tc>
      </w:tr>
      <w:tr>
        <w:tc>
          <w:tcPr>
            <w:tcW w:type="dxa" w:w="3120"/>
            <w:vAlign w:val="top"/>
            <w:tcMar>
              <w:top w:w="80" w:type="dxa"/>
              <w:right w:w="80" w:type="dxa"/>
              <w:bottom w:w="80" w:type="dxa"/>
              <w:left w:w="80" w:type="dxa"/>
            </w:tcMar>
          </w:tcPr>
          <w:p>
            <w:r>
              <w:t>Sev 4 (Low)</w:t>
            </w:r>
          </w:p>
        </w:tc>
        <w:tc>
          <w:tcPr>
            <w:tcW w:type="dxa" w:w="3120"/>
            <w:vAlign w:val="top"/>
            <w:tcMar>
              <w:top w:w="80" w:type="dxa"/>
              <w:right w:w="80" w:type="dxa"/>
              <w:bottom w:w="80" w:type="dxa"/>
              <w:left w:w="80" w:type="dxa"/>
            </w:tcMar>
          </w:tcPr>
          <w:p>
            <w:r>
              <w:t>8 hours</w:t>
            </w:r>
          </w:p>
        </w:tc>
        <w:tc>
          <w:tcPr>
            <w:tcW w:type="dxa" w:w="3120"/>
            <w:vAlign w:val="top"/>
            <w:tcMar>
              <w:top w:w="80" w:type="dxa"/>
              <w:right w:w="80" w:type="dxa"/>
              <w:bottom w:w="80" w:type="dxa"/>
              <w:left w:w="80" w:type="dxa"/>
            </w:tcMar>
          </w:tcPr>
          <w:p>
            <w:r>
              <w:t>48 hours</w:t>
            </w:r>
          </w:p>
        </w:tc>
      </w:tr>
    </w:tbl>
    <w:p>
      <w:pPr>
        <w:pStyle w:val="Heading3"/>
      </w:pPr>
      <w:r>
        <w:t>Escalation and Governance</w:t>
      </w:r>
    </w:p>
    <w:p>
      <w:pPr>
        <w:spacing w:after="120"/>
        <w:ind w:left="360" w:hanging="360"/>
      </w:pPr>
      <w:r>
        <w:rPr>
          <w:rFonts w:ascii="Calibri" w:hAnsi="Calibri"/>
          <w:sz w:val="22"/>
        </w:rPr>
        <w:t xml:space="preserve">• </w:t>
      </w:r>
      <w:r>
        <w:rPr>
          <w:rFonts w:ascii="Calibri" w:hAnsi="Calibri"/>
          <w:sz w:val="22"/>
        </w:rPr>
        <w:t>Incident Manager assigned for Sev 1/2 issues.</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improvement actions.</w:t>
      </w:r>
    </w:p>
    <w:p>
      <w:pPr>
        <w:pStyle w:val="Heading2"/>
      </w:pPr>
      <w:r>
        <w:t>10. Commercial Proposal</w:t>
      </w:r>
    </w:p>
    <w:p>
      <w:r>
        <w:t>FusionAIx will provide a detailed commercial proposal in the final submission package, including a 5-year Total Cost of Ownership (TCO) view. Costs will be broken down as follows:</w:t>
      </w:r>
    </w:p>
    <w:p>
      <w:pPr>
        <w:pStyle w:val="ListNumber"/>
      </w:pPr>
      <w:r>
        <w:rPr>
          <w:b/>
        </w:rPr>
        <w:t>Licensing:</w:t>
      </w:r>
    </w:p>
    <w:p>
      <w:pPr>
        <w:spacing w:after="120"/>
        <w:ind w:left="360" w:hanging="360"/>
      </w:pPr>
      <w:r>
        <w:rPr>
          <w:rFonts w:ascii="Calibri" w:hAnsi="Calibri"/>
          <w:sz w:val="22"/>
        </w:rPr>
        <w:t xml:space="preserve">• </w:t>
      </w:r>
      <w:r>
        <w:rPr>
          <w:rFonts w:ascii="Calibri" w:hAnsi="Calibri"/>
          <w:sz w:val="22"/>
        </w:rPr>
        <w:t>Internal user licenses (named and concurrent).</w:t>
      </w:r>
    </w:p>
    <w:p>
      <w:pPr>
        <w:spacing w:after="120"/>
        <w:ind w:left="360" w:hanging="360"/>
      </w:pPr>
      <w:r>
        <w:rPr>
          <w:rFonts w:ascii="Calibri" w:hAnsi="Calibri"/>
          <w:sz w:val="22"/>
        </w:rPr>
        <w:t xml:space="preserve">• </w:t>
      </w:r>
      <w:r>
        <w:rPr>
          <w:rFonts w:ascii="Calibri" w:hAnsi="Calibri"/>
          <w:sz w:val="22"/>
        </w:rPr>
        <w:t>External portal usage model.</w:t>
      </w:r>
    </w:p>
    <w:p>
      <w:pPr>
        <w:pStyle w:val="ListNumber"/>
      </w:pPr>
      <w:r>
        <w:rPr>
          <w:b/>
        </w:rPr>
        <w:t>Implementation Services:</w:t>
      </w:r>
    </w:p>
    <w:p>
      <w:pPr>
        <w:spacing w:after="120"/>
        <w:ind w:left="360" w:hanging="360"/>
      </w:pPr>
      <w:r>
        <w:rPr>
          <w:rFonts w:ascii="Calibri" w:hAnsi="Calibri"/>
          <w:sz w:val="22"/>
        </w:rPr>
        <w:t xml:space="preserve">• </w:t>
      </w:r>
      <w:r>
        <w:rPr>
          <w:rFonts w:ascii="Calibri" w:hAnsi="Calibri"/>
          <w:sz w:val="22"/>
        </w:rPr>
        <w:t>Discovery, design, configuration, integration, testing, and training.</w:t>
      </w:r>
    </w:p>
    <w:p>
      <w:pPr>
        <w:pStyle w:val="ListNumber"/>
      </w:pPr>
      <w:r>
        <w:rPr>
          <w:b/>
        </w:rPr>
        <w:t>Support and Maintenance:</w:t>
      </w:r>
    </w:p>
    <w:p>
      <w:pPr>
        <w:spacing w:after="120"/>
        <w:ind w:left="360" w:hanging="360"/>
      </w:pPr>
      <w:r>
        <w:rPr>
          <w:rFonts w:ascii="Calibri" w:hAnsi="Calibri"/>
          <w:sz w:val="22"/>
        </w:rPr>
        <w:t xml:space="preserve">• </w:t>
      </w:r>
      <w:r>
        <w:rPr>
          <w:rFonts w:ascii="Calibri" w:hAnsi="Calibri"/>
          <w:sz w:val="22"/>
        </w:rPr>
        <w:t>Three years of post go-live support, including patching and upgrades.</w:t>
      </w:r>
    </w:p>
    <w:p>
      <w:pPr>
        <w:pStyle w:val="ListNumber"/>
      </w:pPr>
      <w:r>
        <w:rPr>
          <w:b/>
        </w:rPr>
        <w:t>Optional Components:</w:t>
      </w:r>
    </w:p>
    <w:p>
      <w:pPr>
        <w:spacing w:after="120"/>
        <w:ind w:left="360" w:hanging="360"/>
      </w:pPr>
      <w:r>
        <w:rPr>
          <w:rFonts w:ascii="Calibri" w:hAnsi="Calibri"/>
          <w:sz w:val="22"/>
        </w:rPr>
        <w:t xml:space="preserve">• </w:t>
      </w:r>
      <w:r>
        <w:rPr>
          <w:rFonts w:ascii="Calibri" w:hAnsi="Calibri"/>
          <w:sz w:val="22"/>
        </w:rPr>
        <w:t>Advanced analytics and AI-assisted features.</w:t>
      </w:r>
    </w:p>
    <w:p>
      <w:pPr>
        <w:spacing w:after="120"/>
        <w:ind w:left="360" w:hanging="360"/>
      </w:pPr>
      <w:r>
        <w:rPr>
          <w:rFonts w:ascii="Calibri" w:hAnsi="Calibri"/>
          <w:sz w:val="22"/>
        </w:rPr>
        <w:t xml:space="preserve">• </w:t>
      </w:r>
      <w:r>
        <w:rPr>
          <w:rFonts w:ascii="Calibri" w:hAnsi="Calibri"/>
          <w:sz w:val="22"/>
        </w:rPr>
        <w:t>Additional environments (e.g., DR, staging).</w:t>
      </w:r>
    </w:p>
    <w:p>
      <w:pPr>
        <w:spacing w:after="120"/>
        <w:ind w:left="360" w:hanging="360"/>
      </w:pPr>
      <w:r>
        <w:rPr>
          <w:rFonts w:ascii="Calibri" w:hAnsi="Calibri"/>
          <w:sz w:val="22"/>
        </w:rPr>
        <w:t xml:space="preserve">• </w:t>
      </w:r>
      <w:r>
        <w:rPr>
          <w:rFonts w:ascii="Calibri" w:hAnsi="Calibri"/>
          <w:sz w:val="22"/>
        </w:rPr>
        <w:t>Future process expansions.</w:t>
      </w:r>
    </w:p>
    <w:p>
      <w:r>
        <w:t>All pricing will be provided in local currency, exclusive of applicable taxes, and aligned with MTI’s commercial terms.</w:t>
      </w:r>
    </w:p>
    <w:p>
      <w:r>
        <w:t>End of Proposal</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