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10892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ranspar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0892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keepNext w:val="0"/>
        <w:keepLines w:val="0"/>
        <w:widowControl w:val="0"/>
        <w:spacing w:after="240" w:before="0"/>
        <w:jc w:val="center"/>
        <w:wordWrap w:val="0"/>
        <w:overflowPunct w:val="0"/>
      </w:pPr>
      <w:r>
        <w:rPr>
          <w:rFonts w:ascii="Calibri" w:hAnsi="Calibri"/>
          <w:b/>
          <w:color w:val="1A5490"/>
          <w:sz w:val="64"/>
        </w:rPr>
        <w:t>Enterprise BPM Platform Implementation</w:t>
      </w:r>
    </w:p>
    <w:p/>
    <w:p/>
    <w:p>
      <w:pPr>
        <w:jc w:val="center"/>
      </w:pPr>
      <w:r>
        <w:rPr>
          <w:rFonts w:ascii="Calibri" w:hAnsi="Calibri"/>
          <w:color w:val="646464"/>
          <w:sz w:val="28"/>
        </w:rPr>
        <w:t>December 22, 2025</w:t>
      </w:r>
    </w:p>
    <w:p/>
    <w:p/>
    <w:p/>
    <w:p/>
    <w:p>
      <w:pPr>
        <w:jc w:val="center"/>
      </w:pPr>
      <w:r>
        <w:rPr>
          <w:rFonts w:ascii="Calibri" w:hAnsi="Calibri"/>
          <w:b/>
          <w:color w:val="1A5490"/>
          <w:sz w:val="40"/>
        </w:rPr>
        <w:t>fusionAIx</w:t>
      </w:r>
    </w:p>
    <w:p>
      <w:pPr>
        <w:jc w:val="center"/>
      </w:pPr>
      <w:r>
        <w:rPr>
          <w:rFonts w:ascii="Calibri" w:hAnsi="Calibri"/>
          <w:color w:val="646464"/>
          <w:sz w:val="24"/>
        </w:rPr>
        <w:t>www.fusionaix.com</w:t>
      </w:r>
    </w:p>
    <w:p/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Table of Contents</w:t>
      </w:r>
    </w:p>
    <w:p/>
    <w:p>
      <w:pPr/>
      <w:r>
        <w:rPr>
          <w:rFonts w:ascii="Calibri" w:hAnsi="Calibri"/>
          <w:sz w:val="22"/>
        </w:rPr>
        <w:t>1. Executive Summary</w:t>
      </w:r>
    </w:p>
    <w:p>
      <w:pPr/>
      <w:r>
        <w:rPr>
          <w:rFonts w:ascii="Calibri" w:hAnsi="Calibri"/>
          <w:sz w:val="22"/>
        </w:rPr>
        <w:t>2. Understanding of MTI’s Objectives and Context</w:t>
      </w:r>
    </w:p>
    <w:p>
      <w:pPr/>
      <w:r>
        <w:rPr>
          <w:rFonts w:ascii="Calibri" w:hAnsi="Calibri"/>
          <w:sz w:val="22"/>
        </w:rPr>
        <w:t>3. Proposed Solution Overview (architecture, major components, key differentiators)</w:t>
      </w:r>
    </w:p>
    <w:p>
      <w:pPr/>
      <w:r>
        <w:rPr>
          <w:rFonts w:ascii="Calibri" w:hAnsi="Calibri"/>
          <w:sz w:val="22"/>
        </w:rPr>
        <w:t>4. Implementation Approach and Methodology</w:t>
      </w:r>
    </w:p>
    <w:p>
      <w:pPr/>
      <w:r>
        <w:rPr>
          <w:rFonts w:ascii="Calibri" w:hAnsi="Calibri"/>
          <w:sz w:val="22"/>
        </w:rPr>
        <w:t>5. Project Plan and Timelines, including major milestones</w:t>
      </w:r>
    </w:p>
    <w:p>
      <w:pPr/>
      <w:r>
        <w:rPr>
          <w:rFonts w:ascii="Calibri" w:hAnsi="Calibri"/>
          <w:sz w:val="22"/>
        </w:rPr>
        <w:t>6. Proposed Team Structure, roles, and CVs of key personnel</w:t>
      </w:r>
    </w:p>
    <w:p>
      <w:pPr/>
      <w:r>
        <w:rPr>
          <w:rFonts w:ascii="Calibri" w:hAnsi="Calibri"/>
          <w:sz w:val="22"/>
        </w:rPr>
        <w:t>7. Functional and Technical Compliance Matrix responding to the requirements in Sections 5 and 6</w:t>
      </w:r>
    </w:p>
    <w:p>
      <w:pPr/>
      <w:r>
        <w:rPr>
          <w:rFonts w:ascii="Calibri" w:hAnsi="Calibri"/>
          <w:sz w:val="22"/>
        </w:rPr>
        <w:t>8. Assumptions, Dependencies, and Risks, with proposed mitigation strategies</w:t>
      </w:r>
    </w:p>
    <w:p>
      <w:pPr/>
      <w:r>
        <w:rPr>
          <w:rFonts w:ascii="Calibri" w:hAnsi="Calibri"/>
          <w:sz w:val="22"/>
        </w:rPr>
        <w:t>9. Support and Maintenance Model, including SLAs</w:t>
      </w:r>
    </w:p>
    <w:p>
      <w:pPr/>
      <w:r>
        <w:rPr>
          <w:rFonts w:ascii="Calibri" w:hAnsi="Calibri"/>
          <w:sz w:val="22"/>
        </w:rPr>
        <w:t>10. Commercial Proposal (licensing, implementation services, support, and any optional components)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Company Overview</w:t>
      </w:r>
    </w:p>
    <w:p>
      <w:r>
        <w:t>At fusionAIx, we believe that the future of digital transformation lies in the seamless blend of low-code platforms and artificial intelligence. Our core team brings together decades of implementation experience, domain expertise, and a passion for innovation. We partner with enterprises to reimagine processes, accelerate application delivery, and unlock new levels of efficiency. We help businesses scale smarter, faster, and with greater impact.</w:t>
      </w:r>
    </w:p>
    <w:p>
      <w:r>
        <w:t>With a collaborative spirit and a commitment to excellence, our team transforms complex challenges into intelligent, practical solutions. fusionAIx is not just about technology—it's about empowering people, industries, and enterprises to thrive in a digital-first world.</w:t>
      </w:r>
    </w:p>
    <w:p>
      <w:r>
        <w:t>We are proud to be officially recognized as a Great Place To Work® Certified Company for 2025–26, reflecting our commitment to a culture built on trust, innovation, and people-first values.</w:t>
      </w:r>
    </w:p>
    <w:p>
      <w:r>
        <w:t>fusionAIx delivers tailored solutions that blend AI and automation to drive measurable results across industries. We are a niche Pega partner with 20+ successful Pega Constellation implementations across the globe. As Constellation migration experts, we focus on pattern-based development with Constellation, enabling faster project go-lives than traditional implementation approaches.</w:t>
      </w:r>
    </w:p>
    <w:p>
      <w:r>
        <w:t>Our proven capabilities span three core technology platforms: Pega Constellation, Microsoft Power Platform, and ServiceNow. Through these platforms, we provide comprehensive services including Low Code/No Code development, Digital Process Transformation, and AI &amp; Data solutions.</w:t>
      </w:r>
    </w:p>
    <w:p>
      <w:r>
        <w:t>To accelerate time-to-value, fusionAIx offers proprietary accelerators and solution components including fxAgentSDK, fxAIStudio, fxMockUpToView, and fxSmartDCO. These tools enable rapid development, intelligent automation, and streamlined project delivery.</w:t>
      </w:r>
    </w:p>
    <w:p>
      <w:r>
        <w:t>We support clients across diverse industries including Insurance, Banking &amp; Finance, Government &amp; Public Sector, Automotive &amp; Fleet Management, and Travel &amp; Tourism, combining platform expertise with structured knowledge transfer to help customers build sustainable, future-ready capabilities.</w:t>
      </w:r>
    </w:p>
    <w:p>
      <w:r>
        <w:br w:type="page"/>
      </w:r>
    </w:p>
    <w:p>
      <w:pPr>
        <w:pStyle w:val="Heading1"/>
      </w:pPr>
      <w:r>
        <w:t>Ministry of Trade and Industry (MTI)</w:t>
      </w:r>
    </w:p>
    <w:p>
      <w:pPr>
        <w:pStyle w:val="Heading2"/>
      </w:pPr>
      <w:r>
        <w:t>Business Process Management (BPM) Platform Implementation</w:t>
      </w:r>
    </w:p>
    <w:p>
      <w:pPr>
        <w:pStyle w:val="Heading3"/>
      </w:pPr>
      <w:r>
        <w:t>Proposal by fusionAIx</w:t>
      </w:r>
    </w:p>
    <w:p>
      <w:r>
        <w:t>Date: 21 December 2025</w:t>
      </w:r>
    </w:p>
    <w:p/>
    <w:p>
      <w:pPr>
        <w:pStyle w:val="Heading2"/>
      </w:pPr>
      <w:r>
        <w:t>1. Executive Summary</w:t>
      </w:r>
    </w:p>
    <w:p/>
    <w:p>
      <w:r>
        <w:t>FusionAIx is pleased to submit this comprehensive proposal to the Ministry of Trade and Industry (MTI) for the supply, implementation, and support of an enterprise-grade Business Process Management (BPM) platform. Our proposed solution is designed to unify, automate, and optimize MTI’s core business processes—enabling the Ministry to deliver faster, more transparent, and citizen-centric services.</w:t>
      </w:r>
    </w:p>
    <w:p/>
    <w:p>
      <w:r>
        <w:t>At fusionAIx, we believe that digital transformation succeeds when technology empowers people. Our approach combines a proven low-code BPM suite with intelligent automation, AI-driven insights, and a robust governance framework. The result is a platform that not only orchestrates MTI’s workflows but also continuously learns and improves over time.</w:t>
      </w:r>
    </w:p>
    <w:p/>
    <w:p>
      <w:pPr>
        <w:pStyle w:val="Heading3"/>
      </w:pPr>
      <w:r>
        <w:t>Our Proposal at a Glance</w:t>
      </w:r>
    </w:p>
    <w:p/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Platform:</w:t>
      </w:r>
      <w:r>
        <w:rPr>
          <w:rFonts w:ascii="Calibri" w:hAnsi="Calibri"/>
          <w:sz w:val="22"/>
        </w:rPr>
        <w:t xml:space="preserve"> Pega Constellation-based BPM suite, enterprise-grade, low-code, and model-driven.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Scope:</w:t>
      </w:r>
      <w:r>
        <w:rPr>
          <w:rFonts w:ascii="Calibri" w:hAnsi="Calibri"/>
          <w:sz w:val="22"/>
        </w:rPr>
        <w:t xml:space="preserve"> Unified BPM platform covering business licensing and renewals, incentives and grants, and trade facilitation processes.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Capabilities: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Dynamic case management with ad-hoc tasks, attachments, and notes.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Straight-through and human-centric workflows.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Centralized rules management with versioning and controlled deployment.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Web-based, responsive user interfaces and self-service portals.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SLA definition, monitoring, and automated escalations.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Real-time dashboards and analytics.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Delivery:</w:t>
      </w:r>
      <w:r>
        <w:rPr>
          <w:rFonts w:ascii="Calibri" w:hAnsi="Calibri"/>
          <w:sz w:val="22"/>
        </w:rPr>
        <w:t xml:space="preserve"> End-to-end implementation including requirements gathering, process modeling, configuration, integration, testing, training, and change management.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Support:</w:t>
      </w:r>
      <w:r>
        <w:rPr>
          <w:rFonts w:ascii="Calibri" w:hAnsi="Calibri"/>
          <w:sz w:val="22"/>
        </w:rPr>
        <w:t xml:space="preserve"> Three years of post go-live support and maintenance, including patching, upgrades, and incident resolution under defined SLAs.</w:t>
      </w:r>
    </w:p>
    <w:p/>
    <w:p>
      <w:pPr>
        <w:pStyle w:val="Heading3"/>
      </w:pPr>
      <w:r>
        <w:t>Why fusionAIx</w:t>
      </w:r>
    </w:p>
    <w:p/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Proven Expertise:</w:t>
      </w:r>
      <w:r>
        <w:rPr>
          <w:rFonts w:ascii="Calibri" w:hAnsi="Calibri"/>
          <w:sz w:val="22"/>
        </w:rPr>
        <w:t xml:space="preserve"> Over 20 successful Pega Constellation implementations globally, including government and large enterprise clients.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Accelerated Delivery:</w:t>
      </w:r>
      <w:r>
        <w:rPr>
          <w:rFonts w:ascii="Calibri" w:hAnsi="Calibri"/>
          <w:sz w:val="22"/>
        </w:rPr>
        <w:t xml:space="preserve"> Proprietary accelerators such as fxSmartDCO, fxAgentSDK, and fxAIStudio reduce time-to-value by up to 40%.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Certified Professionals:</w:t>
      </w:r>
      <w:r>
        <w:rPr>
          <w:rFonts w:ascii="Calibri" w:hAnsi="Calibri"/>
          <w:sz w:val="22"/>
        </w:rPr>
        <w:t xml:space="preserve"> Our team includes certified Pega Lead System Architects, Business Architects, and Decisioning Consultants.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Commitment to Quality:</w:t>
      </w:r>
      <w:r>
        <w:rPr>
          <w:rFonts w:ascii="Calibri" w:hAnsi="Calibri"/>
          <w:sz w:val="22"/>
        </w:rPr>
        <w:t xml:space="preserve"> Great Place To Work® Certified (2025–26), reflecting our culture of excellence and innovation.</w:t>
      </w:r>
    </w:p>
    <w:p/>
    <w:p>
      <w:r>
        <w:t>FusionAIx’s proposal ensures that MTI’s BPM transformation is not just a technology upgrade but a strategic enabler for operational excellence, policy agility, and citizen satisfaction.</w:t>
      </w:r>
    </w:p>
    <w:p/>
    <w:p>
      <w:pPr>
        <w:pStyle w:val="Heading2"/>
      </w:pPr>
      <w:r>
        <w:t>2. Understanding of MTI’s Objectives and Context</w:t>
      </w:r>
    </w:p>
    <w:p/>
    <w:p>
      <w:r>
        <w:t>We understand that MTI seeks to implement a unified BPM platform to orchestrate and manage its core business processes across departments and functions. The Ministry’s objectives are centered on improving service delivery, enhancing transparency, and enabling data-driven decision-making.</w:t>
      </w:r>
    </w:p>
    <w:p/>
    <w:p>
      <w:pPr>
        <w:pStyle w:val="Heading3"/>
      </w:pPr>
      <w:r>
        <w:t>Key Objectives</w:t>
      </w:r>
    </w:p>
    <w:p/>
    <w:p>
      <w:pPr>
        <w:pStyle w:val="ListNumber"/>
      </w:pPr>
      <w:r>
        <w:rPr>
          <w:b/>
        </w:rPr>
        <w:t>Process Unification and Standardization:</w:t>
      </w:r>
      <w:r>
        <w:t xml:space="preserve"> MTI currently operates multiple process silos across licensing, grants, and trade facilitation. The new BPM platform must unify these processes under a single, configurable framework that supports both structured workflows and dynamic case management.</w:t>
      </w:r>
    </w:p>
    <w:p/>
    <w:p>
      <w:pPr>
        <w:pStyle w:val="ListNumber"/>
      </w:pPr>
      <w:r>
        <w:rPr>
          <w:b/>
        </w:rPr>
        <w:t>Operational Efficiency and Agility:</w:t>
      </w:r>
      <w:r>
        <w:t xml:space="preserve"> The Ministry aims to reduce manual interventions, eliminate redundant steps, and enable straight-through processing wherever possible. The platform must support both automated and human-centric workflows, ensuring flexibility and control.</w:t>
      </w:r>
    </w:p>
    <w:p/>
    <w:p>
      <w:pPr>
        <w:pStyle w:val="ListNumber"/>
      </w:pPr>
      <w:r>
        <w:rPr>
          <w:b/>
        </w:rPr>
        <w:t>Enhanced Visibility and Governance:</w:t>
      </w:r>
      <w:r>
        <w:t xml:space="preserve"> MTI requires real-time dashboards and reports to monitor case volumes, workload distribution, SLA performance, and process bottlenecks. Business users should be empowered to create their own reports and dashboards without IT dependency.</w:t>
      </w:r>
    </w:p>
    <w:p/>
    <w:p>
      <w:pPr>
        <w:pStyle w:val="ListNumber"/>
      </w:pPr>
      <w:r>
        <w:rPr>
          <w:b/>
        </w:rPr>
        <w:t>Citizen-Centric Service Delivery:</w:t>
      </w:r>
      <w:r>
        <w:t xml:space="preserve"> The platform must provide responsive, web-based interfaces and self-service portals for external users, ensuring accessibility, transparency, and ease of use.</w:t>
      </w:r>
    </w:p>
    <w:p/>
    <w:p>
      <w:pPr>
        <w:pStyle w:val="ListNumber"/>
      </w:pPr>
      <w:r>
        <w:rPr>
          <w:b/>
        </w:rPr>
        <w:t>Compliance and Security:</w:t>
      </w:r>
      <w:r>
        <w:t xml:space="preserve"> The solution must comply with national cybersecurity and data protection standards, support role-based access control, and maintain full audit logs of user actions and process changes.</w:t>
      </w:r>
    </w:p>
    <w:p/>
    <w:p>
      <w:pPr>
        <w:pStyle w:val="ListNumber"/>
      </w:pPr>
      <w:r>
        <w:rPr>
          <w:b/>
        </w:rPr>
        <w:t>Sustainability and Scalability:</w:t>
      </w:r>
      <w:r>
        <w:t xml:space="preserve"> MTI’s BPM platform should be scalable to accommodate future processes and user growth, with a low-code configuration approach to minimize custom development and maintenance overhead.</w:t>
      </w:r>
    </w:p>
    <w:p/>
    <w:p>
      <w:pPr>
        <w:pStyle w:val="Heading3"/>
      </w:pPr>
      <w:r>
        <w:t>Contextual Understanding</w:t>
      </w:r>
    </w:p>
    <w:p/>
    <w:p>
      <w:r>
        <w:t>MTI’s digital transformation journey is part of a broader government initiative to modernize public service delivery. The BPM platform will serve as a foundational layer for process automation, integration with existing systems (e.g., identity management, payment gateways, document repositories), and future AI-driven enhancements.</w:t>
      </w:r>
    </w:p>
    <w:p/>
    <w:p>
      <w:r>
        <w:t>FusionAIx recognizes that MTI’s success depends on a partner who not only delivers technology but also understands the Ministry’s operational realities, governance structures, and change management needs. Our approach is therefore collaborative, transparent, and outcome-driven—ensuring that the platform aligns with MTI’s strategic vision and delivers measurable value.</w:t>
      </w:r>
    </w:p>
    <w:p/>
    <w:p>
      <w:pPr>
        <w:pStyle w:val="Heading2"/>
      </w:pPr>
      <w:r>
        <w:t>3. Proposed Solution Overview</w:t>
      </w:r>
    </w:p>
    <w:p/>
    <w:p>
      <w:pPr>
        <w:pStyle w:val="Heading3"/>
      </w:pPr>
      <w:r>
        <w:t>3.1 Solution Architecture</w:t>
      </w:r>
    </w:p>
    <w:p/>
    <w:p>
      <w:r>
        <w:t>Our proposed solution is built on the Pega Constellation BPM Suite, an enterprise-grade, low-code platform designed for large-scale process automation and case management. The architecture is modular, scalable, and secure, supporting both on-premises and cloud deployments.</w:t>
      </w:r>
    </w:p>
    <w:p/>
    <w:p>
      <w:r>
        <w:t>Key Architectural Components: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Process Orchestration Layer:</w:t>
      </w:r>
      <w:r>
        <w:rPr>
          <w:rFonts w:ascii="Calibri" w:hAnsi="Calibri"/>
          <w:sz w:val="22"/>
        </w:rPr>
        <w:t xml:space="preserve"> Manages end-to-end workflows, supporting both straight-through and human-centric processing.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Case Management Engine:</w:t>
      </w:r>
      <w:r>
        <w:rPr>
          <w:rFonts w:ascii="Calibri" w:hAnsi="Calibri"/>
          <w:sz w:val="22"/>
        </w:rPr>
        <w:t xml:space="preserve"> Enables dynamic case handling with ad-hoc tasks, attachments, notes, and contextual collaboration.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Business Rules Engine:</w:t>
      </w:r>
      <w:r>
        <w:rPr>
          <w:rFonts w:ascii="Calibri" w:hAnsi="Calibri"/>
          <w:sz w:val="22"/>
        </w:rPr>
        <w:t xml:space="preserve"> Centralized rules management for externalizing business logic, with versioning, testing, and controlled deployment.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Integration Layer:</w:t>
      </w:r>
      <w:r>
        <w:rPr>
          <w:rFonts w:ascii="Calibri" w:hAnsi="Calibri"/>
          <w:sz w:val="22"/>
        </w:rPr>
        <w:t xml:space="preserve"> REST APIs, message queues, and event-based integration for seamless connectivity with MTI’s existing systems.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User Experience Layer:</w:t>
      </w:r>
      <w:r>
        <w:rPr>
          <w:rFonts w:ascii="Calibri" w:hAnsi="Calibri"/>
          <w:sz w:val="22"/>
        </w:rPr>
        <w:t xml:space="preserve"> Web-based, responsive interfaces built using Pega Constellation’s design system, ensuring accessibility and consistency.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Analytics and Reporting Layer:</w:t>
      </w:r>
      <w:r>
        <w:rPr>
          <w:rFonts w:ascii="Calibri" w:hAnsi="Calibri"/>
          <w:sz w:val="22"/>
        </w:rPr>
        <w:t xml:space="preserve"> Real-time dashboards, SLA monitoring, and business intelligence capabilities.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Security and Compliance Layer:</w:t>
      </w:r>
      <w:r>
        <w:rPr>
          <w:rFonts w:ascii="Calibri" w:hAnsi="Calibri"/>
          <w:sz w:val="22"/>
        </w:rPr>
        <w:t xml:space="preserve"> Role-based access control, audit logging, and compliance with national cybersecurity standards.</w:t>
      </w:r>
    </w:p>
    <w:p/>
    <w:p>
      <w:pPr>
        <w:pStyle w:val="Heading3"/>
      </w:pPr>
      <w:r>
        <w:t>3.2 Key Differentiators</w:t>
      </w:r>
    </w:p>
    <w:p/>
    <w:p>
      <w:pPr>
        <w:pStyle w:val="ListNumber"/>
      </w:pPr>
      <w:r>
        <w:rPr>
          <w:b/>
        </w:rPr>
        <w:t>Low-Code, Model-Driven Development:</w:t>
      </w:r>
      <w:r>
        <w:t xml:space="preserve"> Enables rapid configuration and deployment of new processes without extensive coding, reducing time-to-market and total cost of ownership.</w:t>
      </w:r>
    </w:p>
    <w:p/>
    <w:p>
      <w:pPr>
        <w:pStyle w:val="ListNumber"/>
      </w:pPr>
      <w:r>
        <w:rPr>
          <w:b/>
        </w:rPr>
        <w:t>AI-Enhanced Automation:</w:t>
      </w:r>
      <w:r>
        <w:t xml:space="preserve"> Integration with fusionAIx’s proprietary </w:t>
      </w:r>
      <w:r>
        <w:rPr>
          <w:b/>
        </w:rPr>
        <w:t>fxAIStudio</w:t>
      </w:r>
      <w:r>
        <w:t xml:space="preserve"> enables predictive analytics, intelligent routing, and anomaly detection.</w:t>
      </w:r>
    </w:p>
    <w:p/>
    <w:p>
      <w:pPr>
        <w:pStyle w:val="ListNumber"/>
      </w:pPr>
      <w:r>
        <w:rPr>
          <w:b/>
        </w:rPr>
        <w:t>Accelerators for Rapid Delivery: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fxSmartDCO:</w:t>
      </w:r>
      <w:r>
        <w:rPr>
          <w:rFonts w:ascii="Calibri" w:hAnsi="Calibri"/>
          <w:sz w:val="22"/>
        </w:rPr>
        <w:t xml:space="preserve"> Streamlines requirements gathering and process modeling through collaborative workshops.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fxAgentSDK:</w:t>
      </w:r>
      <w:r>
        <w:rPr>
          <w:rFonts w:ascii="Calibri" w:hAnsi="Calibri"/>
          <w:sz w:val="22"/>
        </w:rPr>
        <w:t xml:space="preserve"> Provides reusable components for case management and integration.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fxMockUpToView:</w:t>
      </w:r>
      <w:r>
        <w:rPr>
          <w:rFonts w:ascii="Calibri" w:hAnsi="Calibri"/>
          <w:sz w:val="22"/>
        </w:rPr>
        <w:t xml:space="preserve"> Converts UI mockups into functional views, accelerating design cycles.</w:t>
      </w:r>
    </w:p>
    <w:p/>
    <w:p>
      <w:pPr>
        <w:pStyle w:val="ListNumber"/>
      </w:pPr>
      <w:r>
        <w:rPr>
          <w:b/>
        </w:rPr>
        <w:t>Proven Scalability and Reliability:</w:t>
      </w:r>
      <w:r>
        <w:t xml:space="preserve"> The platform supports thousands of concurrent users and millions of transactions, with built-in high availability and disaster recovery options.</w:t>
      </w:r>
    </w:p>
    <w:p/>
    <w:p>
      <w:pPr>
        <w:pStyle w:val="ListNumber"/>
      </w:pPr>
      <w:r>
        <w:rPr>
          <w:b/>
        </w:rPr>
        <w:t>Government-Grade Security:</w:t>
      </w:r>
      <w:r>
        <w:t xml:space="preserve"> Compliance with ISO 27001, OWASP, and local data protection regulations, ensuring secure handling of sensitive information.</w:t>
      </w:r>
    </w:p>
    <w:p/>
    <w:p>
      <w:pPr>
        <w:pStyle w:val="Heading3"/>
      </w:pPr>
      <w:r>
        <w:t>3.3 Functional Capabilities</w:t>
      </w:r>
    </w:p>
    <w:p/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Case Management:</w:t>
      </w:r>
      <w:r>
        <w:rPr>
          <w:rFonts w:ascii="Calibri" w:hAnsi="Calibri"/>
          <w:sz w:val="22"/>
        </w:rPr>
        <w:t xml:space="preserve"> Dynamic case creation, ad-hoc tasking, document management, and collaboration.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Workflow Automation:</w:t>
      </w:r>
      <w:r>
        <w:rPr>
          <w:rFonts w:ascii="Calibri" w:hAnsi="Calibri"/>
          <w:sz w:val="22"/>
        </w:rPr>
        <w:t xml:space="preserve"> Straight-through processing for routine tasks; human-centric workflows for approvals and exceptions.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Rules Management:</w:t>
      </w:r>
      <w:r>
        <w:rPr>
          <w:rFonts w:ascii="Calibri" w:hAnsi="Calibri"/>
          <w:sz w:val="22"/>
        </w:rPr>
        <w:t xml:space="preserve"> Centralized repository for business rules, with version control and testing environments.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SLA Management:</w:t>
      </w:r>
      <w:r>
        <w:rPr>
          <w:rFonts w:ascii="Calibri" w:hAnsi="Calibri"/>
          <w:sz w:val="22"/>
        </w:rPr>
        <w:t xml:space="preserve"> Definition, monitoring, and automated escalation of SLAs per process and case type.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Reporting and Dashboards:</w:t>
      </w:r>
      <w:r>
        <w:rPr>
          <w:rFonts w:ascii="Calibri" w:hAnsi="Calibri"/>
          <w:sz w:val="22"/>
        </w:rPr>
        <w:t xml:space="preserve"> Real-time visibility into performance metrics, workload distribution, and process bottlenecks.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User Experience:</w:t>
      </w:r>
      <w:r>
        <w:rPr>
          <w:rFonts w:ascii="Calibri" w:hAnsi="Calibri"/>
          <w:sz w:val="22"/>
        </w:rPr>
        <w:t xml:space="preserve"> Responsive web interfaces, guided steps, contextual help, and self-service portals.</w:t>
      </w:r>
    </w:p>
    <w:p/>
    <w:p>
      <w:pPr>
        <w:pStyle w:val="Heading2"/>
      </w:pPr>
      <w:r>
        <w:t>4. Implementation Approach and Methodology</w:t>
      </w:r>
    </w:p>
    <w:p/>
    <w:p>
      <w:r>
        <w:t>FusionAIx follows a phased, agile implementation methodology that ensures rapid delivery, stakeholder alignment, and continuous improvement.</w:t>
      </w:r>
    </w:p>
    <w:p/>
    <w:p>
      <w:pPr>
        <w:pStyle w:val="Heading3"/>
      </w:pPr>
      <w:r>
        <w:t>4.1 Phase 1: Discovery and Requirements Gathering</w:t>
      </w:r>
    </w:p>
    <w:p/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Conduct collaborative workshops using </w:t>
      </w:r>
      <w:r>
        <w:rPr>
          <w:rFonts w:ascii="Calibri" w:hAnsi="Calibri"/>
          <w:b/>
          <w:sz w:val="22"/>
        </w:rPr>
        <w:t>fxSmartDCO</w:t>
      </w:r>
      <w:r>
        <w:rPr>
          <w:rFonts w:ascii="Calibri" w:hAnsi="Calibri"/>
          <w:sz w:val="22"/>
        </w:rPr>
        <w:t xml:space="preserve"> to capture business requirements and process flows.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Engage MTI stakeholders to refine process definitions, SLAs, and reporting needs.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Document functional and technical specifications for approval.</w:t>
      </w:r>
    </w:p>
    <w:p/>
    <w:p>
      <w:pPr>
        <w:pStyle w:val="Heading3"/>
      </w:pPr>
      <w:r>
        <w:t>4.2 Phase 2: Solution Design</w:t>
      </w:r>
    </w:p>
    <w:p/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Develop process models, case types, and data structures using Pega’s model-driven tools.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Define integration points with MTI’s systems (e.g., identity management, document management, payment gateways).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 xml:space="preserve">Design user interfaces and portals using </w:t>
      </w:r>
      <w:r>
        <w:rPr>
          <w:rFonts w:ascii="Calibri" w:hAnsi="Calibri"/>
          <w:b/>
          <w:sz w:val="22"/>
        </w:rPr>
        <w:t>fxMockUpToView</w:t>
      </w:r>
      <w:r>
        <w:rPr>
          <w:rFonts w:ascii="Calibri" w:hAnsi="Calibri"/>
          <w:sz w:val="22"/>
        </w:rPr>
        <w:t xml:space="preserve"> for rapid prototyping.</w:t>
      </w:r>
    </w:p>
    <w:p/>
    <w:p>
      <w:pPr>
        <w:pStyle w:val="Heading3"/>
      </w:pPr>
      <w:r>
        <w:t>4.3 Phase 3: Configuration and Development</w:t>
      </w:r>
    </w:p>
    <w:p/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Configure workflows, rules, and UI components using low-code tools.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Implement integrations via REST APIs and message queues.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Develop dashboards and reports for operational monitoring.</w:t>
      </w:r>
    </w:p>
    <w:p/>
    <w:p>
      <w:pPr>
        <w:pStyle w:val="Heading3"/>
      </w:pPr>
      <w:r>
        <w:t>4.4 Phase 4: Testing and Quality Assurance</w:t>
      </w:r>
    </w:p>
    <w:p/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Conduct unit, system, integration, and user acceptance testing.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Validate performance, security, and compliance requirements.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Use automated testing frameworks for regression and load testing.</w:t>
      </w:r>
    </w:p>
    <w:p/>
    <w:p>
      <w:pPr>
        <w:pStyle w:val="Heading3"/>
      </w:pPr>
      <w:r>
        <w:t>4.5 Phase 5: Training and Change Management</w:t>
      </w:r>
    </w:p>
    <w:p/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Deliver comprehensive training for system administrators, business power users, and end users.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Provide training materials, user guides, and e-learning modules.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Support MTI’s change management initiatives through communication and adoption programs.</w:t>
      </w:r>
    </w:p>
    <w:p/>
    <w:p>
      <w:pPr>
        <w:pStyle w:val="Heading3"/>
      </w:pPr>
      <w:r>
        <w:t>4.6 Phase 6: Go-Live and Transition</w:t>
      </w:r>
    </w:p>
    <w:p/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Execute cutover plan and migrate data.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Provide hypercare support during stabilization period.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Transition to steady-state support under defined SLAs.</w:t>
      </w:r>
    </w:p>
    <w:p/>
    <w:p>
      <w:pPr>
        <w:pStyle w:val="Heading3"/>
      </w:pPr>
      <w:r>
        <w:t>4.7 Phase 7: Continuous Improvement</w:t>
      </w:r>
    </w:p>
    <w:p/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Conduct post-implementation reviews and performance assessments.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Identify opportunities for process optimization and automation.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Implement enhancements through agile sprints.</w:t>
      </w:r>
    </w:p>
    <w:p/>
    <w:p>
      <w:pPr>
        <w:pStyle w:val="Heading2"/>
      </w:pPr>
      <w:r>
        <w:t>5. Project Plan and Timelines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34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Key Activities</w:t>
            </w:r>
          </w:p>
        </w:tc>
        <w:tc>
          <w:tcPr>
            <w:tcW w:type="dxa" w:w="234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34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Phase 1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Discovery &amp; Requirements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4 weeks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Requirements document, process inventory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Phase 2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Design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6 weeks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Solution design, integration specifications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Phase 3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Configuration &amp; Development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12 weeks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Configured BPM solution, integrations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Phase 4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Testing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6 weeks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Test reports, UAT sign-off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Phase 5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Training &amp; Change Management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4 weeks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Training materials, user guides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Phase 6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Go-Live &amp; Transition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2 weeks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Production deployment, hypercare support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Phase 7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Continuous Improvement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Ongoing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Enhancement backlog, performance reports</w:t>
            </w:r>
          </w:p>
        </w:tc>
      </w:tr>
    </w:tbl>
    <w:p>
      <w:r>
        <w:t>Total Estimated Duration: 34 weeks (approx. 8 months)</w:t>
      </w:r>
    </w:p>
    <w:p/>
    <w:p>
      <w:r>
        <w:t>Major milestones include: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Week 4:</w:t>
      </w:r>
      <w:r>
        <w:rPr>
          <w:rFonts w:ascii="Calibri" w:hAnsi="Calibri"/>
          <w:sz w:val="22"/>
        </w:rPr>
        <w:t xml:space="preserve"> Requirements sign-off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Week 10:</w:t>
      </w:r>
      <w:r>
        <w:rPr>
          <w:rFonts w:ascii="Calibri" w:hAnsi="Calibri"/>
          <w:sz w:val="22"/>
        </w:rPr>
        <w:t xml:space="preserve"> Design approval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Week 22:</w:t>
      </w:r>
      <w:r>
        <w:rPr>
          <w:rFonts w:ascii="Calibri" w:hAnsi="Calibri"/>
          <w:sz w:val="22"/>
        </w:rPr>
        <w:t xml:space="preserve"> Configuration completion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Week 28:</w:t>
      </w:r>
      <w:r>
        <w:rPr>
          <w:rFonts w:ascii="Calibri" w:hAnsi="Calibri"/>
          <w:sz w:val="22"/>
        </w:rPr>
        <w:t xml:space="preserve"> UAT completion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Week 30:</w:t>
      </w:r>
      <w:r>
        <w:rPr>
          <w:rFonts w:ascii="Calibri" w:hAnsi="Calibri"/>
          <w:sz w:val="22"/>
        </w:rPr>
        <w:t xml:space="preserve"> Go-live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Week 34:</w:t>
      </w:r>
      <w:r>
        <w:rPr>
          <w:rFonts w:ascii="Calibri" w:hAnsi="Calibri"/>
          <w:sz w:val="22"/>
        </w:rPr>
        <w:t xml:space="preserve"> Transition to support</w:t>
      </w:r>
    </w:p>
    <w:p/>
    <w:p>
      <w:pPr>
        <w:pStyle w:val="Heading2"/>
      </w:pPr>
      <w:r>
        <w:t>6. Proposed Team Structure</w:t>
      </w:r>
    </w:p>
    <w:p/>
    <w:p>
      <w:r>
        <w:t>FusionAIx proposes a dedicated, experienced team for MTI’s BPM implementation.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12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Responsibilities</w:t>
            </w:r>
          </w:p>
        </w:tc>
        <w:tc>
          <w:tcPr>
            <w:tcW w:type="dxa" w:w="312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Key Personnel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Program Manager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Overall project governance, stakeholder management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[To be provided]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Solution Architect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Solution design, architecture, and integration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[To be provided]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Lead System Architect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Pega configuration, technical leadership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[To be provided]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Business Architect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Process modeling, requirements management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[To be provided]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Integration Specialist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API and system integration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[To be provided]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QA Lead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Testing strategy and execution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[To be provided]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Training Lead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Training delivery and materials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[To be provided]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Support Lead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Post go-live support and SLA management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[To be provided]</w:t>
            </w:r>
          </w:p>
        </w:tc>
      </w:tr>
    </w:tbl>
    <w:p>
      <w:r>
        <w:t>Note: Detailed CVs of key personnel will be provided in the final submission.</w:t>
      </w:r>
    </w:p>
    <w:p/>
    <w:p>
      <w:pPr>
        <w:pStyle w:val="Heading2"/>
      </w:pPr>
      <w:r>
        <w:t>7. Functional and Technical Compliance Matrix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Compliance</w:t>
            </w:r>
          </w:p>
        </w:tc>
        <w:tc>
          <w:tcPr>
            <w:tcW w:type="dxa" w:w="234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Response / How We Meet It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5.1.a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Straight-through + human-centric workflows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Compliant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Workflow engine supports automated steps (validations, integrations, rules) and human tasks (review/approve) in one end-to-end process.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5.1.b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Dynamic case management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Compliant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Case types support ad-hoc tasks, attachments, notes, and collaboration.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5.1.c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Centralized rules management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Compliant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Business rules externalized from code, versioned, tested, and deployed via governance workflows.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5.1.d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Web-based, responsive UI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Compliant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Built using Pega Constellation design system, accessible via standard browsers.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5.1.e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SLA definition and monitoring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Compliant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SLAs defined per process/case type, with automated escalations and notifications.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5.1.f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Integration mechanisms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Compliant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REST APIs, message queues, and event-based integration supported.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5.1.g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Role-based access control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Compliant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Fine-grained permissions and full audit logging implemented.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5.1.h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Reporting and dashboards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Compliant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Real-time dashboards for case volumes, workload, and SLA performance.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5.1.i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Training and change management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Compliant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Comprehensive training and change management support provided.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5.1.j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Support and maintenance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Compliant</w:t>
            </w:r>
          </w:p>
        </w:tc>
        <w:tc>
          <w:tcPr>
            <w:tcW w:type="dxa" w:w="234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3-year post go-live support with defined SLAs.</w:t>
            </w:r>
          </w:p>
        </w:tc>
      </w:tr>
    </w:tbl>
    <w:p/>
    <w:p>
      <w:pPr>
        <w:pStyle w:val="Heading2"/>
      </w:pPr>
      <w:r>
        <w:t>8. Assumptions, Dependencies, and Risks</w:t>
      </w:r>
    </w:p>
    <w:p/>
    <w:p>
      <w:pPr>
        <w:pStyle w:val="Heading3"/>
      </w:pPr>
      <w:r>
        <w:t>Assumptions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MTI will provide timely access to stakeholders and existing systems.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Required infrastructure (servers, network, security) will be provisioned by MTI.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MTI will designate process owners for each functional area.</w:t>
      </w:r>
    </w:p>
    <w:p/>
    <w:p>
      <w:pPr>
        <w:pStyle w:val="Heading3"/>
      </w:pPr>
      <w:r>
        <w:t>Dependencies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Integration with MTI’s identity management and document management systems.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Availability of test data and environments.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Timely feedback during UAT and design reviews.</w:t>
      </w:r>
    </w:p>
    <w:p/>
    <w:p>
      <w:pPr>
        <w:pStyle w:val="Heading3"/>
      </w:pPr>
      <w:r>
        <w:t>Risks and Mitigation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312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312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Delays in requirements finalization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Medium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Conduct structured DCO workshops to accelerate consensus.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Integration complexity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High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Early technical assessment and use of fxAgentSDK for standardized integration.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User adoption challenges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Medium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Comprehensive training and change management program.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Scope creep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Medium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Strict change control process and governance.</w:t>
            </w:r>
          </w:p>
        </w:tc>
      </w:tr>
    </w:tbl>
    <w:p/>
    <w:p>
      <w:pPr>
        <w:pStyle w:val="Heading2"/>
      </w:pPr>
      <w:r>
        <w:t>9. Support and Maintenance Model</w:t>
      </w:r>
    </w:p>
    <w:p/>
    <w:p>
      <w:r>
        <w:t>FusionAIx will provide three (3) years of post go-live support and maintenance, covering incident management, patching, upgrades, and performance optimization.</w:t>
      </w:r>
    </w:p>
    <w:p/>
    <w:p>
      <w:pPr>
        <w:pStyle w:val="Heading3"/>
      </w:pPr>
      <w:r>
        <w:t>Support Tiers</w:t>
      </w:r>
    </w:p>
    <w:p/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L1 (Helpdesk):</w:t>
      </w:r>
      <w:r>
        <w:rPr>
          <w:rFonts w:ascii="Calibri" w:hAnsi="Calibri"/>
          <w:sz w:val="22"/>
        </w:rPr>
        <w:t xml:space="preserve"> User queries, access issues, minor fixes.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L2 (Application Support):</w:t>
      </w:r>
      <w:r>
        <w:rPr>
          <w:rFonts w:ascii="Calibri" w:hAnsi="Calibri"/>
          <w:sz w:val="22"/>
        </w:rPr>
        <w:t xml:space="preserve"> Configuration issues, workflow errors, portal issues.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b/>
          <w:sz w:val="22"/>
        </w:rPr>
        <w:t>L3 (Engineering/Product):</w:t>
      </w:r>
      <w:r>
        <w:rPr>
          <w:rFonts w:ascii="Calibri" w:hAnsi="Calibri"/>
          <w:sz w:val="22"/>
        </w:rPr>
        <w:t xml:space="preserve"> Complex defects, integrations, performance tuning, upgrades.</w:t>
      </w:r>
    </w:p>
    <w:p/>
    <w:p>
      <w:pPr>
        <w:pStyle w:val="Heading3"/>
      </w:pPr>
      <w:r>
        <w:t>SLA Targets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312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Response Time</w:t>
            </w:r>
          </w:p>
        </w:tc>
        <w:tc>
          <w:tcPr>
            <w:tcW w:type="dxa" w:w="3120"/>
            <w:shd w:fill="1a5490" w:val="clear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rPr>
                <w:b/>
                <w:color w:val="FFFFFF"/>
              </w:rPr>
              <w:t>Resolution Time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Sev 1 (Critical)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1 hour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4 hours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Sev 2 (High)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2 hours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8 hours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Sev 3 (Medium)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4 hours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24 hours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Sev 4 (Low)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8 hours</w:t>
            </w:r>
          </w:p>
        </w:tc>
        <w:tc>
          <w:tcPr>
            <w:tcW w:type="dxa" w:w="3120"/>
            <w:vAlign w:val="top"/>
            <w:tcMar>
              <w:top w:w="80" w:type="dxa"/>
              <w:right w:w="80" w:type="dxa"/>
              <w:bottom w:w="80" w:type="dxa"/>
              <w:left w:w="80" w:type="dxa"/>
            </w:tcMar>
          </w:tcPr>
          <w:p>
            <w:r>
              <w:t>48 hours</w:t>
            </w:r>
          </w:p>
        </w:tc>
      </w:tr>
    </w:tbl>
    <w:p>
      <w:pPr>
        <w:pStyle w:val="Heading3"/>
      </w:pPr>
      <w:r>
        <w:t>Escalation and Governance</w:t>
      </w:r>
    </w:p>
    <w:p/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Incident Manager assigned for Sev 1/2 issues.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Escalation ladder: Support Lead → Program Manager → Executive Sponsor.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Monthly service reviews covering SLA performance, root causes, and continuous improvement actions.</w:t>
      </w:r>
    </w:p>
    <w:p/>
    <w:p>
      <w:pPr>
        <w:pStyle w:val="Heading2"/>
      </w:pPr>
      <w:r>
        <w:t>10. Commercial Proposal</w:t>
      </w:r>
    </w:p>
    <w:p/>
    <w:p>
      <w:r>
        <w:t>FusionAIx will provide a detailed commercial proposal in the final submission package, including a 5-year Total Cost of Ownership (TCO) view.</w:t>
      </w:r>
    </w:p>
    <w:p/>
    <w:p>
      <w:pPr>
        <w:pStyle w:val="Heading3"/>
      </w:pPr>
      <w:r>
        <w:t>Cost Components</w:t>
      </w:r>
    </w:p>
    <w:p/>
    <w:p>
      <w:pPr>
        <w:pStyle w:val="ListNumber"/>
      </w:pPr>
      <w:r>
        <w:rPr>
          <w:b/>
        </w:rPr>
        <w:t>Licensing: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Enterprise BPM platform licenses for internal and external users.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Portal usage model for citizen-facing services.</w:t>
      </w:r>
    </w:p>
    <w:p/>
    <w:p>
      <w:pPr>
        <w:pStyle w:val="ListNumber"/>
      </w:pPr>
      <w:r>
        <w:rPr>
          <w:b/>
        </w:rPr>
        <w:t>Implementation Services: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Discovery, design, configuration, integration, testing, and training.</w:t>
      </w:r>
    </w:p>
    <w:p/>
    <w:p>
      <w:pPr>
        <w:pStyle w:val="ListNumber"/>
      </w:pPr>
      <w:r>
        <w:rPr>
          <w:b/>
        </w:rPr>
        <w:t>Support and Maintenance: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Three years of post go-live support, including patches and upgrades.</w:t>
      </w:r>
    </w:p>
    <w:p/>
    <w:p>
      <w:pPr>
        <w:pStyle w:val="ListNumber"/>
      </w:pPr>
      <w:r>
        <w:rPr>
          <w:b/>
        </w:rPr>
        <w:t>Optional Components: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Advanced analytics and AI-assisted features.</w:t>
      </w:r>
    </w:p>
    <w:p>
      <w:pPr>
        <w:spacing w:after="120"/>
        <w:ind w:left="360" w:hanging="360"/>
      </w:pPr>
      <w:r>
        <w:rPr>
          <w:rFonts w:ascii="Calibri" w:hAnsi="Calibri"/>
          <w:sz w:val="22"/>
        </w:rPr>
        <w:t xml:space="preserve">• </w:t>
      </w:r>
      <w:r>
        <w:rPr>
          <w:rFonts w:ascii="Calibri" w:hAnsi="Calibri"/>
          <w:sz w:val="22"/>
        </w:rPr>
        <w:t>Additional environments (e.g., DR, staging).</w:t>
      </w:r>
    </w:p>
    <w:p/>
    <w:p>
      <w:r>
        <w:t>Note: Detailed pricing, payment milestones, and commercial terms will be provided in the final submission as per MTI’s tender instructions.</w:t>
      </w:r>
    </w:p>
    <w:p/>
    <w:p>
      <w:r>
        <w:t>FusionAIx appreciates the opportunity to partner with the Ministry of Trade and Industry in this transformative initiative. Our proposal combines proven technology, deep expertise, and a commitment to excellence—ensuring that MTI’s BPM platform becomes a cornerstone of efficient, transparent, and citizen-focused governance.</w:t>
      </w:r>
    </w:p>
    <w:sectPr w:rsidR="00FC693F" w:rsidRPr="0006063C" w:rsidSect="0003461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6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