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RFP Response</w:t>
        <w:br/>
        <w:t>MTI BPM Platform</w:t>
      </w:r>
    </w:p>
    <w:p>
      <w:pPr>
        <w:jc w:val="center"/>
      </w:pPr>
      <w:r>
        <w:t>Date: 21 December 2025</w:t>
      </w:r>
    </w:p>
    <w:p/>
    <w:p>
      <w:pPr>
        <w:jc w:val="center"/>
      </w:pPr>
      <w:r>
        <w:t>Document purpose: This proposal-style response is designed to be ingested by an LLM and to answer questions across the full RFP. Content is based on the 'MTI BPM Tender Example from RFP' document provided by the client.</w:t>
      </w:r>
    </w:p>
    <w:p>
      <w:r>
        <w:br w:type="page"/>
      </w:r>
    </w:p>
    <w:p>
      <w:pPr>
        <w:pStyle w:val="Heading1"/>
      </w:pPr>
      <w:r>
        <w:t>1. Executive Summary</w:t>
      </w:r>
    </w:p>
    <w:p>
      <w:r>
        <w:t>We propose the delivery of an enterprise Business Process Management (BPM) platform for the Ministry of Trade and Industry (MTI) to automate, orchestrate, and continuously improve MTI’s core processes (e.g., licensing, grants/incentives, trade facilitation, and internal shared services).</w:t>
      </w:r>
    </w:p>
    <w:p>
      <w:r>
        <w:t>Our solution is:</w:t>
      </w:r>
    </w:p>
    <w:p>
      <w:pPr>
        <w:pStyle w:val="ListBullet"/>
      </w:pPr>
      <w:r>
        <w:t>Model-driven / low-code to enable rapid onboarding of new processes with minimal custom development.</w:t>
      </w:r>
    </w:p>
    <w:p>
      <w:pPr>
        <w:pStyle w:val="ListBullet"/>
      </w:pPr>
      <w:r>
        <w:t>Designed for case management and workflow orchestration, supporting both straight-through and human-centric processing.</w:t>
      </w:r>
    </w:p>
    <w:p>
      <w:pPr>
        <w:pStyle w:val="ListBullet"/>
      </w:pPr>
      <w:r>
        <w:t>Built with security, auditability, and compliance at its core: RBAC, separation of environments, and full audit logging.</w:t>
      </w:r>
    </w:p>
    <w:p>
      <w:pPr>
        <w:pStyle w:val="ListBullet"/>
      </w:pPr>
      <w:r>
        <w:t>Deployable in on-premises, cloud, or hybrid environments with high availability and scalability.</w:t>
      </w:r>
    </w:p>
    <w:p>
      <w:r>
        <w:t>We will deliver:</w:t>
      </w:r>
    </w:p>
    <w:p>
      <w:pPr>
        <w:pStyle w:val="ListBullet"/>
      </w:pPr>
      <w:r>
        <w:t>Platform licensing and provisioning</w:t>
      </w:r>
    </w:p>
    <w:p>
      <w:pPr>
        <w:pStyle w:val="ListBullet"/>
      </w:pPr>
      <w:r>
        <w:t>Implementation services (process discovery, design, configuration, integrations, testing, training)</w:t>
      </w:r>
    </w:p>
    <w:p>
      <w:pPr>
        <w:pStyle w:val="ListBullet"/>
      </w:pPr>
      <w:r>
        <w:t>Reporting and analytics dashboards</w:t>
      </w:r>
    </w:p>
    <w:p>
      <w:pPr>
        <w:pStyle w:val="ListBullet"/>
      </w:pPr>
      <w:r>
        <w:t>3 years of support and maintenance post go-live (minimum)</w:t>
      </w:r>
    </w:p>
    <w:p>
      <w:pPr>
        <w:pStyle w:val="Heading1"/>
      </w:pPr>
      <w:r>
        <w:t>2. Understanding of MTI’s Objectives and Context</w:t>
      </w:r>
    </w:p>
    <w:p>
      <w:r>
        <w:t>We understand MTI is seeking a unified BPM platform to reduce reliance on manual or email-driven processing, improve visibility and consistency, and enable controlled change through configuration rather than bespoke software development.</w:t>
      </w:r>
    </w:p>
    <w:p>
      <w:r>
        <w:t>Key objectives include:</w:t>
      </w:r>
    </w:p>
    <w:p>
      <w:pPr>
        <w:pStyle w:val="ListBullet"/>
      </w:pPr>
      <w:r>
        <w:t>Unified orchestration and management of core processes on a single BPM platform.</w:t>
      </w:r>
    </w:p>
    <w:p>
      <w:pPr>
        <w:pStyle w:val="ListBullet"/>
      </w:pPr>
      <w:r>
        <w:t>Configurable case management for both structured and unstructured work.</w:t>
      </w:r>
    </w:p>
    <w:p>
      <w:pPr>
        <w:pStyle w:val="ListBullet"/>
      </w:pPr>
      <w:r>
        <w:t>Centralized business rules to enforce consistent policy application.</w:t>
      </w:r>
    </w:p>
    <w:p>
      <w:pPr>
        <w:pStyle w:val="ListBullet"/>
      </w:pPr>
      <w:r>
        <w:t>End-to-end tracking, SLA monitoring, and audit trails for transparency.</w:t>
      </w:r>
    </w:p>
    <w:p>
      <w:pPr>
        <w:pStyle w:val="ListBullet"/>
      </w:pPr>
      <w:r>
        <w:t>User-friendly internal and external user interfaces, including self-service capabilities.</w:t>
      </w:r>
    </w:p>
    <w:p>
      <w:pPr>
        <w:pStyle w:val="Heading1"/>
      </w:pPr>
      <w:r>
        <w:t>3. Proposed Solution Overview</w:t>
      </w:r>
    </w:p>
    <w:p>
      <w:pPr>
        <w:pStyle w:val="Heading2"/>
      </w:pPr>
      <w:r>
        <w:t>3.1 Solution Summary</w:t>
      </w:r>
    </w:p>
    <w:p>
      <w:r>
        <w:t>We propose an enterprise BPM suite that includes:</w:t>
      </w:r>
    </w:p>
    <w:p>
      <w:pPr>
        <w:pStyle w:val="ListBullet"/>
      </w:pPr>
      <w:r>
        <w:t>Process modeling and workflow automation (orchestration)</w:t>
      </w:r>
    </w:p>
    <w:p>
      <w:pPr>
        <w:pStyle w:val="ListBullet"/>
      </w:pPr>
      <w:r>
        <w:t>Dynamic case management (case types, stages, ad-hoc tasks)</w:t>
      </w:r>
    </w:p>
    <w:p>
      <w:pPr>
        <w:pStyle w:val="ListBullet"/>
      </w:pPr>
      <w:r>
        <w:t>Business rules engine with versioning, testing, approvals, and rollback</w:t>
      </w:r>
    </w:p>
    <w:p>
      <w:pPr>
        <w:pStyle w:val="ListBullet"/>
      </w:pPr>
      <w:r>
        <w:t>Form builder and external self-service portal</w:t>
      </w:r>
    </w:p>
    <w:p>
      <w:pPr>
        <w:pStyle w:val="ListBullet"/>
      </w:pPr>
      <w:r>
        <w:t>SLA monitoring, escalations, and notifications</w:t>
      </w:r>
    </w:p>
    <w:p>
      <w:pPr>
        <w:pStyle w:val="ListBullet"/>
      </w:pPr>
      <w:r>
        <w:t>Analytics dashboards and comprehensive audit trails</w:t>
      </w:r>
    </w:p>
    <w:p>
      <w:pPr>
        <w:pStyle w:val="ListBullet"/>
      </w:pPr>
      <w:r>
        <w:t>Integration capabilities (REST APIs, messaging/event integration)</w:t>
      </w:r>
    </w:p>
    <w:p>
      <w:pPr>
        <w:pStyle w:val="ListBullet"/>
      </w:pPr>
      <w:r>
        <w:t>Administration tools, environment management, and security controls</w:t>
      </w:r>
    </w:p>
    <w:p>
      <w:pPr>
        <w:pStyle w:val="Heading2"/>
      </w:pPr>
      <w:r>
        <w:t>3.2 Reference Architecture (Conceptual)</w:t>
      </w:r>
    </w:p>
    <w:p>
      <w:r>
        <w:t>Core layers:</w:t>
      </w:r>
    </w:p>
    <w:p>
      <w:r>
        <w:rPr>
          <w:b/>
        </w:rPr>
        <w:t xml:space="preserve">Experience Layer: </w:t>
      </w:r>
    </w:p>
    <w:p>
      <w:pPr>
        <w:pStyle w:val="ListBullet"/>
      </w:pPr>
      <w:r>
        <w:t>Internal user web UI (case workers, supervisors, admins)</w:t>
      </w:r>
    </w:p>
    <w:p>
      <w:pPr>
        <w:pStyle w:val="ListBullet"/>
      </w:pPr>
      <w:r>
        <w:t>External user portal (submissions, uploads, tracking)</w:t>
      </w:r>
    </w:p>
    <w:p>
      <w:r>
        <w:rPr>
          <w:b/>
        </w:rPr>
        <w:t xml:space="preserve">Process &amp; Case Layer: </w:t>
      </w:r>
    </w:p>
    <w:p>
      <w:pPr>
        <w:pStyle w:val="ListBullet"/>
      </w:pPr>
      <w:r>
        <w:t>Workflow orchestration, case types, task routing/workbaskets</w:t>
      </w:r>
    </w:p>
    <w:p>
      <w:pPr>
        <w:pStyle w:val="ListBullet"/>
      </w:pPr>
      <w:r>
        <w:t>SLA monitoring, escalations, notifications</w:t>
      </w:r>
    </w:p>
    <w:p>
      <w:r>
        <w:rPr>
          <w:b/>
        </w:rPr>
        <w:t xml:space="preserve">Rules &amp; Decisioning: </w:t>
      </w:r>
    </w:p>
    <w:p>
      <w:pPr>
        <w:pStyle w:val="ListBullet"/>
      </w:pPr>
      <w:r>
        <w:t>Central rules repository with versioning and governed releases</w:t>
      </w:r>
    </w:p>
    <w:p>
      <w:r>
        <w:rPr>
          <w:b/>
        </w:rPr>
        <w:t xml:space="preserve">Integration Layer: </w:t>
      </w:r>
    </w:p>
    <w:p>
      <w:pPr>
        <w:pStyle w:val="ListBullet"/>
      </w:pPr>
      <w:r>
        <w:t>REST APIs and connectors</w:t>
      </w:r>
    </w:p>
    <w:p>
      <w:pPr>
        <w:pStyle w:val="ListBullet"/>
      </w:pPr>
      <w:r>
        <w:t>Message/event patterns for asynchronous processing and resilience</w:t>
      </w:r>
    </w:p>
    <w:p>
      <w:pPr>
        <w:pStyle w:val="ListBullet"/>
      </w:pPr>
      <w:r>
        <w:t>Identity/SSO integration</w:t>
      </w:r>
    </w:p>
    <w:p>
      <w:pPr>
        <w:pStyle w:val="ListBullet"/>
      </w:pPr>
      <w:r>
        <w:t>Document management and email integration</w:t>
      </w:r>
    </w:p>
    <w:p>
      <w:r>
        <w:rPr>
          <w:b/>
        </w:rPr>
        <w:t xml:space="preserve">Data &amp; Audit Layer: </w:t>
      </w:r>
    </w:p>
    <w:p>
      <w:pPr>
        <w:pStyle w:val="ListBullet"/>
      </w:pPr>
      <w:r>
        <w:t>Process/case data store</w:t>
      </w:r>
    </w:p>
    <w:p>
      <w:pPr>
        <w:pStyle w:val="ListBullet"/>
      </w:pPr>
      <w:r>
        <w:t>Immutable audit trail</w:t>
      </w:r>
    </w:p>
    <w:p>
      <w:pPr>
        <w:pStyle w:val="ListBullet"/>
      </w:pPr>
      <w:r>
        <w:t>Reporting/analytics store (as required)</w:t>
      </w:r>
    </w:p>
    <w:p>
      <w:r>
        <w:rPr>
          <w:b/>
        </w:rPr>
        <w:t xml:space="preserve">Operations &amp; Security: </w:t>
      </w:r>
    </w:p>
    <w:p>
      <w:pPr>
        <w:pStyle w:val="ListBullet"/>
      </w:pPr>
      <w:r>
        <w:t>RBAC, encryption, environment separation (Dev/Test/Prod)</w:t>
      </w:r>
    </w:p>
    <w:p>
      <w:pPr>
        <w:pStyle w:val="ListBullet"/>
      </w:pPr>
      <w:r>
        <w:t>Monitoring, HA/DR, patching and upgrade automation</w:t>
      </w:r>
    </w:p>
    <w:p>
      <w:pPr>
        <w:pStyle w:val="Heading2"/>
      </w:pPr>
      <w:r>
        <w:t>3.3 Key Differentiators (Value-Added)</w:t>
      </w:r>
    </w:p>
    <w:p>
      <w:pPr>
        <w:pStyle w:val="ListBullet"/>
      </w:pPr>
      <w:r>
        <w:t>Reusable accelerators for common government case patterns (intake -&gt; validation -&gt; review -&gt; approval -&gt; issuance).</w:t>
      </w:r>
    </w:p>
    <w:p>
      <w:pPr>
        <w:pStyle w:val="ListBullet"/>
      </w:pPr>
      <w:r>
        <w:t>Standard SLA and audit patterns, including escalations and supervisory oversight.</w:t>
      </w:r>
    </w:p>
    <w:p>
      <w:pPr>
        <w:pStyle w:val="ListBullet"/>
      </w:pPr>
      <w:r>
        <w:t>Optional AI-assisted enhancements (under MTI governance): assisted triage/routing suggestions, document classification, and anomaly detection on SLA bottlenecks.</w:t>
      </w:r>
    </w:p>
    <w:p>
      <w:pPr>
        <w:pStyle w:val="Heading1"/>
      </w:pPr>
      <w:r>
        <w:t>4. Implementation Approach and Methodology</w:t>
      </w:r>
    </w:p>
    <w:p>
      <w:pPr>
        <w:pStyle w:val="Heading2"/>
      </w:pPr>
      <w:r>
        <w:t>4.1 Delivery Principles</w:t>
      </w:r>
    </w:p>
    <w:p>
      <w:pPr>
        <w:pStyle w:val="ListBullet"/>
      </w:pPr>
      <w:r>
        <w:t>Configure-first: maximize low-code configuration; custom code reserved for exceptional cases (e.g., specialized UX or non-standard integrations).</w:t>
      </w:r>
    </w:p>
    <w:p>
      <w:pPr>
        <w:pStyle w:val="ListBullet"/>
      </w:pPr>
      <w:r>
        <w:t>Process-by-process onboarding: deliver an MVP for one priority process early, then extend to additional processes iteratively.</w:t>
      </w:r>
    </w:p>
    <w:p>
      <w:pPr>
        <w:pStyle w:val="ListBullet"/>
      </w:pPr>
      <w:r>
        <w:t>Security-by-design: RBAC, audit, and compliance controls implemented from the start.</w:t>
      </w:r>
    </w:p>
    <w:p>
      <w:pPr>
        <w:pStyle w:val="Heading2"/>
      </w:pPr>
      <w:r>
        <w:t>4.2 Project Phases</w:t>
      </w:r>
    </w:p>
    <w:p>
      <w:pPr>
        <w:pStyle w:val="Heading3"/>
      </w:pPr>
      <w:r>
        <w:t>Initiation &amp; Discovery</w:t>
      </w:r>
    </w:p>
    <w:p>
      <w:pPr>
        <w:pStyle w:val="ListBullet"/>
      </w:pPr>
      <w:r>
        <w:t>Stakeholder workshops</w:t>
      </w:r>
    </w:p>
    <w:p>
      <w:pPr>
        <w:pStyle w:val="ListBullet"/>
      </w:pPr>
      <w:r>
        <w:t>Current-state assessment</w:t>
      </w:r>
    </w:p>
    <w:p>
      <w:pPr>
        <w:pStyle w:val="ListBullet"/>
      </w:pPr>
      <w:r>
        <w:t>Requirements refinement and backlog creation</w:t>
      </w:r>
    </w:p>
    <w:p>
      <w:pPr>
        <w:pStyle w:val="Heading3"/>
      </w:pPr>
      <w:r>
        <w:t>Process Modeling &amp; Solution Design</w:t>
      </w:r>
    </w:p>
    <w:p>
      <w:pPr>
        <w:pStyle w:val="ListBullet"/>
      </w:pPr>
      <w:r>
        <w:t>Target process maps and case types</w:t>
      </w:r>
    </w:p>
    <w:p>
      <w:pPr>
        <w:pStyle w:val="ListBullet"/>
      </w:pPr>
      <w:r>
        <w:t>Roles, SLAs, integration design</w:t>
      </w:r>
    </w:p>
    <w:p>
      <w:pPr>
        <w:pStyle w:val="ListBullet"/>
      </w:pPr>
      <w:r>
        <w:t>Non-functional requirements definition</w:t>
      </w:r>
    </w:p>
    <w:p>
      <w:pPr>
        <w:pStyle w:val="Heading3"/>
      </w:pPr>
      <w:r>
        <w:t>Build &amp; Configuration</w:t>
      </w:r>
    </w:p>
    <w:p>
      <w:pPr>
        <w:pStyle w:val="ListBullet"/>
      </w:pPr>
      <w:r>
        <w:t>Workflows, forms, portal configuration</w:t>
      </w:r>
    </w:p>
    <w:p>
      <w:pPr>
        <w:pStyle w:val="ListBullet"/>
      </w:pPr>
      <w:r>
        <w:t>Routing/workqueues, rules, SLAs, notifications</w:t>
      </w:r>
    </w:p>
    <w:p>
      <w:pPr>
        <w:pStyle w:val="ListBullet"/>
      </w:pPr>
      <w:r>
        <w:t>Dashboards and audit configuration</w:t>
      </w:r>
    </w:p>
    <w:p>
      <w:pPr>
        <w:pStyle w:val="Heading3"/>
      </w:pPr>
      <w:r>
        <w:t>Integration &amp; Data Migration</w:t>
      </w:r>
    </w:p>
    <w:p>
      <w:pPr>
        <w:pStyle w:val="ListBullet"/>
      </w:pPr>
      <w:r>
        <w:t>Identity/SSO integration</w:t>
      </w:r>
    </w:p>
    <w:p>
      <w:pPr>
        <w:pStyle w:val="ListBullet"/>
      </w:pPr>
      <w:r>
        <w:t>DMS/email/LOB integrations</w:t>
      </w:r>
    </w:p>
    <w:p>
      <w:pPr>
        <w:pStyle w:val="ListBullet"/>
      </w:pPr>
      <w:r>
        <w:t>Migration approach and reconciliation (where applicable)</w:t>
      </w:r>
    </w:p>
    <w:p>
      <w:pPr>
        <w:pStyle w:val="Heading3"/>
      </w:pPr>
      <w:r>
        <w:t>Testing</w:t>
      </w:r>
    </w:p>
    <w:p>
      <w:pPr>
        <w:pStyle w:val="ListBullet"/>
      </w:pPr>
      <w:r>
        <w:t>System and integration testing (SIT)</w:t>
      </w:r>
    </w:p>
    <w:p>
      <w:pPr>
        <w:pStyle w:val="ListBullet"/>
      </w:pPr>
      <w:r>
        <w:t>Performance testing</w:t>
      </w:r>
    </w:p>
    <w:p>
      <w:pPr>
        <w:pStyle w:val="ListBullet"/>
      </w:pPr>
      <w:r>
        <w:t>Security testing</w:t>
      </w:r>
    </w:p>
    <w:p>
      <w:pPr>
        <w:pStyle w:val="Heading3"/>
      </w:pPr>
      <w:r>
        <w:t>UAT Support</w:t>
      </w:r>
    </w:p>
    <w:p>
      <w:pPr>
        <w:pStyle w:val="ListBullet"/>
      </w:pPr>
      <w:r>
        <w:t>UAT planning and environment readiness</w:t>
      </w:r>
    </w:p>
    <w:p>
      <w:pPr>
        <w:pStyle w:val="ListBullet"/>
      </w:pPr>
      <w:r>
        <w:t>Defect triage and fixes</w:t>
      </w:r>
    </w:p>
    <w:p>
      <w:pPr>
        <w:pStyle w:val="ListBullet"/>
      </w:pPr>
      <w:r>
        <w:t>Release readiness sign-off</w:t>
      </w:r>
    </w:p>
    <w:p>
      <w:pPr>
        <w:pStyle w:val="Heading3"/>
      </w:pPr>
      <w:r>
        <w:t>Training &amp; Change Enablement</w:t>
      </w:r>
    </w:p>
    <w:p>
      <w:pPr>
        <w:pStyle w:val="ListBullet"/>
      </w:pPr>
      <w:r>
        <w:t>Admin/power user/end user training</w:t>
      </w:r>
    </w:p>
    <w:p>
      <w:pPr>
        <w:pStyle w:val="ListBullet"/>
      </w:pPr>
      <w:r>
        <w:t>Materials and job aids</w:t>
      </w:r>
    </w:p>
    <w:p>
      <w:pPr>
        <w:pStyle w:val="ListBullet"/>
      </w:pPr>
      <w:r>
        <w:t>Knowledge transfer for MTI IT</w:t>
      </w:r>
    </w:p>
    <w:p>
      <w:pPr>
        <w:pStyle w:val="Heading3"/>
      </w:pPr>
      <w:r>
        <w:t>Go-Live &amp; Hypercare</w:t>
      </w:r>
    </w:p>
    <w:p>
      <w:pPr>
        <w:pStyle w:val="ListBullet"/>
      </w:pPr>
      <w:r>
        <w:t>Cutover execution</w:t>
      </w:r>
    </w:p>
    <w:p>
      <w:pPr>
        <w:pStyle w:val="ListBullet"/>
      </w:pPr>
      <w:r>
        <w:t>Monitoring and stabilization</w:t>
      </w:r>
    </w:p>
    <w:p>
      <w:pPr>
        <w:pStyle w:val="ListBullet"/>
      </w:pPr>
      <w:r>
        <w:t>Transition to support operations</w:t>
      </w:r>
    </w:p>
    <w:p>
      <w:pPr>
        <w:pStyle w:val="Heading3"/>
      </w:pPr>
      <w:r>
        <w:t>Continuous Improvement</w:t>
      </w:r>
    </w:p>
    <w:p>
      <w:pPr>
        <w:pStyle w:val="ListBullet"/>
      </w:pPr>
      <w:r>
        <w:t>KPI/SLA analysis</w:t>
      </w:r>
    </w:p>
    <w:p>
      <w:pPr>
        <w:pStyle w:val="ListBullet"/>
      </w:pPr>
      <w:r>
        <w:t>Enhancement backlog and iterative releases</w:t>
      </w:r>
    </w:p>
    <w:p>
      <w:pPr>
        <w:pStyle w:val="Heading1"/>
      </w:pPr>
      <w:r>
        <w:t>5. Project Plan and Timelines (Example Baseline)</w:t>
      </w:r>
    </w:p>
    <w:p>
      <w:r>
        <w:t>The RFP example does not prescribe fixed dates. Below is a practical baseline timeline for an initial release (first 1–2 processes), to be adjusted once MTI confirms priorities, user volumes, and deployment model.</w:t>
      </w:r>
    </w:p>
    <w:p>
      <w:r>
        <w:t>Baseline timeline for initial release: ~20–26 weeks</w:t>
      </w:r>
    </w:p>
    <w:p>
      <w:pPr>
        <w:pStyle w:val="ListBullet"/>
      </w:pPr>
      <w:r>
        <w:t>Weeks 1–3: Discovery and requirements refinement</w:t>
      </w:r>
    </w:p>
    <w:p>
      <w:pPr>
        <w:pStyle w:val="ListBullet"/>
      </w:pPr>
      <w:r>
        <w:t>Weeks 4–6: Architecture and process design; sprint planning</w:t>
      </w:r>
    </w:p>
    <w:p>
      <w:pPr>
        <w:pStyle w:val="ListBullet"/>
      </w:pPr>
      <w:r>
        <w:t>Weeks 7–16: Configuration/build and integrations (iterative)</w:t>
      </w:r>
    </w:p>
    <w:p>
      <w:pPr>
        <w:pStyle w:val="ListBullet"/>
      </w:pPr>
      <w:r>
        <w:t>Weeks 12–18: Testing (overlapping), performance and security test cycles</w:t>
      </w:r>
    </w:p>
    <w:p>
      <w:pPr>
        <w:pStyle w:val="ListBullet"/>
      </w:pPr>
      <w:r>
        <w:t>Weeks 17–20: UAT and training delivery</w:t>
      </w:r>
    </w:p>
    <w:p>
      <w:pPr>
        <w:pStyle w:val="ListBullet"/>
      </w:pPr>
      <w:r>
        <w:t>Weeks 21–22: Cutover and go-live</w:t>
      </w:r>
    </w:p>
    <w:p>
      <w:pPr>
        <w:pStyle w:val="ListBullet"/>
      </w:pPr>
      <w:r>
        <w:t>Weeks 23–26: Hypercare and stabilization</w:t>
      </w:r>
    </w:p>
    <w:p>
      <w:r>
        <w:t>Milestones (example):</w:t>
      </w:r>
    </w:p>
    <w:p>
      <w:pPr>
        <w:pStyle w:val="ListBullet"/>
      </w:pPr>
      <w:r>
        <w:t>M1: Project kickoff and governance established</w:t>
      </w:r>
    </w:p>
    <w:p>
      <w:pPr>
        <w:pStyle w:val="ListBullet"/>
      </w:pPr>
      <w:r>
        <w:t>M2: Requirements and process designs signed off</w:t>
      </w:r>
    </w:p>
    <w:p>
      <w:pPr>
        <w:pStyle w:val="ListBullet"/>
      </w:pPr>
      <w:r>
        <w:t>M3: MVP workflow and portal prototype demonstrated</w:t>
      </w:r>
    </w:p>
    <w:p>
      <w:pPr>
        <w:pStyle w:val="ListBullet"/>
      </w:pPr>
      <w:r>
        <w:t>M4: Integrations complete and SIT passed</w:t>
      </w:r>
    </w:p>
    <w:p>
      <w:pPr>
        <w:pStyle w:val="ListBullet"/>
      </w:pPr>
      <w:r>
        <w:t>M5: UAT passed</w:t>
      </w:r>
    </w:p>
    <w:p>
      <w:pPr>
        <w:pStyle w:val="ListBullet"/>
      </w:pPr>
      <w:r>
        <w:t>M6: Go-live and hypercare complete</w:t>
      </w:r>
    </w:p>
    <w:p>
      <w:pPr>
        <w:pStyle w:val="Heading1"/>
      </w:pPr>
      <w:r>
        <w:t>6. Proposed Team Structure</w:t>
      </w:r>
    </w:p>
    <w:p>
      <w:r>
        <w:t>Delivery governance:</w:t>
      </w:r>
    </w:p>
    <w:p>
      <w:pPr>
        <w:pStyle w:val="ListBullet"/>
      </w:pPr>
      <w:r>
        <w:t>Executive Sponsor (Bidder) / Steering Committee (MTI)</w:t>
      </w:r>
    </w:p>
    <w:p>
      <w:pPr>
        <w:pStyle w:val="ListBullet"/>
      </w:pPr>
      <w:r>
        <w:t>Program Manager (Bidder)</w:t>
      </w:r>
    </w:p>
    <w:p>
      <w:pPr>
        <w:pStyle w:val="ListBullet"/>
      </w:pPr>
      <w:r>
        <w:t>Project Manager (Bidder) and MTI Project Lead</w:t>
      </w:r>
    </w:p>
    <w:p>
      <w:r>
        <w:t>Core delivery roles:</w:t>
      </w:r>
    </w:p>
    <w:p>
      <w:pPr>
        <w:pStyle w:val="ListBullet"/>
      </w:pPr>
      <w:r>
        <w:t>BPM Solution Architect</w:t>
      </w:r>
    </w:p>
    <w:p>
      <w:pPr>
        <w:pStyle w:val="ListBullet"/>
      </w:pPr>
      <w:r>
        <w:t>Business/Process Analyst(s)</w:t>
      </w:r>
    </w:p>
    <w:p>
      <w:pPr>
        <w:pStyle w:val="ListBullet"/>
      </w:pPr>
      <w:r>
        <w:t>BPM Lead Developer / Low-code Specialist</w:t>
      </w:r>
    </w:p>
    <w:p>
      <w:pPr>
        <w:pStyle w:val="ListBullet"/>
      </w:pPr>
      <w:r>
        <w:t>Integration Engineer(s)</w:t>
      </w:r>
    </w:p>
    <w:p>
      <w:pPr>
        <w:pStyle w:val="ListBullet"/>
      </w:pPr>
      <w:r>
        <w:t>UX/UI Designer (internal UI and external portal)</w:t>
      </w:r>
    </w:p>
    <w:p>
      <w:pPr>
        <w:pStyle w:val="ListBullet"/>
      </w:pPr>
      <w:r>
        <w:t>QA/Test Lead</w:t>
      </w:r>
    </w:p>
    <w:p>
      <w:pPr>
        <w:pStyle w:val="ListBullet"/>
      </w:pPr>
      <w:r>
        <w:t>Data Migration Specialist (if migration is in scope)</w:t>
      </w:r>
    </w:p>
    <w:p>
      <w:pPr>
        <w:pStyle w:val="ListBullet"/>
      </w:pPr>
      <w:r>
        <w:t>Change Manager / Trainer</w:t>
      </w:r>
    </w:p>
    <w:p>
      <w:pPr>
        <w:pStyle w:val="ListBullet"/>
      </w:pPr>
      <w:r>
        <w:t>Support Lead (L2/L3 operations)</w:t>
      </w:r>
    </w:p>
    <w:p>
      <w:r>
        <w:t>Certifications: We will staff the engagement with certified platform consultants (architects, developers, analysts) and provide CVs and certification evidence in the final submission package.</w:t>
      </w:r>
    </w:p>
    <w:p>
      <w:pPr>
        <w:pStyle w:val="Heading1"/>
      </w:pPr>
      <w:r>
        <w:t>7. Requirement-by-Requirement Response</w:t>
      </w:r>
    </w:p>
    <w:p>
      <w:pPr>
        <w:pStyle w:val="Heading2"/>
      </w:pPr>
      <w:r>
        <w:t>7.1 Scope of Work Responses</w:t>
      </w:r>
    </w:p>
    <w:p>
      <w:pPr>
        <w:pStyle w:val="Heading3"/>
      </w:pPr>
      <w:r>
        <w:t>7.1.1 Solution Provisioning</w:t>
      </w:r>
    </w:p>
    <w:p>
      <w:r>
        <w:rPr>
          <w:b/>
        </w:rPr>
        <w:t xml:space="preserve">Requirement: </w:t>
      </w:r>
      <w:r>
        <w:t>Provide an enterprise-grade BPM platform licensed for MTI’s user base (internal and external).</w:t>
      </w:r>
    </w:p>
    <w:p>
      <w:r>
        <w:rPr>
          <w:b/>
        </w:rPr>
        <w:t xml:space="preserve">Response: </w:t>
      </w:r>
      <w:r>
        <w:t>We will provide enterprise licensing sized to MTI’s confirmed user roles and external portal usage model.</w:t>
      </w:r>
    </w:p>
    <w:p>
      <w:pPr>
        <w:pStyle w:val="ListBullet"/>
      </w:pPr>
      <w:r>
        <w:t>Licensing can be structured as named users, concurrent users, or consumption-based metrics (finalized with MTI procurement).</w:t>
      </w:r>
    </w:p>
    <w:p>
      <w:pPr>
        <w:pStyle w:val="ListBullet"/>
      </w:pPr>
      <w:r>
        <w:t>The licensing approach will support growth in users and transaction volumes without redesign.</w:t>
      </w:r>
    </w:p>
    <w:p/>
    <w:p>
      <w:r>
        <w:rPr>
          <w:b/>
        </w:rPr>
        <w:t xml:space="preserve">Requirement: </w:t>
      </w:r>
      <w:r>
        <w:t>Support workbasket and worklist paradigms for task distribution.</w:t>
      </w:r>
    </w:p>
    <w:p>
      <w:r>
        <w:rPr>
          <w:b/>
        </w:rPr>
        <w:t xml:space="preserve">Response: </w:t>
      </w:r>
      <w:r>
        <w:t>The platform supports both direct assignment (worklists) and shared team queues (workbaskets).</w:t>
      </w:r>
    </w:p>
    <w:p>
      <w:pPr>
        <w:pStyle w:val="ListBullet"/>
      </w:pPr>
      <w:r>
        <w:t>Worklists: tasks routed to individuals based on rules, role, or supervisor assignment.</w:t>
      </w:r>
    </w:p>
    <w:p>
      <w:pPr>
        <w:pStyle w:val="ListBullet"/>
      </w:pPr>
      <w:r>
        <w:t>Workbaskets: shared queues by team/skill/region/service with prioritization, SLA-based ordering, and load balancing.</w:t>
      </w:r>
    </w:p>
    <w:p/>
    <w:p>
      <w:r>
        <w:rPr>
          <w:b/>
        </w:rPr>
        <w:t xml:space="preserve">Requirement: </w:t>
      </w:r>
      <w:r>
        <w:t>Role-based access control integrated with identity management (e.g., Active Directory).</w:t>
      </w:r>
    </w:p>
    <w:p>
      <w:r>
        <w:rPr>
          <w:b/>
        </w:rPr>
        <w:t xml:space="preserve">Response: </w:t>
      </w:r>
      <w:r>
        <w:t>We implement RBAC with fine-grained permissions mapped to MTI roles, case types, and functions.</w:t>
      </w:r>
    </w:p>
    <w:p>
      <w:pPr>
        <w:pStyle w:val="ListBullet"/>
      </w:pPr>
      <w:r>
        <w:t>Integration supports AD/LDAP user and group synchronization.</w:t>
      </w:r>
    </w:p>
    <w:p>
      <w:pPr>
        <w:pStyle w:val="ListBullet"/>
      </w:pPr>
      <w:r>
        <w:t>SSO via SAML/OIDC is supported (subject to MTI standards).</w:t>
      </w:r>
    </w:p>
    <w:p>
      <w:pPr>
        <w:pStyle w:val="ListBullet"/>
      </w:pPr>
      <w:r>
        <w:t>Segregation of duties is supported through role design and maker-checker controls for sensitive approvals.</w:t>
      </w:r>
    </w:p>
    <w:p/>
    <w:p>
      <w:pPr>
        <w:pStyle w:val="Heading3"/>
      </w:pPr>
      <w:r>
        <w:t>7.1.2 Process Areas in Scope</w:t>
      </w:r>
    </w:p>
    <w:p>
      <w:r>
        <w:rPr>
          <w:b/>
        </w:rPr>
        <w:t xml:space="preserve">Requirement: </w:t>
      </w:r>
      <w:r>
        <w:t>Initial implementation focuses on licensing, grants/incentives, trade facilitation, and internal service requests; design for rapid onboarding of additional processes via configuration.</w:t>
      </w:r>
    </w:p>
    <w:p>
      <w:r>
        <w:rPr>
          <w:b/>
        </w:rPr>
        <w:t xml:space="preserve">Response: </w:t>
      </w:r>
      <w:r>
        <w:t>We will deliver a configuration framework and reusable templates to onboard processes quickly.</w:t>
      </w:r>
    </w:p>
    <w:p>
      <w:pPr>
        <w:pStyle w:val="ListBullet"/>
      </w:pPr>
      <w:r>
        <w:t>Standard case templates include intake, validation, review, approval, issuance, and exception handling.</w:t>
      </w:r>
    </w:p>
    <w:p>
      <w:pPr>
        <w:pStyle w:val="ListBullet"/>
      </w:pPr>
      <w:r>
        <w:t>New processes can be added via configuration of case types, stages, routing rules, SLAs, and forms with minimal custom code.</w:t>
      </w:r>
    </w:p>
    <w:p/>
    <w:p>
      <w:pPr>
        <w:pStyle w:val="Heading3"/>
      </w:pPr>
      <w:r>
        <w:t>7.1.3 Implementation Services</w:t>
      </w:r>
    </w:p>
    <w:p>
      <w:r>
        <w:rPr>
          <w:b/>
        </w:rPr>
        <w:t xml:space="preserve">Requirement: </w:t>
      </w:r>
      <w:r>
        <w:t>Requirements gathering and refinement.</w:t>
      </w:r>
    </w:p>
    <w:p>
      <w:r>
        <w:rPr>
          <w:b/>
        </w:rPr>
        <w:t xml:space="preserve">Response: </w:t>
      </w:r>
      <w:r>
        <w:t>We run structured workshops with process owners and SMEs to refine requirements.</w:t>
      </w:r>
    </w:p>
    <w:p>
      <w:pPr>
        <w:pStyle w:val="ListBullet"/>
      </w:pPr>
      <w:r>
        <w:t>Outputs include user stories, acceptance criteria, process maps, data requirements, and a prioritized delivery backlog.</w:t>
      </w:r>
    </w:p>
    <w:p/>
    <w:p>
      <w:r>
        <w:rPr>
          <w:b/>
        </w:rPr>
        <w:t xml:space="preserve">Requirement: </w:t>
      </w:r>
      <w:r>
        <w:t>Process modeling and design using the proposed platform.</w:t>
      </w:r>
    </w:p>
    <w:p>
      <w:r>
        <w:rPr>
          <w:b/>
        </w:rPr>
        <w:t xml:space="preserve">Response: </w:t>
      </w:r>
      <w:r>
        <w:t>We model end-to-end processes including exceptions, escalations, and SLAs.</w:t>
      </w:r>
    </w:p>
    <w:p>
      <w:pPr>
        <w:pStyle w:val="ListBullet"/>
      </w:pPr>
      <w:r>
        <w:t>Deliverables include business-friendly diagrams and executable workflow/case models.</w:t>
      </w:r>
    </w:p>
    <w:p/>
    <w:p>
      <w:r>
        <w:rPr>
          <w:b/>
        </w:rPr>
        <w:t xml:space="preserve">Requirement: </w:t>
      </w:r>
      <w:r>
        <w:t>UI design for case workers, supervisors, and external users.</w:t>
      </w:r>
    </w:p>
    <w:p>
      <w:r>
        <w:rPr>
          <w:b/>
        </w:rPr>
        <w:t xml:space="preserve">Response: </w:t>
      </w:r>
      <w:r>
        <w:t>Case worker UI: guided work screens, checklists, document panel, quick actions, contextual help.</w:t>
      </w:r>
    </w:p>
    <w:p>
      <w:pPr>
        <w:pStyle w:val="ListBullet"/>
      </w:pPr>
      <w:r>
        <w:t>Supervisor UI: dashboards, workload views, SLA risk views, reassignment tools.</w:t>
      </w:r>
    </w:p>
    <w:p>
      <w:pPr>
        <w:pStyle w:val="ListBullet"/>
      </w:pPr>
      <w:r>
        <w:t>External portal: self-service submissions, uploads, notifications, and status tracking.</w:t>
      </w:r>
    </w:p>
    <w:p/>
    <w:p>
      <w:r>
        <w:rPr>
          <w:b/>
        </w:rPr>
        <w:t xml:space="preserve">Requirement: </w:t>
      </w:r>
      <w:r>
        <w:t>Configure rules, SLAs, escalations, and routing logic.</w:t>
      </w:r>
    </w:p>
    <w:p>
      <w:r>
        <w:rPr>
          <w:b/>
        </w:rPr>
        <w:t xml:space="preserve">Response: </w:t>
      </w:r>
      <w:r>
        <w:t>Central rules repository governs eligibility, validations, routing, and approvals.</w:t>
      </w:r>
    </w:p>
    <w:p>
      <w:pPr>
        <w:pStyle w:val="ListBullet"/>
      </w:pPr>
      <w:r>
        <w:t>SLA timers are configurable per process/case type/stage and trigger reminders and escalations.</w:t>
      </w:r>
    </w:p>
    <w:p>
      <w:pPr>
        <w:pStyle w:val="ListBullet"/>
      </w:pPr>
      <w:r>
        <w:t>Routing supports role/skill-based allocation, workbasket distribution, and supervisory overrides.</w:t>
      </w:r>
    </w:p>
    <w:p/>
    <w:p>
      <w:r>
        <w:rPr>
          <w:b/>
        </w:rPr>
        <w:t xml:space="preserve">Requirement: </w:t>
      </w:r>
      <w:r>
        <w:t>Integrations (document management, email, identity, line-of-business systems).</w:t>
      </w:r>
    </w:p>
    <w:p>
      <w:r>
        <w:rPr>
          <w:b/>
        </w:rPr>
        <w:t xml:space="preserve">Response: </w:t>
      </w:r>
      <w:r>
        <w:t>We deliver integrations using REST APIs and/or event/messaging patterns (as appropriate).</w:t>
      </w:r>
    </w:p>
    <w:p>
      <w:pPr>
        <w:pStyle w:val="ListBullet"/>
      </w:pPr>
      <w:r>
        <w:t>Identity/SSO integration supports secure authentication and group-based authorization.</w:t>
      </w:r>
    </w:p>
    <w:p>
      <w:pPr>
        <w:pStyle w:val="ListBullet"/>
      </w:pPr>
      <w:r>
        <w:t>DMS integration supports attachments, metadata, versioning, and retention policies.</w:t>
      </w:r>
    </w:p>
    <w:p>
      <w:pPr>
        <w:pStyle w:val="ListBullet"/>
      </w:pPr>
      <w:r>
        <w:t>Email integration supports notifications and optional inbound email-to-case creation.</w:t>
      </w:r>
    </w:p>
    <w:p>
      <w:pPr>
        <w:pStyle w:val="ListBullet"/>
      </w:pPr>
      <w:r>
        <w:t>LOB integrations support validations, master data lookups, and downstream updates.</w:t>
      </w:r>
    </w:p>
    <w:p/>
    <w:p>
      <w:r>
        <w:rPr>
          <w:b/>
        </w:rPr>
        <w:t xml:space="preserve">Requirement: </w:t>
      </w:r>
      <w:r>
        <w:t>Data migration strategy from legacy systems/spreadsheets (where applicable).</w:t>
      </w:r>
    </w:p>
    <w:p>
      <w:r>
        <w:rPr>
          <w:b/>
        </w:rPr>
        <w:t xml:space="preserve">Response: </w:t>
      </w:r>
      <w:r>
        <w:t>We provide data profiling, mapping, and ETL approach (including validation rules).</w:t>
      </w:r>
    </w:p>
    <w:p>
      <w:pPr>
        <w:pStyle w:val="ListBullet"/>
      </w:pPr>
      <w:r>
        <w:t>Reconciliation reports demonstrate completeness and accuracy.</w:t>
      </w:r>
    </w:p>
    <w:p>
      <w:pPr>
        <w:pStyle w:val="ListBullet"/>
      </w:pPr>
      <w:r>
        <w:t>Cutover options include phased migration or big-bang with rollback planning.</w:t>
      </w:r>
    </w:p>
    <w:p>
      <w:pPr>
        <w:pStyle w:val="ListBullet"/>
      </w:pPr>
      <w:r>
        <w:t>Auditability of migrated records is maintained through source reference fields and logs.</w:t>
      </w:r>
    </w:p>
    <w:p/>
    <w:p>
      <w:r>
        <w:rPr>
          <w:b/>
        </w:rPr>
        <w:t xml:space="preserve">Requirement: </w:t>
      </w:r>
      <w:r>
        <w:t>System and integration testing including performance and security testing.</w:t>
      </w:r>
    </w:p>
    <w:p>
      <w:r>
        <w:rPr>
          <w:b/>
        </w:rPr>
        <w:t xml:space="preserve">Response: </w:t>
      </w:r>
      <w:r>
        <w:t>SIT validates workflows, rules, and integrations end-to-end.</w:t>
      </w:r>
    </w:p>
    <w:p>
      <w:pPr>
        <w:pStyle w:val="ListBullet"/>
      </w:pPr>
      <w:r>
        <w:t>Performance tests are sized to expected concurrency and throughput, validating SLA compliance under load.</w:t>
      </w:r>
    </w:p>
    <w:p>
      <w:pPr>
        <w:pStyle w:val="ListBullet"/>
      </w:pPr>
      <w:r>
        <w:t>Security testing includes access control verification, session security, portal OWASP checks, and audit validation.</w:t>
      </w:r>
    </w:p>
    <w:p/>
    <w:p>
      <w:r>
        <w:rPr>
          <w:b/>
        </w:rPr>
        <w:t xml:space="preserve">Requirement: </w:t>
      </w:r>
      <w:r>
        <w:t>Support during UAT.</w:t>
      </w:r>
    </w:p>
    <w:p>
      <w:r>
        <w:rPr>
          <w:b/>
        </w:rPr>
        <w:t xml:space="preserve">Response: </w:t>
      </w:r>
      <w:r>
        <w:t>We provide UAT planning, environment readiness, daily triage, defect SLAs, and release readiness sign-off support.</w:t>
      </w:r>
    </w:p>
    <w:p/>
    <w:p>
      <w:pPr>
        <w:pStyle w:val="Heading3"/>
      </w:pPr>
      <w:r>
        <w:t>7.1.4 Reporting and Analytics</w:t>
      </w:r>
    </w:p>
    <w:p>
      <w:r>
        <w:rPr>
          <w:b/>
        </w:rPr>
        <w:t xml:space="preserve">Requirement: </w:t>
      </w:r>
      <w:r>
        <w:t>Dashboards/reports for volumes, workload, SLA compliance, and bottlenecks.</w:t>
      </w:r>
    </w:p>
    <w:p>
      <w:r>
        <w:rPr>
          <w:b/>
        </w:rPr>
        <w:t xml:space="preserve">Response: </w:t>
      </w:r>
      <w:r>
        <w:t>We deliver standard operational dashboards: work in progress, workloads, SLA compliance, aging, cycle time, and bottleneck analysis.</w:t>
      </w:r>
    </w:p>
    <w:p>
      <w:pPr>
        <w:pStyle w:val="ListBullet"/>
      </w:pPr>
      <w:r>
        <w:t>Dashboards support drill-down from KPI to case/task lists for action.</w:t>
      </w:r>
    </w:p>
    <w:p/>
    <w:p>
      <w:r>
        <w:rPr>
          <w:b/>
        </w:rPr>
        <w:t xml:space="preserve">Requirement: </w:t>
      </w:r>
      <w:r>
        <w:t>Business users can modify standard reports without extensive IT involvement.</w:t>
      </w:r>
    </w:p>
    <w:p>
      <w:r>
        <w:rPr>
          <w:b/>
        </w:rPr>
        <w:t xml:space="preserve">Response: </w:t>
      </w:r>
      <w:r>
        <w:t>Power users can create and modify dashboards with drag-and-drop tooling, governed by role permissions and publishing approvals.</w:t>
      </w:r>
    </w:p>
    <w:p/>
    <w:p>
      <w:r>
        <w:rPr>
          <w:b/>
        </w:rPr>
        <w:t xml:space="preserve">Requirement: </w:t>
      </w:r>
      <w:r>
        <w:t>Audit trail for process steps, decisions, and data changes.</w:t>
      </w:r>
    </w:p>
    <w:p>
      <w:r>
        <w:rPr>
          <w:b/>
        </w:rPr>
        <w:t xml:space="preserve">Response: </w:t>
      </w:r>
      <w:r>
        <w:t>Immutable audit events capture case creation/updates, task assignment changes, decisions/approvals, and administrative configuration changes.</w:t>
      </w:r>
    </w:p>
    <w:p>
      <w:pPr>
        <w:pStyle w:val="ListBullet"/>
      </w:pPr>
      <w:r>
        <w:t>Audit data is searchable and exportable to support compliance reviews.</w:t>
      </w:r>
    </w:p>
    <w:p/>
    <w:p>
      <w:pPr>
        <w:pStyle w:val="Heading3"/>
      </w:pPr>
      <w:r>
        <w:t>7.1.5 Training and Change Management</w:t>
      </w:r>
    </w:p>
    <w:p>
      <w:r>
        <w:rPr>
          <w:b/>
        </w:rPr>
        <w:t xml:space="preserve">Requirement: </w:t>
      </w:r>
      <w:r>
        <w:t>Training for admins, power users, and end users; materials; workshops/knowledge transfer.</w:t>
      </w:r>
    </w:p>
    <w:p>
      <w:r>
        <w:rPr>
          <w:b/>
        </w:rPr>
        <w:t xml:space="preserve">Response: </w:t>
      </w:r>
      <w:r>
        <w:t>We deliver role-based training tracks (Admin, Power User, End User, Support).</w:t>
      </w:r>
    </w:p>
    <w:p>
      <w:pPr>
        <w:pStyle w:val="ListBullet"/>
      </w:pPr>
      <w:r>
        <w:t>Materials include job aids, quick reference guides, and recorded sessions.</w:t>
      </w:r>
    </w:p>
    <w:p>
      <w:pPr>
        <w:pStyle w:val="ListBullet"/>
      </w:pPr>
      <w:r>
        <w:t>Train-the-trainer options support scalable adoption.</w:t>
      </w:r>
    </w:p>
    <w:p>
      <w:pPr>
        <w:pStyle w:val="ListBullet"/>
      </w:pPr>
      <w:r>
        <w:t>Knowledge transfer prepares MTI IT for configuration, monitoring, and release management.</w:t>
      </w:r>
    </w:p>
    <w:p/>
    <w:p>
      <w:pPr>
        <w:pStyle w:val="Heading3"/>
      </w:pPr>
      <w:r>
        <w:t>7.1.6 Support and Maintenance</w:t>
      </w:r>
    </w:p>
    <w:p>
      <w:r>
        <w:rPr>
          <w:b/>
        </w:rPr>
        <w:t xml:space="preserve">Requirement: </w:t>
      </w:r>
      <w:r>
        <w:t>Minimum 3 years post go-live support and maintenance (patching, upgrades, incident resolution).</w:t>
      </w:r>
    </w:p>
    <w:p>
      <w:r>
        <w:rPr>
          <w:b/>
        </w:rPr>
        <w:t xml:space="preserve">Response: </w:t>
      </w:r>
      <w:r>
        <w:t>We provide a 3-year support contract including patching, upgrades, incident resolution, and problem management.</w:t>
      </w:r>
    </w:p>
    <w:p>
      <w:pPr>
        <w:pStyle w:val="ListBullet"/>
      </w:pPr>
      <w:r>
        <w:t>Service reviews and KPI reporting are included to drive continuous improvement.</w:t>
      </w:r>
    </w:p>
    <w:p/>
    <w:p>
      <w:r>
        <w:rPr>
          <w:b/>
        </w:rPr>
        <w:t xml:space="preserve">Requirement: </w:t>
      </w:r>
      <w:r>
        <w:t>Define SLAs for response/resolution, escalation path, and governance model.</w:t>
      </w:r>
    </w:p>
    <w:p>
      <w:r>
        <w:rPr>
          <w:b/>
        </w:rPr>
        <w:t xml:space="preserve">Response: </w:t>
      </w:r>
      <w:r>
        <w:t>We propose severity-based SLAs with defined response, workaround, and resolution targets (see Section 10).</w:t>
      </w:r>
    </w:p>
    <w:p>
      <w:pPr>
        <w:pStyle w:val="ListBullet"/>
      </w:pPr>
      <w:r>
        <w:t>Escalation ladder includes Support Lead -&gt; Program Manager -&gt; Executive Sponsor.</w:t>
      </w:r>
    </w:p>
    <w:p>
      <w:pPr>
        <w:pStyle w:val="ListBullet"/>
      </w:pPr>
      <w:r>
        <w:t>Governance includes regular service reviews and root-cause trend analysis.</w:t>
      </w:r>
    </w:p>
    <w:p/>
    <w:p>
      <w:pPr>
        <w:pStyle w:val="Heading1"/>
      </w:pPr>
      <w:r>
        <w:t>8. Functional and Technical Compliance Matrix</w:t>
      </w:r>
    </w:p>
    <w:p>
      <w:pPr>
        <w:pStyle w:val="Heading2"/>
      </w:pPr>
      <w:r>
        <w:t>8.1 Functional Requirements Compliance (Example Mapping)</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cantSplit/>
          <w:tblHeader w:val="1"/>
        </w:trPr>
        <w:tc>
          <w:tcPr>
            <w:tcW w:type="dxa" w:w="1080"/>
            <w:vAlign w:val="center"/>
          </w:tcPr>
          <w:p>
            <w:r>
              <w:rPr>
                <w:b/>
                <w:sz w:val="20"/>
              </w:rPr>
              <w:t>ID</w:t>
            </w:r>
          </w:p>
        </w:tc>
        <w:tc>
          <w:tcPr>
            <w:tcW w:type="dxa" w:w="2952"/>
            <w:vAlign w:val="center"/>
          </w:tcPr>
          <w:p>
            <w:r>
              <w:rPr>
                <w:b/>
                <w:sz w:val="20"/>
              </w:rPr>
              <w:t>Requirement</w:t>
            </w:r>
          </w:p>
        </w:tc>
        <w:tc>
          <w:tcPr>
            <w:tcW w:type="dxa" w:w="1368"/>
            <w:vAlign w:val="center"/>
          </w:tcPr>
          <w:p>
            <w:r>
              <w:rPr>
                <w:b/>
                <w:sz w:val="20"/>
              </w:rPr>
              <w:t>Compliance</w:t>
            </w:r>
          </w:p>
        </w:tc>
        <w:tc>
          <w:tcPr>
            <w:tcW w:type="dxa" w:w="3960"/>
            <w:vAlign w:val="center"/>
          </w:tcPr>
          <w:p>
            <w:r>
              <w:rPr>
                <w:b/>
                <w:sz w:val="20"/>
              </w:rPr>
              <w:t>Response / How we meet it</w:t>
            </w:r>
          </w:p>
        </w:tc>
      </w:tr>
      <w:tr>
        <w:trPr>
          <w:cantSplit/>
        </w:trPr>
        <w:tc>
          <w:tcPr>
            <w:tcW w:type="dxa" w:w="2160"/>
            <w:vAlign w:val="top"/>
          </w:tcPr>
          <w:p>
            <w:r>
              <w:rPr>
                <w:b w:val="0"/>
                <w:sz w:val="20"/>
              </w:rPr>
              <w:t>5.1.a</w:t>
            </w:r>
          </w:p>
        </w:tc>
        <w:tc>
          <w:tcPr>
            <w:tcW w:type="dxa" w:w="2160"/>
            <w:vAlign w:val="top"/>
          </w:tcPr>
          <w:p>
            <w:r>
              <w:rPr>
                <w:b w:val="0"/>
                <w:sz w:val="20"/>
              </w:rPr>
              <w:t>Straight-through + human-centric workflows</w:t>
            </w:r>
          </w:p>
        </w:tc>
        <w:tc>
          <w:tcPr>
            <w:tcW w:type="dxa" w:w="2160"/>
            <w:vAlign w:val="top"/>
          </w:tcPr>
          <w:p>
            <w:r>
              <w:rPr>
                <w:b w:val="0"/>
                <w:sz w:val="20"/>
              </w:rPr>
              <w:t>Compliant</w:t>
            </w:r>
          </w:p>
        </w:tc>
        <w:tc>
          <w:tcPr>
            <w:tcW w:type="dxa" w:w="2160"/>
            <w:vAlign w:val="top"/>
          </w:tcPr>
          <w:p>
            <w:r>
              <w:rPr>
                <w:b w:val="0"/>
                <w:sz w:val="20"/>
              </w:rPr>
              <w:t>Workflow engine supports automated steps (validations, integrations, rules) and human tasks (review/approve) in one end-to-end process.</w:t>
            </w:r>
          </w:p>
        </w:tc>
      </w:tr>
      <w:tr>
        <w:trPr>
          <w:cantSplit/>
        </w:trPr>
        <w:tc>
          <w:tcPr>
            <w:tcW w:type="dxa" w:w="2160"/>
            <w:vAlign w:val="top"/>
          </w:tcPr>
          <w:p>
            <w:r>
              <w:rPr>
                <w:b w:val="0"/>
                <w:sz w:val="20"/>
              </w:rPr>
              <w:t>5.1.b</w:t>
            </w:r>
          </w:p>
        </w:tc>
        <w:tc>
          <w:tcPr>
            <w:tcW w:type="dxa" w:w="2160"/>
            <w:vAlign w:val="top"/>
          </w:tcPr>
          <w:p>
            <w:r>
              <w:rPr>
                <w:b w:val="0"/>
                <w:sz w:val="20"/>
              </w:rPr>
              <w:t>Dynamic case management incl. ad-hoc tasks, attachments, notes</w:t>
            </w:r>
          </w:p>
        </w:tc>
        <w:tc>
          <w:tcPr>
            <w:tcW w:type="dxa" w:w="2160"/>
            <w:vAlign w:val="top"/>
          </w:tcPr>
          <w:p>
            <w:r>
              <w:rPr>
                <w:b w:val="0"/>
                <w:sz w:val="20"/>
              </w:rPr>
              <w:t>Compliant</w:t>
            </w:r>
          </w:p>
        </w:tc>
        <w:tc>
          <w:tcPr>
            <w:tcW w:type="dxa" w:w="2160"/>
            <w:vAlign w:val="top"/>
          </w:tcPr>
          <w:p>
            <w:r>
              <w:rPr>
                <w:b w:val="0"/>
                <w:sz w:val="20"/>
              </w:rPr>
              <w:t>Case model supports notes, attachments (DMS-integrated), ad-hoc tasks, and configurable stages. Full audit captures changes.</w:t>
            </w:r>
          </w:p>
        </w:tc>
      </w:tr>
      <w:tr>
        <w:trPr>
          <w:cantSplit/>
        </w:trPr>
        <w:tc>
          <w:tcPr>
            <w:tcW w:type="dxa" w:w="2160"/>
            <w:vAlign w:val="top"/>
          </w:tcPr>
          <w:p>
            <w:r>
              <w:rPr>
                <w:b w:val="0"/>
                <w:sz w:val="20"/>
              </w:rPr>
              <w:t>5.1.c</w:t>
            </w:r>
          </w:p>
        </w:tc>
        <w:tc>
          <w:tcPr>
            <w:tcW w:type="dxa" w:w="2160"/>
            <w:vAlign w:val="top"/>
          </w:tcPr>
          <w:p>
            <w:r>
              <w:rPr>
                <w:b w:val="0"/>
                <w:sz w:val="20"/>
              </w:rPr>
              <w:t>Configurable workqueues, routing/reassignment, workload balancing</w:t>
            </w:r>
          </w:p>
        </w:tc>
        <w:tc>
          <w:tcPr>
            <w:tcW w:type="dxa" w:w="2160"/>
            <w:vAlign w:val="top"/>
          </w:tcPr>
          <w:p>
            <w:r>
              <w:rPr>
                <w:b w:val="0"/>
                <w:sz w:val="20"/>
              </w:rPr>
              <w:t>Compliant</w:t>
            </w:r>
          </w:p>
        </w:tc>
        <w:tc>
          <w:tcPr>
            <w:tcW w:type="dxa" w:w="2160"/>
            <w:vAlign w:val="top"/>
          </w:tcPr>
          <w:p>
            <w:r>
              <w:rPr>
                <w:b w:val="0"/>
                <w:sz w:val="20"/>
              </w:rPr>
              <w:t>Workbaskets + skill/role-based routing, supervisor reassignment, load balancing, prioritization by SLA risk and business priority.</w:t>
            </w:r>
          </w:p>
        </w:tc>
      </w:tr>
      <w:tr>
        <w:trPr>
          <w:cantSplit/>
        </w:trPr>
        <w:tc>
          <w:tcPr>
            <w:tcW w:type="dxa" w:w="2160"/>
            <w:vAlign w:val="top"/>
          </w:tcPr>
          <w:p>
            <w:r>
              <w:rPr>
                <w:b w:val="0"/>
                <w:sz w:val="20"/>
              </w:rPr>
              <w:t>5.2.a</w:t>
            </w:r>
          </w:p>
        </w:tc>
        <w:tc>
          <w:tcPr>
            <w:tcW w:type="dxa" w:w="2160"/>
            <w:vAlign w:val="top"/>
          </w:tcPr>
          <w:p>
            <w:r>
              <w:rPr>
                <w:b w:val="0"/>
                <w:sz w:val="20"/>
              </w:rPr>
              <w:t>Centralized rules management (externalize policies from code)</w:t>
            </w:r>
          </w:p>
        </w:tc>
        <w:tc>
          <w:tcPr>
            <w:tcW w:type="dxa" w:w="2160"/>
            <w:vAlign w:val="top"/>
          </w:tcPr>
          <w:p>
            <w:r>
              <w:rPr>
                <w:b w:val="0"/>
                <w:sz w:val="20"/>
              </w:rPr>
              <w:t>Compliant</w:t>
            </w:r>
          </w:p>
        </w:tc>
        <w:tc>
          <w:tcPr>
            <w:tcW w:type="dxa" w:w="2160"/>
            <w:vAlign w:val="top"/>
          </w:tcPr>
          <w:p>
            <w:r>
              <w:rPr>
                <w:b w:val="0"/>
                <w:sz w:val="20"/>
              </w:rPr>
              <w:t>Rules engine stores policies independent of code; workflows call rules as services with defined inputs/outputs.</w:t>
            </w:r>
          </w:p>
        </w:tc>
      </w:tr>
      <w:tr>
        <w:trPr>
          <w:cantSplit/>
        </w:trPr>
        <w:tc>
          <w:tcPr>
            <w:tcW w:type="dxa" w:w="2160"/>
            <w:vAlign w:val="top"/>
          </w:tcPr>
          <w:p>
            <w:r>
              <w:rPr>
                <w:b w:val="0"/>
                <w:sz w:val="20"/>
              </w:rPr>
              <w:t>5.2.b</w:t>
            </w:r>
          </w:p>
        </w:tc>
        <w:tc>
          <w:tcPr>
            <w:tcW w:type="dxa" w:w="2160"/>
            <w:vAlign w:val="top"/>
          </w:tcPr>
          <w:p>
            <w:r>
              <w:rPr>
                <w:b w:val="0"/>
                <w:sz w:val="20"/>
              </w:rPr>
              <w:t>Versioning, testing, controlled deployment of rules</w:t>
            </w:r>
          </w:p>
        </w:tc>
        <w:tc>
          <w:tcPr>
            <w:tcW w:type="dxa" w:w="2160"/>
            <w:vAlign w:val="top"/>
          </w:tcPr>
          <w:p>
            <w:r>
              <w:rPr>
                <w:b w:val="0"/>
                <w:sz w:val="20"/>
              </w:rPr>
              <w:t>Compliant</w:t>
            </w:r>
          </w:p>
        </w:tc>
        <w:tc>
          <w:tcPr>
            <w:tcW w:type="dxa" w:w="2160"/>
            <w:vAlign w:val="top"/>
          </w:tcPr>
          <w:p>
            <w:r>
              <w:rPr>
                <w:b w:val="0"/>
                <w:sz w:val="20"/>
              </w:rPr>
              <w:t>Rules versioning with test harness and promotion pipeline (Dev-&gt;Test-&gt;Prod) with approvals and rollback.</w:t>
            </w:r>
          </w:p>
        </w:tc>
      </w:tr>
      <w:tr>
        <w:trPr>
          <w:cantSplit/>
        </w:trPr>
        <w:tc>
          <w:tcPr>
            <w:tcW w:type="dxa" w:w="2160"/>
            <w:vAlign w:val="top"/>
          </w:tcPr>
          <w:p>
            <w:r>
              <w:rPr>
                <w:b w:val="0"/>
                <w:sz w:val="20"/>
              </w:rPr>
              <w:t>5.2.c</w:t>
            </w:r>
          </w:p>
        </w:tc>
        <w:tc>
          <w:tcPr>
            <w:tcW w:type="dxa" w:w="2160"/>
            <w:vAlign w:val="top"/>
          </w:tcPr>
          <w:p>
            <w:r>
              <w:rPr>
                <w:b w:val="0"/>
                <w:sz w:val="20"/>
              </w:rPr>
              <w:t>Business users update certain rules under governance</w:t>
            </w:r>
          </w:p>
        </w:tc>
        <w:tc>
          <w:tcPr>
            <w:tcW w:type="dxa" w:w="2160"/>
            <w:vAlign w:val="top"/>
          </w:tcPr>
          <w:p>
            <w:r>
              <w:rPr>
                <w:b w:val="0"/>
                <w:sz w:val="20"/>
              </w:rPr>
              <w:t>Compliant</w:t>
            </w:r>
          </w:p>
        </w:tc>
        <w:tc>
          <w:tcPr>
            <w:tcW w:type="dxa" w:w="2160"/>
            <w:vAlign w:val="top"/>
          </w:tcPr>
          <w:p>
            <w:r>
              <w:rPr>
                <w:b w:val="0"/>
                <w:sz w:val="20"/>
              </w:rPr>
              <w:t>Role-based rule authoring with approval workflow, audit logs, and restricted scope (e.g., thresholds and tables).</w:t>
            </w:r>
          </w:p>
        </w:tc>
      </w:tr>
      <w:tr>
        <w:trPr>
          <w:cantSplit/>
        </w:trPr>
        <w:tc>
          <w:tcPr>
            <w:tcW w:type="dxa" w:w="2160"/>
            <w:vAlign w:val="top"/>
          </w:tcPr>
          <w:p>
            <w:r>
              <w:rPr>
                <w:b w:val="0"/>
                <w:sz w:val="20"/>
              </w:rPr>
              <w:t>5.3.a</w:t>
            </w:r>
          </w:p>
        </w:tc>
        <w:tc>
          <w:tcPr>
            <w:tcW w:type="dxa" w:w="2160"/>
            <w:vAlign w:val="top"/>
          </w:tcPr>
          <w:p>
            <w:r>
              <w:rPr>
                <w:b w:val="0"/>
                <w:sz w:val="20"/>
              </w:rPr>
              <w:t>Web-based responsive UI via standard browsers</w:t>
            </w:r>
          </w:p>
        </w:tc>
        <w:tc>
          <w:tcPr>
            <w:tcW w:type="dxa" w:w="2160"/>
            <w:vAlign w:val="top"/>
          </w:tcPr>
          <w:p>
            <w:r>
              <w:rPr>
                <w:b w:val="0"/>
                <w:sz w:val="20"/>
              </w:rPr>
              <w:t>Compliant</w:t>
            </w:r>
          </w:p>
        </w:tc>
        <w:tc>
          <w:tcPr>
            <w:tcW w:type="dxa" w:w="2160"/>
            <w:vAlign w:val="top"/>
          </w:tcPr>
          <w:p>
            <w:r>
              <w:rPr>
                <w:b w:val="0"/>
                <w:sz w:val="20"/>
              </w:rPr>
              <w:t>Browser-based UIs for internal and external users; responsive layouts for common screen sizes.</w:t>
            </w:r>
          </w:p>
        </w:tc>
      </w:tr>
      <w:tr>
        <w:trPr>
          <w:cantSplit/>
        </w:trPr>
        <w:tc>
          <w:tcPr>
            <w:tcW w:type="dxa" w:w="2160"/>
            <w:vAlign w:val="top"/>
          </w:tcPr>
          <w:p>
            <w:r>
              <w:rPr>
                <w:b w:val="0"/>
                <w:sz w:val="20"/>
              </w:rPr>
              <w:t>5.3.b</w:t>
            </w:r>
          </w:p>
        </w:tc>
        <w:tc>
          <w:tcPr>
            <w:tcW w:type="dxa" w:w="2160"/>
            <w:vAlign w:val="top"/>
          </w:tcPr>
          <w:p>
            <w:r>
              <w:rPr>
                <w:b w:val="0"/>
                <w:sz w:val="20"/>
              </w:rPr>
              <w:t>Guided steps + contextual help</w:t>
            </w:r>
          </w:p>
        </w:tc>
        <w:tc>
          <w:tcPr>
            <w:tcW w:type="dxa" w:w="2160"/>
            <w:vAlign w:val="top"/>
          </w:tcPr>
          <w:p>
            <w:r>
              <w:rPr>
                <w:b w:val="0"/>
                <w:sz w:val="20"/>
              </w:rPr>
              <w:t>Compliant</w:t>
            </w:r>
          </w:p>
        </w:tc>
        <w:tc>
          <w:tcPr>
            <w:tcW w:type="dxa" w:w="2160"/>
            <w:vAlign w:val="top"/>
          </w:tcPr>
          <w:p>
            <w:r>
              <w:rPr>
                <w:b w:val="0"/>
                <w:sz w:val="20"/>
              </w:rPr>
              <w:t>Guided checklists, inline validation, tooltips, and context panels per task type.</w:t>
            </w:r>
          </w:p>
        </w:tc>
      </w:tr>
      <w:tr>
        <w:trPr>
          <w:cantSplit/>
        </w:trPr>
        <w:tc>
          <w:tcPr>
            <w:tcW w:type="dxa" w:w="2160"/>
            <w:vAlign w:val="top"/>
          </w:tcPr>
          <w:p>
            <w:r>
              <w:rPr>
                <w:b w:val="0"/>
                <w:sz w:val="20"/>
              </w:rPr>
              <w:t>5.3.c</w:t>
            </w:r>
          </w:p>
        </w:tc>
        <w:tc>
          <w:tcPr>
            <w:tcW w:type="dxa" w:w="2160"/>
            <w:vAlign w:val="top"/>
          </w:tcPr>
          <w:p>
            <w:r>
              <w:rPr>
                <w:b w:val="0"/>
                <w:sz w:val="20"/>
              </w:rPr>
              <w:t>Self-service portals/forms for external users to submit + track</w:t>
            </w:r>
          </w:p>
        </w:tc>
        <w:tc>
          <w:tcPr>
            <w:tcW w:type="dxa" w:w="2160"/>
            <w:vAlign w:val="top"/>
          </w:tcPr>
          <w:p>
            <w:r>
              <w:rPr>
                <w:b w:val="0"/>
                <w:sz w:val="20"/>
              </w:rPr>
              <w:t>Compliant</w:t>
            </w:r>
          </w:p>
        </w:tc>
        <w:tc>
          <w:tcPr>
            <w:tcW w:type="dxa" w:w="2160"/>
            <w:vAlign w:val="top"/>
          </w:tcPr>
          <w:p>
            <w:r>
              <w:rPr>
                <w:b w:val="0"/>
                <w:sz w:val="20"/>
              </w:rPr>
              <w:t>External portal supports authenticated submission, document upload, status tracking, and notifications.</w:t>
            </w:r>
          </w:p>
        </w:tc>
      </w:tr>
      <w:tr>
        <w:trPr>
          <w:cantSplit/>
        </w:trPr>
        <w:tc>
          <w:tcPr>
            <w:tcW w:type="dxa" w:w="2160"/>
            <w:vAlign w:val="top"/>
          </w:tcPr>
          <w:p>
            <w:r>
              <w:rPr>
                <w:b w:val="0"/>
                <w:sz w:val="20"/>
              </w:rPr>
              <w:t>5.4.a</w:t>
            </w:r>
          </w:p>
        </w:tc>
        <w:tc>
          <w:tcPr>
            <w:tcW w:type="dxa" w:w="2160"/>
            <w:vAlign w:val="top"/>
          </w:tcPr>
          <w:p>
            <w:r>
              <w:rPr>
                <w:b w:val="0"/>
                <w:sz w:val="20"/>
              </w:rPr>
              <w:t>Define + monitor SLAs per process/case type</w:t>
            </w:r>
          </w:p>
        </w:tc>
        <w:tc>
          <w:tcPr>
            <w:tcW w:type="dxa" w:w="2160"/>
            <w:vAlign w:val="top"/>
          </w:tcPr>
          <w:p>
            <w:r>
              <w:rPr>
                <w:b w:val="0"/>
                <w:sz w:val="20"/>
              </w:rPr>
              <w:t>Compliant</w:t>
            </w:r>
          </w:p>
        </w:tc>
        <w:tc>
          <w:tcPr>
            <w:tcW w:type="dxa" w:w="2160"/>
            <w:vAlign w:val="top"/>
          </w:tcPr>
          <w:p>
            <w:r>
              <w:rPr>
                <w:b w:val="0"/>
                <w:sz w:val="20"/>
              </w:rPr>
              <w:t>SLA timers configurable at case type/stage/step with business-hour calendars and reporting.</w:t>
            </w:r>
          </w:p>
        </w:tc>
      </w:tr>
      <w:tr>
        <w:trPr>
          <w:cantSplit/>
        </w:trPr>
        <w:tc>
          <w:tcPr>
            <w:tcW w:type="dxa" w:w="2160"/>
            <w:vAlign w:val="top"/>
          </w:tcPr>
          <w:p>
            <w:r>
              <w:rPr>
                <w:b w:val="0"/>
                <w:sz w:val="20"/>
              </w:rPr>
              <w:t>5.4.b</w:t>
            </w:r>
          </w:p>
        </w:tc>
        <w:tc>
          <w:tcPr>
            <w:tcW w:type="dxa" w:w="2160"/>
            <w:vAlign w:val="top"/>
          </w:tcPr>
          <w:p>
            <w:r>
              <w:rPr>
                <w:b w:val="0"/>
                <w:sz w:val="20"/>
              </w:rPr>
              <w:t>Automated escalations, notifications, reminders</w:t>
            </w:r>
          </w:p>
        </w:tc>
        <w:tc>
          <w:tcPr>
            <w:tcW w:type="dxa" w:w="2160"/>
            <w:vAlign w:val="top"/>
          </w:tcPr>
          <w:p>
            <w:r>
              <w:rPr>
                <w:b w:val="0"/>
                <w:sz w:val="20"/>
              </w:rPr>
              <w:t>Compliant</w:t>
            </w:r>
          </w:p>
        </w:tc>
        <w:tc>
          <w:tcPr>
            <w:tcW w:type="dxa" w:w="2160"/>
            <w:vAlign w:val="top"/>
          </w:tcPr>
          <w:p>
            <w:r>
              <w:rPr>
                <w:b w:val="0"/>
                <w:sz w:val="20"/>
              </w:rPr>
              <w:t>Event-driven notifications via email (and optional SMS) plus in-app alerts; escalations to supervisors/workbaskets.</w:t>
            </w:r>
          </w:p>
        </w:tc>
      </w:tr>
      <w:tr>
        <w:trPr>
          <w:cantSplit/>
        </w:trPr>
        <w:tc>
          <w:tcPr>
            <w:tcW w:type="dxa" w:w="2160"/>
            <w:vAlign w:val="top"/>
          </w:tcPr>
          <w:p>
            <w:r>
              <w:rPr>
                <w:b w:val="0"/>
                <w:sz w:val="20"/>
              </w:rPr>
              <w:t>5.4.c</w:t>
            </w:r>
          </w:p>
        </w:tc>
        <w:tc>
          <w:tcPr>
            <w:tcW w:type="dxa" w:w="2160"/>
            <w:vAlign w:val="top"/>
          </w:tcPr>
          <w:p>
            <w:r>
              <w:rPr>
                <w:b w:val="0"/>
                <w:sz w:val="20"/>
              </w:rPr>
              <w:t>Real-time dashboards for supervisors/management</w:t>
            </w:r>
          </w:p>
        </w:tc>
        <w:tc>
          <w:tcPr>
            <w:tcW w:type="dxa" w:w="2160"/>
            <w:vAlign w:val="top"/>
          </w:tcPr>
          <w:p>
            <w:r>
              <w:rPr>
                <w:b w:val="0"/>
                <w:sz w:val="20"/>
              </w:rPr>
              <w:t>Compliant</w:t>
            </w:r>
          </w:p>
        </w:tc>
        <w:tc>
          <w:tcPr>
            <w:tcW w:type="dxa" w:w="2160"/>
            <w:vAlign w:val="top"/>
          </w:tcPr>
          <w:p>
            <w:r>
              <w:rPr>
                <w:b w:val="0"/>
                <w:sz w:val="20"/>
              </w:rPr>
              <w:t>Live dashboards for volumes, SLA risk, workload, aging, throughput with drill-down to tasks/cases.</w:t>
            </w:r>
          </w:p>
        </w:tc>
      </w:tr>
    </w:tbl>
    <w:p/>
    <w:p>
      <w:pPr>
        <w:pStyle w:val="Heading2"/>
      </w:pPr>
      <w:r>
        <w:t>8.2 Technical Requirements Compliance (Example Mapping)</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cantSplit/>
          <w:tblHeader w:val="1"/>
        </w:trPr>
        <w:tc>
          <w:tcPr>
            <w:tcW w:type="dxa" w:w="1080"/>
            <w:vAlign w:val="center"/>
          </w:tcPr>
          <w:p>
            <w:r>
              <w:rPr>
                <w:b/>
                <w:sz w:val="20"/>
              </w:rPr>
              <w:t>ID</w:t>
            </w:r>
          </w:p>
        </w:tc>
        <w:tc>
          <w:tcPr>
            <w:tcW w:type="dxa" w:w="2952"/>
            <w:vAlign w:val="center"/>
          </w:tcPr>
          <w:p>
            <w:r>
              <w:rPr>
                <w:b/>
                <w:sz w:val="20"/>
              </w:rPr>
              <w:t>Requirement</w:t>
            </w:r>
          </w:p>
        </w:tc>
        <w:tc>
          <w:tcPr>
            <w:tcW w:type="dxa" w:w="1368"/>
            <w:vAlign w:val="center"/>
          </w:tcPr>
          <w:p>
            <w:r>
              <w:rPr>
                <w:b/>
                <w:sz w:val="20"/>
              </w:rPr>
              <w:t>Compliance</w:t>
            </w:r>
          </w:p>
        </w:tc>
        <w:tc>
          <w:tcPr>
            <w:tcW w:type="dxa" w:w="3960"/>
            <w:vAlign w:val="center"/>
          </w:tcPr>
          <w:p>
            <w:r>
              <w:rPr>
                <w:b/>
                <w:sz w:val="20"/>
              </w:rPr>
              <w:t>Response / How we meet it</w:t>
            </w:r>
          </w:p>
        </w:tc>
      </w:tr>
      <w:tr>
        <w:trPr>
          <w:cantSplit/>
        </w:trPr>
        <w:tc>
          <w:tcPr>
            <w:tcW w:type="dxa" w:w="2160"/>
            <w:vAlign w:val="top"/>
          </w:tcPr>
          <w:p>
            <w:r>
              <w:rPr>
                <w:b w:val="0"/>
                <w:sz w:val="20"/>
              </w:rPr>
              <w:t>6.1.a</w:t>
            </w:r>
          </w:p>
        </w:tc>
        <w:tc>
          <w:tcPr>
            <w:tcW w:type="dxa" w:w="2160"/>
            <w:vAlign w:val="top"/>
          </w:tcPr>
          <w:p>
            <w:r>
              <w:rPr>
                <w:b w:val="0"/>
                <w:sz w:val="20"/>
              </w:rPr>
              <w:t>Proven enterprise-grade BPM suite for government/large enterprises</w:t>
            </w:r>
          </w:p>
        </w:tc>
        <w:tc>
          <w:tcPr>
            <w:tcW w:type="dxa" w:w="2160"/>
            <w:vAlign w:val="top"/>
          </w:tcPr>
          <w:p>
            <w:r>
              <w:rPr>
                <w:b w:val="0"/>
                <w:sz w:val="20"/>
              </w:rPr>
              <w:t>Compliant</w:t>
            </w:r>
          </w:p>
        </w:tc>
        <w:tc>
          <w:tcPr>
            <w:tcW w:type="dxa" w:w="2160"/>
            <w:vAlign w:val="top"/>
          </w:tcPr>
          <w:p>
            <w:r>
              <w:rPr>
                <w:b w:val="0"/>
                <w:sz w:val="20"/>
              </w:rPr>
              <w:t>Enterprise BPM features: HA, audit, RBAC, scalability, governance controls consistent with government requirements.</w:t>
            </w:r>
          </w:p>
        </w:tc>
      </w:tr>
      <w:tr>
        <w:trPr>
          <w:cantSplit/>
        </w:trPr>
        <w:tc>
          <w:tcPr>
            <w:tcW w:type="dxa" w:w="2160"/>
            <w:vAlign w:val="top"/>
          </w:tcPr>
          <w:p>
            <w:r>
              <w:rPr>
                <w:b w:val="0"/>
                <w:sz w:val="20"/>
              </w:rPr>
              <w:t>6.1.b</w:t>
            </w:r>
          </w:p>
        </w:tc>
        <w:tc>
          <w:tcPr>
            <w:tcW w:type="dxa" w:w="2160"/>
            <w:vAlign w:val="top"/>
          </w:tcPr>
          <w:p>
            <w:r>
              <w:rPr>
                <w:b w:val="0"/>
                <w:sz w:val="20"/>
              </w:rPr>
              <w:t>Low-code / model-driven configuration</w:t>
            </w:r>
          </w:p>
        </w:tc>
        <w:tc>
          <w:tcPr>
            <w:tcW w:type="dxa" w:w="2160"/>
            <w:vAlign w:val="top"/>
          </w:tcPr>
          <w:p>
            <w:r>
              <w:rPr>
                <w:b w:val="0"/>
                <w:sz w:val="20"/>
              </w:rPr>
              <w:t>Compliant</w:t>
            </w:r>
          </w:p>
        </w:tc>
        <w:tc>
          <w:tcPr>
            <w:tcW w:type="dxa" w:w="2160"/>
            <w:vAlign w:val="top"/>
          </w:tcPr>
          <w:p>
            <w:r>
              <w:rPr>
                <w:b w:val="0"/>
                <w:sz w:val="20"/>
              </w:rPr>
              <w:t>Processes, forms, rules, SLAs and routing configured through model-driven designers; custom code minimized.</w:t>
            </w:r>
          </w:p>
        </w:tc>
      </w:tr>
      <w:tr>
        <w:trPr>
          <w:cantSplit/>
        </w:trPr>
        <w:tc>
          <w:tcPr>
            <w:tcW w:type="dxa" w:w="2160"/>
            <w:vAlign w:val="top"/>
          </w:tcPr>
          <w:p>
            <w:r>
              <w:rPr>
                <w:b w:val="0"/>
                <w:sz w:val="20"/>
              </w:rPr>
              <w:t>6.1.c</w:t>
            </w:r>
          </w:p>
        </w:tc>
        <w:tc>
          <w:tcPr>
            <w:tcW w:type="dxa" w:w="2160"/>
            <w:vAlign w:val="top"/>
          </w:tcPr>
          <w:p>
            <w:r>
              <w:rPr>
                <w:b w:val="0"/>
                <w:sz w:val="20"/>
              </w:rPr>
              <w:t>Deployable on-prem, cloud, or hybrid</w:t>
            </w:r>
          </w:p>
        </w:tc>
        <w:tc>
          <w:tcPr>
            <w:tcW w:type="dxa" w:w="2160"/>
            <w:vAlign w:val="top"/>
          </w:tcPr>
          <w:p>
            <w:r>
              <w:rPr>
                <w:b w:val="0"/>
                <w:sz w:val="20"/>
              </w:rPr>
              <w:t>Compliant</w:t>
            </w:r>
          </w:p>
        </w:tc>
        <w:tc>
          <w:tcPr>
            <w:tcW w:type="dxa" w:w="2160"/>
            <w:vAlign w:val="top"/>
          </w:tcPr>
          <w:p>
            <w:r>
              <w:rPr>
                <w:b w:val="0"/>
                <w:sz w:val="20"/>
              </w:rPr>
              <w:t>Supports on-prem, cloud, or hybrid deployment; recommended architecture keeps options open for MTI future choices.</w:t>
            </w:r>
          </w:p>
        </w:tc>
      </w:tr>
      <w:tr>
        <w:trPr>
          <w:cantSplit/>
        </w:trPr>
        <w:tc>
          <w:tcPr>
            <w:tcW w:type="dxa" w:w="2160"/>
            <w:vAlign w:val="top"/>
          </w:tcPr>
          <w:p>
            <w:r>
              <w:rPr>
                <w:b w:val="0"/>
                <w:sz w:val="20"/>
              </w:rPr>
              <w:t>6.1.d</w:t>
            </w:r>
          </w:p>
        </w:tc>
        <w:tc>
          <w:tcPr>
            <w:tcW w:type="dxa" w:w="2160"/>
            <w:vAlign w:val="top"/>
          </w:tcPr>
          <w:p>
            <w:r>
              <w:rPr>
                <w:b w:val="0"/>
                <w:sz w:val="20"/>
              </w:rPr>
              <w:t>High availability and scalability</w:t>
            </w:r>
          </w:p>
        </w:tc>
        <w:tc>
          <w:tcPr>
            <w:tcW w:type="dxa" w:w="2160"/>
            <w:vAlign w:val="top"/>
          </w:tcPr>
          <w:p>
            <w:r>
              <w:rPr>
                <w:b w:val="0"/>
                <w:sz w:val="20"/>
              </w:rPr>
              <w:t>Compliant</w:t>
            </w:r>
          </w:p>
        </w:tc>
        <w:tc>
          <w:tcPr>
            <w:tcW w:type="dxa" w:w="2160"/>
            <w:vAlign w:val="top"/>
          </w:tcPr>
          <w:p>
            <w:r>
              <w:rPr>
                <w:b w:val="0"/>
                <w:sz w:val="20"/>
              </w:rPr>
              <w:t>Clustered application tier with load balancing, database HA, and DR options; RPO/RTO defined with MTI.</w:t>
            </w:r>
          </w:p>
        </w:tc>
      </w:tr>
      <w:tr>
        <w:trPr>
          <w:cantSplit/>
        </w:trPr>
        <w:tc>
          <w:tcPr>
            <w:tcW w:type="dxa" w:w="2160"/>
            <w:vAlign w:val="top"/>
          </w:tcPr>
          <w:p>
            <w:r>
              <w:rPr>
                <w:b w:val="0"/>
                <w:sz w:val="20"/>
              </w:rPr>
              <w:t>6.2.a</w:t>
            </w:r>
          </w:p>
        </w:tc>
        <w:tc>
          <w:tcPr>
            <w:tcW w:type="dxa" w:w="2160"/>
            <w:vAlign w:val="top"/>
          </w:tcPr>
          <w:p>
            <w:r>
              <w:rPr>
                <w:b w:val="0"/>
                <w:sz w:val="20"/>
              </w:rPr>
              <w:t>Standard integration mechanisms (REST, message queues, event-based)</w:t>
            </w:r>
          </w:p>
        </w:tc>
        <w:tc>
          <w:tcPr>
            <w:tcW w:type="dxa" w:w="2160"/>
            <w:vAlign w:val="top"/>
          </w:tcPr>
          <w:p>
            <w:r>
              <w:rPr>
                <w:b w:val="0"/>
                <w:sz w:val="20"/>
              </w:rPr>
              <w:t>Compliant</w:t>
            </w:r>
          </w:p>
        </w:tc>
        <w:tc>
          <w:tcPr>
            <w:tcW w:type="dxa" w:w="2160"/>
            <w:vAlign w:val="top"/>
          </w:tcPr>
          <w:p>
            <w:r>
              <w:rPr>
                <w:b w:val="0"/>
                <w:sz w:val="20"/>
              </w:rPr>
              <w:t>REST for synchronous calls; messaging/events for async, resilience, and decoupling.</w:t>
            </w:r>
          </w:p>
        </w:tc>
      </w:tr>
      <w:tr>
        <w:trPr>
          <w:cantSplit/>
        </w:trPr>
        <w:tc>
          <w:tcPr>
            <w:tcW w:type="dxa" w:w="2160"/>
            <w:vAlign w:val="top"/>
          </w:tcPr>
          <w:p>
            <w:r>
              <w:rPr>
                <w:b w:val="0"/>
                <w:sz w:val="20"/>
              </w:rPr>
              <w:t>6.2.b</w:t>
            </w:r>
          </w:p>
        </w:tc>
        <w:tc>
          <w:tcPr>
            <w:tcW w:type="dxa" w:w="2160"/>
            <w:vAlign w:val="top"/>
          </w:tcPr>
          <w:p>
            <w:r>
              <w:rPr>
                <w:b w:val="0"/>
                <w:sz w:val="20"/>
              </w:rPr>
              <w:t>Secure integration with identity management + SSO</w:t>
            </w:r>
          </w:p>
        </w:tc>
        <w:tc>
          <w:tcPr>
            <w:tcW w:type="dxa" w:w="2160"/>
            <w:vAlign w:val="top"/>
          </w:tcPr>
          <w:p>
            <w:r>
              <w:rPr>
                <w:b w:val="0"/>
                <w:sz w:val="20"/>
              </w:rPr>
              <w:t>Compliant</w:t>
            </w:r>
          </w:p>
        </w:tc>
        <w:tc>
          <w:tcPr>
            <w:tcW w:type="dxa" w:w="2160"/>
            <w:vAlign w:val="top"/>
          </w:tcPr>
          <w:p>
            <w:r>
              <w:rPr>
                <w:b w:val="0"/>
                <w:sz w:val="20"/>
              </w:rPr>
              <w:t>AD/LDAP integration and SSO (SAML/OIDC), with RBAC mapped to groups/roles.</w:t>
            </w:r>
          </w:p>
        </w:tc>
      </w:tr>
      <w:tr>
        <w:trPr>
          <w:cantSplit/>
        </w:trPr>
        <w:tc>
          <w:tcPr>
            <w:tcW w:type="dxa" w:w="2160"/>
            <w:vAlign w:val="top"/>
          </w:tcPr>
          <w:p>
            <w:r>
              <w:rPr>
                <w:b w:val="0"/>
                <w:sz w:val="20"/>
              </w:rPr>
              <w:t>6.2.c</w:t>
            </w:r>
          </w:p>
        </w:tc>
        <w:tc>
          <w:tcPr>
            <w:tcW w:type="dxa" w:w="2160"/>
            <w:vAlign w:val="top"/>
          </w:tcPr>
          <w:p>
            <w:r>
              <w:rPr>
                <w:b w:val="0"/>
                <w:sz w:val="20"/>
              </w:rPr>
              <w:t>Integrate with document management + email systems</w:t>
            </w:r>
          </w:p>
        </w:tc>
        <w:tc>
          <w:tcPr>
            <w:tcW w:type="dxa" w:w="2160"/>
            <w:vAlign w:val="top"/>
          </w:tcPr>
          <w:p>
            <w:r>
              <w:rPr>
                <w:b w:val="0"/>
                <w:sz w:val="20"/>
              </w:rPr>
              <w:t>Compliant</w:t>
            </w:r>
          </w:p>
        </w:tc>
        <w:tc>
          <w:tcPr>
            <w:tcW w:type="dxa" w:w="2160"/>
            <w:vAlign w:val="top"/>
          </w:tcPr>
          <w:p>
            <w:r>
              <w:rPr>
                <w:b w:val="0"/>
                <w:sz w:val="20"/>
              </w:rPr>
              <w:t>DMS connector for documents/metadata; email integration for notifications and optional inbound case creation.</w:t>
            </w:r>
          </w:p>
        </w:tc>
      </w:tr>
      <w:tr>
        <w:trPr>
          <w:cantSplit/>
        </w:trPr>
        <w:tc>
          <w:tcPr>
            <w:tcW w:type="dxa" w:w="2160"/>
            <w:vAlign w:val="top"/>
          </w:tcPr>
          <w:p>
            <w:r>
              <w:rPr>
                <w:b w:val="0"/>
                <w:sz w:val="20"/>
              </w:rPr>
              <w:t>6.3.a</w:t>
            </w:r>
          </w:p>
        </w:tc>
        <w:tc>
          <w:tcPr>
            <w:tcW w:type="dxa" w:w="2160"/>
            <w:vAlign w:val="top"/>
          </w:tcPr>
          <w:p>
            <w:r>
              <w:rPr>
                <w:b w:val="0"/>
                <w:sz w:val="20"/>
              </w:rPr>
              <w:t>RBAC with fine-grained permissions</w:t>
            </w:r>
          </w:p>
        </w:tc>
        <w:tc>
          <w:tcPr>
            <w:tcW w:type="dxa" w:w="2160"/>
            <w:vAlign w:val="top"/>
          </w:tcPr>
          <w:p>
            <w:r>
              <w:rPr>
                <w:b w:val="0"/>
                <w:sz w:val="20"/>
              </w:rPr>
              <w:t>Compliant</w:t>
            </w:r>
          </w:p>
        </w:tc>
        <w:tc>
          <w:tcPr>
            <w:tcW w:type="dxa" w:w="2160"/>
            <w:vAlign w:val="top"/>
          </w:tcPr>
          <w:p>
            <w:r>
              <w:rPr>
                <w:b w:val="0"/>
                <w:sz w:val="20"/>
              </w:rPr>
              <w:t>Permissions at case type, field, task action, and administrative function level; supports segregation of duties.</w:t>
            </w:r>
          </w:p>
        </w:tc>
      </w:tr>
      <w:tr>
        <w:trPr>
          <w:cantSplit/>
        </w:trPr>
        <w:tc>
          <w:tcPr>
            <w:tcW w:type="dxa" w:w="2160"/>
            <w:vAlign w:val="top"/>
          </w:tcPr>
          <w:p>
            <w:r>
              <w:rPr>
                <w:b w:val="0"/>
                <w:sz w:val="20"/>
              </w:rPr>
              <w:t>6.3.b</w:t>
            </w:r>
          </w:p>
        </w:tc>
        <w:tc>
          <w:tcPr>
            <w:tcW w:type="dxa" w:w="2160"/>
            <w:vAlign w:val="top"/>
          </w:tcPr>
          <w:p>
            <w:r>
              <w:rPr>
                <w:b w:val="0"/>
                <w:sz w:val="20"/>
              </w:rPr>
              <w:t>Full audit logging of key user actions and process changes</w:t>
            </w:r>
          </w:p>
        </w:tc>
        <w:tc>
          <w:tcPr>
            <w:tcW w:type="dxa" w:w="2160"/>
            <w:vAlign w:val="top"/>
          </w:tcPr>
          <w:p>
            <w:r>
              <w:rPr>
                <w:b w:val="0"/>
                <w:sz w:val="20"/>
              </w:rPr>
              <w:t>Compliant</w:t>
            </w:r>
          </w:p>
        </w:tc>
        <w:tc>
          <w:tcPr>
            <w:tcW w:type="dxa" w:w="2160"/>
            <w:vAlign w:val="top"/>
          </w:tcPr>
          <w:p>
            <w:r>
              <w:rPr>
                <w:b w:val="0"/>
                <w:sz w:val="20"/>
              </w:rPr>
              <w:t>Audit events for user actions, case changes, decisions, routing changes, and admin configuration; exportable.</w:t>
            </w:r>
          </w:p>
        </w:tc>
      </w:tr>
      <w:tr>
        <w:trPr>
          <w:cantSplit/>
        </w:trPr>
        <w:tc>
          <w:tcPr>
            <w:tcW w:type="dxa" w:w="2160"/>
            <w:vAlign w:val="top"/>
          </w:tcPr>
          <w:p>
            <w:r>
              <w:rPr>
                <w:b w:val="0"/>
                <w:sz w:val="20"/>
              </w:rPr>
              <w:t>6.3.c</w:t>
            </w:r>
          </w:p>
        </w:tc>
        <w:tc>
          <w:tcPr>
            <w:tcW w:type="dxa" w:w="2160"/>
            <w:vAlign w:val="top"/>
          </w:tcPr>
          <w:p>
            <w:r>
              <w:rPr>
                <w:b w:val="0"/>
                <w:sz w:val="20"/>
              </w:rPr>
              <w:t>Compliance with data protection and cybersecurity requirements</w:t>
            </w:r>
          </w:p>
        </w:tc>
        <w:tc>
          <w:tcPr>
            <w:tcW w:type="dxa" w:w="2160"/>
            <w:vAlign w:val="top"/>
          </w:tcPr>
          <w:p>
            <w:r>
              <w:rPr>
                <w:b w:val="0"/>
                <w:sz w:val="20"/>
              </w:rPr>
              <w:t>Compliant</w:t>
            </w:r>
          </w:p>
        </w:tc>
        <w:tc>
          <w:tcPr>
            <w:tcW w:type="dxa" w:w="2160"/>
            <w:vAlign w:val="top"/>
          </w:tcPr>
          <w:p>
            <w:r>
              <w:rPr>
                <w:b w:val="0"/>
                <w:sz w:val="20"/>
              </w:rPr>
              <w:t>Encryption, least-privilege RBAC, logging, environment separation; controls mapped to MTI regulatory requirements during discovery.</w:t>
            </w:r>
          </w:p>
        </w:tc>
      </w:tr>
      <w:tr>
        <w:trPr>
          <w:cantSplit/>
        </w:trPr>
        <w:tc>
          <w:tcPr>
            <w:tcW w:type="dxa" w:w="2160"/>
            <w:vAlign w:val="top"/>
          </w:tcPr>
          <w:p>
            <w:r>
              <w:rPr>
                <w:b w:val="0"/>
                <w:sz w:val="20"/>
              </w:rPr>
              <w:t>6.3.d</w:t>
            </w:r>
          </w:p>
        </w:tc>
        <w:tc>
          <w:tcPr>
            <w:tcW w:type="dxa" w:w="2160"/>
            <w:vAlign w:val="top"/>
          </w:tcPr>
          <w:p>
            <w:r>
              <w:rPr>
                <w:b w:val="0"/>
                <w:sz w:val="20"/>
              </w:rPr>
              <w:t>Environment separation for Dev/Test/Prod</w:t>
            </w:r>
          </w:p>
        </w:tc>
        <w:tc>
          <w:tcPr>
            <w:tcW w:type="dxa" w:w="2160"/>
            <w:vAlign w:val="top"/>
          </w:tcPr>
          <w:p>
            <w:r>
              <w:rPr>
                <w:b w:val="0"/>
                <w:sz w:val="20"/>
              </w:rPr>
              <w:t>Compliant</w:t>
            </w:r>
          </w:p>
        </w:tc>
        <w:tc>
          <w:tcPr>
            <w:tcW w:type="dxa" w:w="2160"/>
            <w:vAlign w:val="top"/>
          </w:tcPr>
          <w:p>
            <w:r>
              <w:rPr>
                <w:b w:val="0"/>
                <w:sz w:val="20"/>
              </w:rPr>
              <w:t>Separate environments with controlled promotion pipelines and versioned deployment packages.</w:t>
            </w:r>
          </w:p>
        </w:tc>
      </w:tr>
    </w:tbl>
    <w:p/>
    <w:p>
      <w:pPr>
        <w:pStyle w:val="Heading1"/>
      </w:pPr>
      <w:r>
        <w:t>9. Assumptions, Dependencies, and Risks</w:t>
      </w:r>
    </w:p>
    <w:p>
      <w:pPr>
        <w:pStyle w:val="Heading2"/>
      </w:pPr>
      <w:r>
        <w:t>9.1 Assumptions</w:t>
      </w:r>
    </w:p>
    <w:p>
      <w:pPr>
        <w:pStyle w:val="ListBullet"/>
      </w:pPr>
      <w:r>
        <w:t>MTI will confirm the target deployment model (on-prem, cloud, hybrid) and provide required infrastructure access and security approvals.</w:t>
      </w:r>
    </w:p>
    <w:p>
      <w:pPr>
        <w:pStyle w:val="ListBullet"/>
      </w:pPr>
      <w:r>
        <w:t>MTI will nominate process owners and SMEs for workshops and UAT.</w:t>
      </w:r>
    </w:p>
    <w:p>
      <w:pPr>
        <w:pStyle w:val="ListBullet"/>
      </w:pPr>
      <w:r>
        <w:t>MTI will provide integration endpoints and technical contacts for identity, document management, email, and line-of-business systems.</w:t>
      </w:r>
    </w:p>
    <w:p>
      <w:pPr>
        <w:pStyle w:val="Heading2"/>
      </w:pPr>
      <w:r>
        <w:t>9.2 Key Dependencies</w:t>
      </w:r>
    </w:p>
    <w:p>
      <w:pPr>
        <w:pStyle w:val="ListBullet"/>
      </w:pPr>
      <w:r>
        <w:t>Identity and SSO configuration readiness (AD groups, SAML/OIDC parameters).</w:t>
      </w:r>
    </w:p>
    <w:p>
      <w:pPr>
        <w:pStyle w:val="ListBullet"/>
      </w:pPr>
      <w:r>
        <w:t>Network and security approvals for API connectivity between the BPM platform and MTI systems.</w:t>
      </w:r>
    </w:p>
    <w:p>
      <w:pPr>
        <w:pStyle w:val="ListBullet"/>
      </w:pPr>
      <w:r>
        <w:t>Data quality and completeness for any migration scope.</w:t>
      </w:r>
    </w:p>
    <w:p>
      <w:pPr>
        <w:pStyle w:val="Heading2"/>
      </w:pPr>
      <w:r>
        <w:t>9.3 Risks and Mitigations</w:t>
      </w:r>
    </w:p>
    <w:p>
      <w:r>
        <w:rPr>
          <w:b/>
        </w:rPr>
        <w:t xml:space="preserve">Risk: </w:t>
      </w:r>
      <w:r>
        <w:t>Scope creep across many processes early</w:t>
      </w:r>
    </w:p>
    <w:p>
      <w:r>
        <w:rPr>
          <w:b/>
        </w:rPr>
        <w:t xml:space="preserve">Mitigation: </w:t>
      </w:r>
      <w:r>
        <w:t>Deliver an MVP for 1–2 processes first; phased onboarding roadmap and backlog governance.</w:t>
      </w:r>
    </w:p>
    <w:p>
      <w:r>
        <w:rPr>
          <w:b/>
        </w:rPr>
        <w:t xml:space="preserve">Risk: </w:t>
      </w:r>
      <w:r>
        <w:t>Legacy data quality issues</w:t>
      </w:r>
    </w:p>
    <w:p>
      <w:r>
        <w:rPr>
          <w:b/>
        </w:rPr>
        <w:t xml:space="preserve">Mitigation: </w:t>
      </w:r>
      <w:r>
        <w:t>Early profiling, cleansing rules, reconciliation reports, phased migration or scope reduction.</w:t>
      </w:r>
    </w:p>
    <w:p>
      <w:r>
        <w:rPr>
          <w:b/>
        </w:rPr>
        <w:t xml:space="preserve">Risk: </w:t>
      </w:r>
      <w:r>
        <w:t>Slow security approvals</w:t>
      </w:r>
    </w:p>
    <w:p>
      <w:r>
        <w:rPr>
          <w:b/>
        </w:rPr>
        <w:t xml:space="preserve">Mitigation: </w:t>
      </w:r>
      <w:r>
        <w:t>Security architecture workshops early; use pre-approved patterns; stage environments to de-risk approvals.</w:t>
      </w:r>
    </w:p>
    <w:p>
      <w:pPr>
        <w:pStyle w:val="Heading1"/>
      </w:pPr>
      <w:r>
        <w:t>10. Support and Maintenance Model (Including SLAs)</w:t>
      </w:r>
    </w:p>
    <w:p>
      <w:r>
        <w:t>We provide at least 3 years of post go-live support and maintenance including incident management, patching, and platform upgrades.</w:t>
      </w:r>
    </w:p>
    <w:p>
      <w:pPr>
        <w:pStyle w:val="Heading2"/>
      </w:pPr>
      <w:r>
        <w:t>10.1 Support Tiers</w:t>
      </w:r>
    </w:p>
    <w:p>
      <w:pPr>
        <w:pStyle w:val="ListBullet"/>
      </w:pPr>
      <w:r>
        <w:t>L2 (Application Support): workflow/config issues, user access troubleshooting, portal issues, minor fixes.</w:t>
      </w:r>
    </w:p>
    <w:p>
      <w:pPr>
        <w:pStyle w:val="ListBullet"/>
      </w:pPr>
      <w:r>
        <w:t>L3 (Engineering/Product): complex defects, integrations, performance tuning, upgrade support.</w:t>
      </w:r>
    </w:p>
    <w:p>
      <w:pPr>
        <w:pStyle w:val="Heading2"/>
      </w:pPr>
      <w:r>
        <w:t>10.2 Proposed SLA Targets (Example)</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rPr>
          <w:cantSplit/>
          <w:tblHeader w:val="1"/>
        </w:trPr>
        <w:tc>
          <w:tcPr>
            <w:tcW w:type="dxa" w:w="1008"/>
            <w:vAlign w:val="center"/>
          </w:tcPr>
          <w:p>
            <w:r>
              <w:rPr>
                <w:b/>
                <w:sz w:val="18"/>
              </w:rPr>
              <w:t>Severity</w:t>
            </w:r>
          </w:p>
        </w:tc>
        <w:tc>
          <w:tcPr>
            <w:tcW w:type="dxa" w:w="2880"/>
            <w:vAlign w:val="center"/>
          </w:tcPr>
          <w:p>
            <w:r>
              <w:rPr>
                <w:b/>
                <w:sz w:val="18"/>
              </w:rPr>
              <w:t>Example</w:t>
            </w:r>
          </w:p>
        </w:tc>
        <w:tc>
          <w:tcPr>
            <w:tcW w:type="dxa" w:w="1440"/>
            <w:vAlign w:val="center"/>
          </w:tcPr>
          <w:p>
            <w:r>
              <w:rPr>
                <w:b/>
                <w:sz w:val="18"/>
              </w:rPr>
              <w:t>Response Time</w:t>
            </w:r>
          </w:p>
        </w:tc>
        <w:tc>
          <w:tcPr>
            <w:tcW w:type="dxa" w:w="1728"/>
            <w:vAlign w:val="center"/>
          </w:tcPr>
          <w:p>
            <w:r>
              <w:rPr>
                <w:b/>
                <w:sz w:val="18"/>
              </w:rPr>
              <w:t>Restore/Workaround</w:t>
            </w:r>
          </w:p>
        </w:tc>
        <w:tc>
          <w:tcPr>
            <w:tcW w:type="dxa" w:w="2304"/>
            <w:vAlign w:val="center"/>
          </w:tcPr>
          <w:p>
            <w:r>
              <w:rPr>
                <w:b/>
                <w:sz w:val="18"/>
              </w:rPr>
              <w:t>Resolution Target</w:t>
            </w:r>
          </w:p>
        </w:tc>
      </w:tr>
      <w:tr>
        <w:trPr>
          <w:cantSplit/>
        </w:trPr>
        <w:tc>
          <w:tcPr>
            <w:tcW w:type="dxa" w:w="1728"/>
            <w:vAlign w:val="top"/>
          </w:tcPr>
          <w:p>
            <w:r>
              <w:rPr>
                <w:b w:val="0"/>
                <w:sz w:val="18"/>
              </w:rPr>
              <w:t>Sev 1</w:t>
            </w:r>
          </w:p>
        </w:tc>
        <w:tc>
          <w:tcPr>
            <w:tcW w:type="dxa" w:w="1728"/>
            <w:vAlign w:val="top"/>
          </w:tcPr>
          <w:p>
            <w:r>
              <w:rPr>
                <w:b w:val="0"/>
                <w:sz w:val="18"/>
              </w:rPr>
              <w:t>Prod down / critical service</w:t>
            </w:r>
          </w:p>
        </w:tc>
        <w:tc>
          <w:tcPr>
            <w:tcW w:type="dxa" w:w="1728"/>
            <w:vAlign w:val="top"/>
          </w:tcPr>
          <w:p>
            <w:r>
              <w:rPr>
                <w:b w:val="0"/>
                <w:sz w:val="18"/>
              </w:rPr>
              <w:t>30–60 min</w:t>
            </w:r>
          </w:p>
        </w:tc>
        <w:tc>
          <w:tcPr>
            <w:tcW w:type="dxa" w:w="1728"/>
            <w:vAlign w:val="top"/>
          </w:tcPr>
          <w:p>
            <w:r>
              <w:rPr>
                <w:b w:val="0"/>
                <w:sz w:val="18"/>
              </w:rPr>
              <w:t>4 hours</w:t>
            </w:r>
          </w:p>
        </w:tc>
        <w:tc>
          <w:tcPr>
            <w:tcW w:type="dxa" w:w="1728"/>
            <w:vAlign w:val="top"/>
          </w:tcPr>
          <w:p>
            <w:r>
              <w:rPr>
                <w:b w:val="0"/>
                <w:sz w:val="18"/>
              </w:rPr>
              <w:t>1–2 business days (or hotfix)</w:t>
            </w:r>
          </w:p>
        </w:tc>
      </w:tr>
      <w:tr>
        <w:trPr>
          <w:cantSplit/>
        </w:trPr>
        <w:tc>
          <w:tcPr>
            <w:tcW w:type="dxa" w:w="1728"/>
            <w:vAlign w:val="top"/>
          </w:tcPr>
          <w:p>
            <w:r>
              <w:rPr>
                <w:b w:val="0"/>
                <w:sz w:val="18"/>
              </w:rPr>
              <w:t>Sev 2</w:t>
            </w:r>
          </w:p>
        </w:tc>
        <w:tc>
          <w:tcPr>
            <w:tcW w:type="dxa" w:w="1728"/>
            <w:vAlign w:val="top"/>
          </w:tcPr>
          <w:p>
            <w:r>
              <w:rPr>
                <w:b w:val="0"/>
                <w:sz w:val="18"/>
              </w:rPr>
              <w:t>Major function impaired</w:t>
            </w:r>
          </w:p>
        </w:tc>
        <w:tc>
          <w:tcPr>
            <w:tcW w:type="dxa" w:w="1728"/>
            <w:vAlign w:val="top"/>
          </w:tcPr>
          <w:p>
            <w:r>
              <w:rPr>
                <w:b w:val="0"/>
                <w:sz w:val="18"/>
              </w:rPr>
              <w:t>2 hours</w:t>
            </w:r>
          </w:p>
        </w:tc>
        <w:tc>
          <w:tcPr>
            <w:tcW w:type="dxa" w:w="1728"/>
            <w:vAlign w:val="top"/>
          </w:tcPr>
          <w:p>
            <w:r>
              <w:rPr>
                <w:b w:val="0"/>
                <w:sz w:val="18"/>
              </w:rPr>
              <w:t>1 business day</w:t>
            </w:r>
          </w:p>
        </w:tc>
        <w:tc>
          <w:tcPr>
            <w:tcW w:type="dxa" w:w="1728"/>
            <w:vAlign w:val="top"/>
          </w:tcPr>
          <w:p>
            <w:r>
              <w:rPr>
                <w:b w:val="0"/>
                <w:sz w:val="18"/>
              </w:rPr>
              <w:t>3–5 business days</w:t>
            </w:r>
          </w:p>
        </w:tc>
      </w:tr>
      <w:tr>
        <w:trPr>
          <w:cantSplit/>
        </w:trPr>
        <w:tc>
          <w:tcPr>
            <w:tcW w:type="dxa" w:w="1728"/>
            <w:vAlign w:val="top"/>
          </w:tcPr>
          <w:p>
            <w:r>
              <w:rPr>
                <w:b w:val="0"/>
                <w:sz w:val="18"/>
              </w:rPr>
              <w:t>Sev 3</w:t>
            </w:r>
          </w:p>
        </w:tc>
        <w:tc>
          <w:tcPr>
            <w:tcW w:type="dxa" w:w="1728"/>
            <w:vAlign w:val="top"/>
          </w:tcPr>
          <w:p>
            <w:r>
              <w:rPr>
                <w:b w:val="0"/>
                <w:sz w:val="18"/>
              </w:rPr>
              <w:t>Minor defect (workaround)</w:t>
            </w:r>
          </w:p>
        </w:tc>
        <w:tc>
          <w:tcPr>
            <w:tcW w:type="dxa" w:w="1728"/>
            <w:vAlign w:val="top"/>
          </w:tcPr>
          <w:p>
            <w:r>
              <w:rPr>
                <w:b w:val="0"/>
                <w:sz w:val="18"/>
              </w:rPr>
              <w:t>1 business day</w:t>
            </w:r>
          </w:p>
        </w:tc>
        <w:tc>
          <w:tcPr>
            <w:tcW w:type="dxa" w:w="1728"/>
            <w:vAlign w:val="top"/>
          </w:tcPr>
          <w:p>
            <w:r>
              <w:rPr>
                <w:b w:val="0"/>
                <w:sz w:val="18"/>
              </w:rPr>
              <w:t>N/A</w:t>
            </w:r>
          </w:p>
        </w:tc>
        <w:tc>
          <w:tcPr>
            <w:tcW w:type="dxa" w:w="1728"/>
            <w:vAlign w:val="top"/>
          </w:tcPr>
          <w:p>
            <w:r>
              <w:rPr>
                <w:b w:val="0"/>
                <w:sz w:val="18"/>
              </w:rPr>
              <w:t>Next planned release</w:t>
            </w:r>
          </w:p>
        </w:tc>
      </w:tr>
      <w:tr>
        <w:trPr>
          <w:cantSplit/>
        </w:trPr>
        <w:tc>
          <w:tcPr>
            <w:tcW w:type="dxa" w:w="1728"/>
            <w:vAlign w:val="top"/>
          </w:tcPr>
          <w:p>
            <w:r>
              <w:rPr>
                <w:b w:val="0"/>
                <w:sz w:val="18"/>
              </w:rPr>
              <w:t>Sev 4</w:t>
            </w:r>
          </w:p>
        </w:tc>
        <w:tc>
          <w:tcPr>
            <w:tcW w:type="dxa" w:w="1728"/>
            <w:vAlign w:val="top"/>
          </w:tcPr>
          <w:p>
            <w:r>
              <w:rPr>
                <w:b w:val="0"/>
                <w:sz w:val="18"/>
              </w:rPr>
              <w:t>Request / enhancement</w:t>
            </w:r>
          </w:p>
        </w:tc>
        <w:tc>
          <w:tcPr>
            <w:tcW w:type="dxa" w:w="1728"/>
            <w:vAlign w:val="top"/>
          </w:tcPr>
          <w:p>
            <w:r>
              <w:rPr>
                <w:b w:val="0"/>
                <w:sz w:val="18"/>
              </w:rPr>
              <w:t>2 business days</w:t>
            </w:r>
          </w:p>
        </w:tc>
        <w:tc>
          <w:tcPr>
            <w:tcW w:type="dxa" w:w="1728"/>
            <w:vAlign w:val="top"/>
          </w:tcPr>
          <w:p>
            <w:r>
              <w:rPr>
                <w:b w:val="0"/>
                <w:sz w:val="18"/>
              </w:rPr>
              <w:t>N/A</w:t>
            </w:r>
          </w:p>
        </w:tc>
        <w:tc>
          <w:tcPr>
            <w:tcW w:type="dxa" w:w="1728"/>
            <w:vAlign w:val="top"/>
          </w:tcPr>
          <w:p>
            <w:r>
              <w:rPr>
                <w:b w:val="0"/>
                <w:sz w:val="18"/>
              </w:rPr>
              <w:t>Backlog prioritization</w:t>
            </w:r>
          </w:p>
        </w:tc>
      </w:tr>
    </w:tbl>
    <w:p/>
    <w:p>
      <w:pPr>
        <w:pStyle w:val="Heading2"/>
      </w:pPr>
      <w:r>
        <w:t>10.3 Escalation and Governance</w:t>
      </w:r>
    </w:p>
    <w:p>
      <w:pPr>
        <w:pStyle w:val="ListBullet"/>
      </w:pPr>
      <w:r>
        <w:t>Incident manager assigned for Sev 1/Sev 2 issues.</w:t>
      </w:r>
    </w:p>
    <w:p>
      <w:pPr>
        <w:pStyle w:val="ListBullet"/>
      </w:pPr>
      <w:r>
        <w:t>Escalation ladder: Support Lead -&gt; Program Manager -&gt; Executive Sponsor.</w:t>
      </w:r>
    </w:p>
    <w:p>
      <w:pPr>
        <w:pStyle w:val="ListBullet"/>
      </w:pPr>
      <w:r>
        <w:t>Monthly service reviews cover SLA performance, root causes, trends, and continuous improvement actions.</w:t>
      </w:r>
    </w:p>
    <w:p>
      <w:pPr>
        <w:pStyle w:val="Heading1"/>
      </w:pPr>
      <w:r>
        <w:t>11. Commercial Proposal (Template)</w:t>
      </w:r>
    </w:p>
    <w:p>
      <w:r>
        <w:t>The commercial response will be provided in the final submission package and will include a 5-year total cost of ownership (TCO) view, with costs broken down by:</w:t>
      </w:r>
    </w:p>
    <w:p>
      <w:pPr>
        <w:pStyle w:val="ListBullet"/>
      </w:pPr>
      <w:r>
        <w:t>Licensing (internal roles/users and external portal usage model)</w:t>
      </w:r>
    </w:p>
    <w:p>
      <w:pPr>
        <w:pStyle w:val="ListBullet"/>
      </w:pPr>
      <w:r>
        <w:t>Implementation services (discovery, design, configuration, integrations, testing, training)</w:t>
      </w:r>
    </w:p>
    <w:p>
      <w:pPr>
        <w:pStyle w:val="ListBullet"/>
      </w:pPr>
      <w:r>
        <w:t>Support and maintenance (3 years minimum)</w:t>
      </w:r>
    </w:p>
    <w:p>
      <w:pPr>
        <w:pStyle w:val="ListBullet"/>
      </w:pPr>
      <w:r>
        <w:t>Optional items (advanced analytics, additional environments, DR enhancements, AI-assisted features under governance)</w:t>
      </w:r>
    </w:p>
    <w:p>
      <w:pPr>
        <w:pStyle w:val="Heading1"/>
      </w:pPr>
      <w:r>
        <w:t>12. Proposal Submission Compliance (Administrative)</w:t>
      </w:r>
    </w:p>
    <w:p>
      <w:r>
        <w:t>We will submit the proposal in English and in both editable (Word) and PDF formats, following MTI’s required structure and labeling.</w:t>
      </w:r>
    </w:p>
    <w:p>
      <w:r>
        <w:t>We will comply with MTI’s submission instructions (including required email subject line, packaging, and submission deadlines) as per the final tender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