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Lines w:val="0"/>
        <w:widowControl w:val="0"/>
        <w:spacing w:after="240"/>
        <w:jc w:val="center"/>
      </w:pPr>
      <w:r>
        <w:rPr>
          <w:rFonts w:ascii="Calibri" w:hAnsi="Calibri"/>
          <w:b/>
          <w:color w:val="1A5490"/>
          <w:sz w:val="64"/>
        </w:rPr>
        <w:t>RFP Response - - Supply and implement an enterprise-grade BPM pla...</w:t>
      </w:r>
    </w:p>
    <w:p/>
    <w:p/>
    <w:p>
      <w:pPr>
        <w:jc w:val="center"/>
      </w:pPr>
      <w:r>
        <w:rPr>
          <w:rFonts w:ascii="Calibri" w:hAnsi="Calibri"/>
          <w:color w:val="646464"/>
          <w:sz w:val="28"/>
        </w:rPr>
        <w:t>December 21, 2025</w:t>
      </w:r>
    </w:p>
    <w:p/>
    <w:p/>
    <w:p/>
    <w:p/>
    <w:p>
      <w:pPr>
        <w:jc w:val="center"/>
      </w:pPr>
      <w:r>
        <w:rPr>
          <w:rFonts w:ascii="Calibri" w:hAnsi="Calibri"/>
          <w:b/>
          <w:color w:val="1A5490"/>
          <w:sz w:val="40"/>
        </w:rPr>
        <w:t>fusionAIx</w:t>
      </w:r>
    </w:p>
    <w:p>
      <w:pPr>
        <w:jc w:val="center"/>
      </w:pPr>
      <w:r>
        <w:rPr>
          <w:rFonts w:ascii="Calibri" w:hAnsi="Calibri"/>
          <w:color w:val="646464"/>
          <w:sz w:val="24"/>
        </w:rPr>
        <w:t>www.fusionaix.com</w:t>
      </w:r>
    </w:p>
    <w:p/>
    <w:p>
      <w:r>
        <w:br w:type="page"/>
      </w:r>
    </w:p>
    <w:p>
      <w:pPr>
        <w:pStyle w:val="Heading1"/>
      </w:pPr>
      <w:r>
        <w:t>Table of Contents</w:t>
      </w:r>
    </w:p>
    <w:p>
      <w:r>
        <w:fldSimple w:instr="TOC \o &quot;1-3&quot; \h \z \u"/>
      </w:r>
    </w:p>
    <w:p>
      <w:r>
        <w:br w:type="page"/>
      </w: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MTI BPM Platform Proposal</w:t>
      </w:r>
    </w:p>
    <w:p>
      <w:r>
        <w:t>Submitted by fusionAIx</w:t>
      </w:r>
    </w:p>
    <w:p>
      <w:r>
        <w:t>Date: 21 December 2025</w:t>
      </w:r>
    </w:p>
    <w:p/>
    <w:p>
      <w:pPr>
        <w:pStyle w:val="Heading2"/>
      </w:pPr>
      <w:r>
        <w:t>1. Executive Summary</w:t>
      </w:r>
    </w:p>
    <w:p/>
    <w:p>
      <w:r>
        <w:t>FusionAIx is pleased to submit this comprehensive proposal to the Ministry of Trade and Industry (MTI) for the implementation of an enterprise-grade Business Process Management (BPM) platform. Our proposed solution is designed to automate, orchestrate, and continuously improve MTI’s core business processes, including business licensing and renewals, incentive and grants applications, and other mission-critical workflows.</w:t>
      </w:r>
    </w:p>
    <w:p/>
    <w:p>
      <w:r>
        <w:t>Our approach is grounded in three pillars: low-code agility, AI-driven intelligence, and enterprise-grade governance. The proposed BPM platform—based on the Pega Constellation architecture—will enable MTI to digitize and streamline end-to-end processes, enhance citizen and business user experiences, and ensure compliance with national data protection and security standards.</w:t>
      </w:r>
    </w:p>
    <w:p/>
    <w:p>
      <w:r>
        <w:t>Key highlights of our proposal include:</w:t>
      </w:r>
    </w:p>
    <w:p/>
    <w:p>
      <w:pPr>
        <w:pStyle w:val="ListBullet"/>
      </w:pPr>
      <w:r>
        <w:rPr>
          <w:b/>
        </w:rPr>
        <w:t>Enterprise-Grade BPM Platform:</w:t>
      </w:r>
      <w:r>
        <w:t xml:space="preserve"> A proven, model-driven, low-code BPM suite supporting both straight-through and human-centric workflows, dynamic case management, centralized rules management, and responsive web-based interfaces.</w:t>
      </w:r>
    </w:p>
    <w:p>
      <w:pPr>
        <w:pStyle w:val="ListBullet"/>
      </w:pPr>
      <w:r>
        <w:rPr>
          <w:b/>
        </w:rPr>
        <w:t>Hybrid-Ready Deployment:</w:t>
      </w:r>
      <w:r>
        <w:t xml:space="preserve"> A secure, scalable, and high-availability architecture deployable within MTI’s approved infrastructure (on-premises or government cloud), with optional cloud-based analytics components.</w:t>
      </w:r>
    </w:p>
    <w:p>
      <w:pPr>
        <w:pStyle w:val="ListBullet"/>
      </w:pPr>
      <w:r>
        <w:rPr>
          <w:b/>
        </w:rPr>
        <w:t>Integration Excellence:</w:t>
      </w:r>
      <w:r>
        <w:t xml:space="preserve"> A standardized integration layer supporting REST APIs, event-based messaging, and secure connectors for MTI’s existing systems (licensing databases, payment gateways, document management, CRM).</w:t>
      </w:r>
    </w:p>
    <w:p>
      <w:pPr>
        <w:pStyle w:val="ListBullet"/>
      </w:pPr>
      <w:r>
        <w:rPr>
          <w:b/>
        </w:rPr>
        <w:t>Comprehensive Governance:</w:t>
      </w:r>
      <w:r>
        <w:t xml:space="preserve"> Role-based access control, full audit logging, and compliance with MTI’s identity management and single sign-on (SSO) standards.</w:t>
      </w:r>
    </w:p>
    <w:p>
      <w:pPr>
        <w:pStyle w:val="ListBullet"/>
      </w:pPr>
      <w:r>
        <w:rPr>
          <w:b/>
        </w:rPr>
        <w:t>Accelerated Delivery:</w:t>
      </w:r>
      <w:r>
        <w:t xml:space="preserve"> Leveraging fusionAIx proprietary accelerators—fxSmartDCO, fxMockUpToView, fxAgentSDK, and fxAIStudio—to reduce time-to-value and ensure consistent quality.</w:t>
      </w:r>
    </w:p>
    <w:p>
      <w:pPr>
        <w:pStyle w:val="ListBullet"/>
      </w:pPr>
      <w:r>
        <w:rPr>
          <w:b/>
        </w:rPr>
        <w:t>Sustainable Support:</w:t>
      </w:r>
      <w:r>
        <w:t xml:space="preserve"> A three-year post go-live support and maintenance commitment, including patching, upgrades, incident resolution, and SLA-based service management.</w:t>
      </w:r>
    </w:p>
    <w:p/>
    <w:p>
      <w:r>
        <w:t>FusionAIx brings over two decades of combined experience in BPM and low-code transformation, with 20+ successful Pega Constellation implementations globally. Our team’s deep expertise in government digital transformation ensures that MTI’s BPM initiative will be delivered with precision, transparency, and measurable impact.</w:t>
      </w:r>
    </w:p>
    <w:p/>
    <w:p>
      <w:pPr>
        <w:pStyle w:val="Heading2"/>
      </w:pPr>
      <w:r>
        <w:t>2. Understanding of MTI’s Objectives and Context</w:t>
      </w:r>
    </w:p>
    <w:p/>
    <w:p>
      <w:r>
        <w:t>MTI’s strategic objective is to modernize and unify its business process landscape through a robust BPM platform that supports both internal efficiency and external stakeholder engagement. The ministry’s current environment includes multiple legacy systems, manual workflows, and siloed data repositories that limit agility and visibility.</w:t>
      </w:r>
    </w:p>
    <w:p/>
    <w:p>
      <w:r>
        <w:t>FusionAIx understands that MTI seeks to:</w:t>
      </w:r>
    </w:p>
    <w:p/>
    <w:p>
      <w:pPr>
        <w:pStyle w:val="ListNumber"/>
      </w:pPr>
      <w:r>
        <w:rPr>
          <w:b/>
        </w:rPr>
        <w:t>Digitize and streamline core processes</w:t>
      </w:r>
      <w:r>
        <w:t xml:space="preserve"> such as business licensing, renewals, and incentive/grant management.</w:t>
      </w:r>
    </w:p>
    <w:p>
      <w:pPr>
        <w:pStyle w:val="ListNumber"/>
      </w:pPr>
      <w:r>
        <w:rPr>
          <w:b/>
        </w:rPr>
        <w:t>Enable a unified case management framework</w:t>
      </w:r>
      <w:r>
        <w:t xml:space="preserve"> that supports both structured and ad-hoc workflows.</w:t>
      </w:r>
    </w:p>
    <w:p>
      <w:pPr>
        <w:pStyle w:val="ListNumber"/>
      </w:pPr>
      <w:r>
        <w:rPr>
          <w:b/>
        </w:rPr>
        <w:t>Provide a single, responsive interface</w:t>
      </w:r>
      <w:r>
        <w:t xml:space="preserve"> for internal users and external stakeholders (citizens, businesses, and partners).</w:t>
      </w:r>
    </w:p>
    <w:p>
      <w:pPr>
        <w:pStyle w:val="ListNumber"/>
      </w:pPr>
      <w:r>
        <w:rPr>
          <w:b/>
        </w:rPr>
        <w:t>Ensure compliance and auditability</w:t>
      </w:r>
      <w:r>
        <w:t xml:space="preserve"> through centralized rules management, role-based access control, and full audit trails.</w:t>
      </w:r>
    </w:p>
    <w:p>
      <w:pPr>
        <w:pStyle w:val="ListNumber"/>
      </w:pPr>
      <w:r>
        <w:rPr>
          <w:b/>
        </w:rPr>
        <w:t>Empower business users</w:t>
      </w:r>
      <w:r>
        <w:t xml:space="preserve"> to configure, monitor, and optimize processes without deep technical intervention.</w:t>
      </w:r>
    </w:p>
    <w:p>
      <w:pPr>
        <w:pStyle w:val="ListNumber"/>
      </w:pPr>
      <w:r>
        <w:rPr>
          <w:b/>
        </w:rPr>
        <w:t>Integrate seamlessly</w:t>
      </w:r>
      <w:r>
        <w:t xml:space="preserve"> with existing MTI systems, including licensing databases, payment gateways, document management, and CRM.</w:t>
      </w:r>
    </w:p>
    <w:p>
      <w:pPr>
        <w:pStyle w:val="ListNumber"/>
      </w:pPr>
      <w:r>
        <w:rPr>
          <w:b/>
        </w:rPr>
        <w:t>Deliver actionable insights</w:t>
      </w:r>
      <w:r>
        <w:t xml:space="preserve"> through dashboards and reports for SLA monitoring, workload distribution, and performance analytics.</w:t>
      </w:r>
    </w:p>
    <w:p>
      <w:pPr>
        <w:pStyle w:val="ListNumber"/>
      </w:pPr>
      <w:r>
        <w:rPr>
          <w:b/>
        </w:rPr>
        <w:t>Support scalability and resilience</w:t>
      </w:r>
      <w:r>
        <w:t xml:space="preserve"> within MTI’s infrastructure and security policies.</w:t>
      </w:r>
    </w:p>
    <w:p/>
    <w:p>
      <w:r>
        <w:t>FusionAIx’s understanding of MTI’s context is informed by our extensive experience with government clients who face similar challenges—balancing regulatory compliance, citizen service excellence, and operational efficiency.</w:t>
      </w:r>
    </w:p>
    <w:p/>
    <w:p>
      <w:r>
        <w:t>We recognize that MTI’s BPM initiative is not merely a technology project but a strategic transformation program. It requires a partner who can combine technical expertise with change management, stakeholder engagement, and continuous improvement. fusionAIx’s approach aligns with MTI’s vision of a digital-first, citizen-centric ministry.</w:t>
      </w:r>
    </w:p>
    <w:p/>
    <w:p>
      <w:pPr>
        <w:pStyle w:val="Heading2"/>
      </w:pPr>
      <w:r>
        <w:t>3. Proposed Solution Overview</w:t>
      </w:r>
    </w:p>
    <w:p/>
    <w:p>
      <w:pPr>
        <w:pStyle w:val="Heading3"/>
      </w:pPr>
      <w:r>
        <w:t>3.1 Architecture</w:t>
      </w:r>
    </w:p>
    <w:p/>
    <w:p>
      <w:r>
        <w:t>The proposed solution is built on the Pega Constellation BPM platform, an enterprise-grade, low-code environment designed for scalability, security, and rapid process automation.</w:t>
      </w:r>
    </w:p>
    <w:p/>
    <w:p>
      <w:r>
        <w:t>Key architectural components include:</w:t>
      </w:r>
    </w:p>
    <w:p/>
    <w:p>
      <w:pPr>
        <w:pStyle w:val="ListBullet"/>
      </w:pPr>
      <w:r>
        <w:rPr>
          <w:b/>
        </w:rPr>
        <w:t>Process Orchestration Layer:</w:t>
      </w:r>
      <w:r>
        <w:t xml:space="preserve"> Supports both straight-through and human-centric workflows, enabling seamless automation of approvals, validations, and escalations.</w:t>
      </w:r>
    </w:p>
    <w:p>
      <w:pPr>
        <w:pStyle w:val="ListBullet"/>
      </w:pPr>
      <w:r>
        <w:rPr>
          <w:b/>
        </w:rPr>
        <w:t>Dynamic Case Management:</w:t>
      </w:r>
      <w:r>
        <w:t xml:space="preserve"> Allows MTI users to manage complex cases with ad-hoc tasks, attachments, notes, and contextual collaboration.</w:t>
      </w:r>
    </w:p>
    <w:p>
      <w:pPr>
        <w:pStyle w:val="ListBullet"/>
      </w:pPr>
      <w:r>
        <w:rPr>
          <w:b/>
        </w:rPr>
        <w:t>Centralized Rules Engine:</w:t>
      </w:r>
      <w:r>
        <w:t xml:space="preserve"> Externalizes business policies from application code, supporting versioning, testing, and controlled deployment of rules.</w:t>
      </w:r>
    </w:p>
    <w:p>
      <w:pPr>
        <w:pStyle w:val="ListBullet"/>
      </w:pPr>
      <w:r>
        <w:rPr>
          <w:b/>
        </w:rPr>
        <w:t>Integration Layer:</w:t>
      </w:r>
      <w:r>
        <w:t xml:space="preserve"> Implements REST APIs, message queues, and event-based integration patterns for secure connectivity with MTI’s systems.</w:t>
      </w:r>
    </w:p>
    <w:p>
      <w:pPr>
        <w:pStyle w:val="ListBullet"/>
      </w:pPr>
      <w:r>
        <w:rPr>
          <w:b/>
        </w:rPr>
        <w:t>User Experience Layer:</w:t>
      </w:r>
      <w:r>
        <w:t xml:space="preserve"> Provides responsive, web-based interfaces accessible via standard browsers, with guided steps and contextual help for case workers and self-service portals for external users.</w:t>
      </w:r>
    </w:p>
    <w:p>
      <w:pPr>
        <w:pStyle w:val="ListBullet"/>
      </w:pPr>
      <w:r>
        <w:rPr>
          <w:b/>
        </w:rPr>
        <w:t>Analytics and Reporting:</w:t>
      </w:r>
      <w:r>
        <w:t xml:space="preserve"> Delivers real-time dashboards for SLA monitoring, workload distribution, and performance tracking.</w:t>
      </w:r>
    </w:p>
    <w:p/>
    <w:p>
      <w:pPr>
        <w:pStyle w:val="Heading3"/>
      </w:pPr>
      <w:r>
        <w:t>3.2 Integration Approach</w:t>
      </w:r>
    </w:p>
    <w:p/>
    <w:p>
      <w:r>
        <w:t>FusionAIx will implement integrations through a standardized integration layer that supports REST APIs, event/messaging patterns (where available), and secure connectors for MTI systems such as licensing databases, payment gateways, document management, and CRM.</w:t>
      </w:r>
    </w:p>
    <w:p/>
    <w:p>
      <w:r>
        <w:t>We will manage APIs via an API gateway pattern (MTI’s existing gateway where available), enforcing versioning, throttling, request/response validation, and consistent error handling, with integration contracts documented and tested as part of each sprint.</w:t>
      </w:r>
    </w:p>
    <w:p/>
    <w:p>
      <w:r>
        <w:t>Data synchronization will follow a “system of record” model: the BPM platform stores case/process state while master data remains in source systems, using real-time API calls for validations and updates, and optional asynchronous queues for resilience and near-real-time sync where latency or reliability is a concern.</w:t>
      </w:r>
    </w:p>
    <w:p/>
    <w:p>
      <w:r>
        <w:t>Security controls include SSO-based service authentication (OAuth2/OIDC or mutual TLS as per MTI standards), least-privilege service accounts, field-level data minimization, encryption in transit/at rest, full audit logging of integration calls, and environment-separated secrets management (Dev/Test/Prod) with formal change control and rollback.</w:t>
      </w:r>
    </w:p>
    <w:p/>
    <w:p>
      <w:pPr>
        <w:pStyle w:val="Heading3"/>
      </w:pPr>
      <w:r>
        <w:t>3.3 Hosting and Deployment Model</w:t>
      </w:r>
    </w:p>
    <w:p/>
    <w:p>
      <w:r>
        <w:t>FusionAIx proposes a hybrid-ready deployment by default: MTI can host the BPM application and data stores within MTI’s approved infrastructure (on-prem or government cloud), while optional edge services (e.g., analytics or non-sensitive workloads) can scale in cloud if MTI policy allows.</w:t>
      </w:r>
    </w:p>
    <w:p/>
    <w:p>
      <w:r>
        <w:t>Scalability is achieved through horizontal scaling of stateless application nodes behind a load balancer, with performance sizing validated via load testing and capacity planning aligned to MTI’s peak volumes.</w:t>
      </w:r>
    </w:p>
    <w:p/>
    <w:p>
      <w:r>
        <w:t>High availability is delivered using active-active or active-passive clustering (application tier), database HA (replication/failover), and a defined DR posture with MTI-agreed RPO/RTO, including routine failover testing and monitored health checks.</w:t>
      </w:r>
    </w:p>
    <w:p/>
    <w:p>
      <w:r>
        <w:t>Data residency is enforced by keeping all regulated data and backups in MTI-approved locations, using encryption in transit/at rest, strict RBAC, segregated Dev/Test/Prod environments, and centralized logging/monitoring that integrates with MTI security operations and compliance controls.</w:t>
      </w:r>
    </w:p>
    <w:p/>
    <w:p>
      <w:pPr>
        <w:pStyle w:val="Heading3"/>
      </w:pPr>
      <w:r>
        <w:t>3.4 User Provisioning and Access Control</w:t>
      </w:r>
    </w:p>
    <w:p/>
    <w:p>
      <w:r>
        <w:t>FusionAIx will integrate the BPM platform with MTI’s identity provider (e.g., Active Directory) using SSO (SAML/OIDC) for authentication and directory group-to-role mapping for authorization, so access is driven by MTI-managed identities rather than local accounts.</w:t>
      </w:r>
    </w:p>
    <w:p/>
    <w:p>
      <w:r>
        <w:t>User provisioning and deprovisioning will follow MTI’s lifecycle: users and attributes are synchronized on a scheduled basis (or just-in-time at login), while AD group membership determines BPM roles (case worker, supervisor, admin, etc.) and can be extended to reflect organizational units, services, or regions.</w:t>
      </w:r>
    </w:p>
    <w:p/>
    <w:p>
      <w:r>
        <w:t>When MTI updates organizational structure or role assignments, the BPM platform automatically re-evaluates mappings so permissions, workqueues, and dashboards reflect the latest structure. All access changes are logged for auditability.</w:t>
      </w:r>
    </w:p>
    <w:p/>
    <w:p>
      <w:pPr>
        <w:pStyle w:val="Heading2"/>
      </w:pPr>
      <w:r>
        <w:t>4. Implementation Approach and Methodology</w:t>
      </w:r>
    </w:p>
    <w:p/>
    <w:p>
      <w:r>
        <w:t>FusionAIx follows a phased, agile delivery model aligned with MTI’s governance and change management framework.</w:t>
      </w:r>
    </w:p>
    <w:p/>
    <w:p>
      <w:pPr>
        <w:pStyle w:val="Heading3"/>
      </w:pPr>
      <w:r>
        <w:t>4.1 Discovery and Requirements Refinement</w:t>
      </w:r>
    </w:p>
    <w:p/>
    <w:p>
      <w:pPr>
        <w:pStyle w:val="ListBullet"/>
      </w:pPr>
      <w:r>
        <w:t>Conduct joint workshops with MTI stakeholders to refine process requirements.</w:t>
      </w:r>
    </w:p>
    <w:p>
      <w:pPr>
        <w:pStyle w:val="ListBullet"/>
      </w:pPr>
      <w:r>
        <w:t xml:space="preserve">Use </w:t>
      </w:r>
      <w:r>
        <w:rPr>
          <w:b/>
        </w:rPr>
        <w:t>fxSmartDCO</w:t>
      </w:r>
      <w:r>
        <w:t xml:space="preserve"> accelerator for rapid process capture and validation.</w:t>
      </w:r>
    </w:p>
    <w:p>
      <w:pPr>
        <w:pStyle w:val="ListBullet"/>
      </w:pPr>
      <w:r>
        <w:t>Define process models, business rules, and integration contracts collaboratively.</w:t>
      </w:r>
    </w:p>
    <w:p/>
    <w:p>
      <w:pPr>
        <w:pStyle w:val="Heading3"/>
      </w:pPr>
      <w:r>
        <w:t>4.2 Design and Configuration</w:t>
      </w:r>
    </w:p>
    <w:p/>
    <w:p>
      <w:pPr>
        <w:pStyle w:val="ListBullet"/>
      </w:pPr>
      <w:r>
        <w:t>Configure processes using Pega’s low-code model-driven tools.</w:t>
      </w:r>
    </w:p>
    <w:p>
      <w:pPr>
        <w:pStyle w:val="ListBullet"/>
      </w:pPr>
      <w:r>
        <w:t xml:space="preserve">Apply </w:t>
      </w:r>
      <w:r>
        <w:rPr>
          <w:b/>
        </w:rPr>
        <w:t>fxMockUpToView</w:t>
      </w:r>
      <w:r>
        <w:t xml:space="preserve"> to convert approved UI mockups into working Constellation views.</w:t>
      </w:r>
    </w:p>
    <w:p>
      <w:pPr>
        <w:pStyle w:val="ListBullet"/>
      </w:pPr>
      <w:r>
        <w:t>Implement reusable components and patterns for consistency.</w:t>
      </w:r>
    </w:p>
    <w:p/>
    <w:p>
      <w:pPr>
        <w:pStyle w:val="Heading3"/>
      </w:pPr>
      <w:r>
        <w:t>4.3 Integration and Testing</w:t>
      </w:r>
    </w:p>
    <w:p/>
    <w:p>
      <w:pPr>
        <w:pStyle w:val="ListBullet"/>
      </w:pPr>
      <w:r>
        <w:t>Develop and test integrations using the standardized API layer.</w:t>
      </w:r>
    </w:p>
    <w:p>
      <w:pPr>
        <w:pStyle w:val="ListBullet"/>
      </w:pPr>
      <w:r>
        <w:t>Conduct unit, system, and user acceptance testing with MTI teams.</w:t>
      </w:r>
    </w:p>
    <w:p>
      <w:pPr>
        <w:pStyle w:val="ListBullet"/>
      </w:pPr>
      <w:r>
        <w:t>Validate performance and security through load and penetration testing.</w:t>
      </w:r>
    </w:p>
    <w:p/>
    <w:p>
      <w:pPr>
        <w:pStyle w:val="Heading3"/>
      </w:pPr>
      <w:r>
        <w:t>4.4 Training and Change Management</w:t>
      </w:r>
    </w:p>
    <w:p/>
    <w:p>
      <w:pPr>
        <w:pStyle w:val="ListBullet"/>
      </w:pPr>
      <w:r>
        <w:t>Deliver training for system administrators, business power users, and end users.</w:t>
      </w:r>
    </w:p>
    <w:p>
      <w:pPr>
        <w:pStyle w:val="ListBullet"/>
      </w:pPr>
      <w:r>
        <w:t>Provide comprehensive training materials and user guides.</w:t>
      </w:r>
    </w:p>
    <w:p>
      <w:pPr>
        <w:pStyle w:val="ListBullet"/>
      </w:pPr>
      <w:r>
        <w:t>Support MTI’s change management and communication plan.</w:t>
      </w:r>
    </w:p>
    <w:p/>
    <w:p>
      <w:pPr>
        <w:pStyle w:val="Heading3"/>
      </w:pPr>
      <w:r>
        <w:t>4.5 Go-Live and Transition</w:t>
      </w:r>
    </w:p>
    <w:p/>
    <w:p>
      <w:pPr>
        <w:pStyle w:val="ListBullet"/>
      </w:pPr>
      <w:r>
        <w:t>Execute a controlled go-live with rollback plan.</w:t>
      </w:r>
    </w:p>
    <w:p>
      <w:pPr>
        <w:pStyle w:val="ListBullet"/>
      </w:pPr>
      <w:r>
        <w:t>Transition to steady-state operations with knowledge transfer to MTI’s support team.</w:t>
      </w:r>
    </w:p>
    <w:p/>
    <w:p>
      <w:pPr>
        <w:pStyle w:val="Heading2"/>
      </w:pPr>
      <w:r>
        <w:t>5. Project Plan and Timelines</w:t>
      </w:r>
    </w:p>
    <w:p/>
    <w:p>
      <w:r>
        <w:t>A detailed project plan will be finalized during the inception phase. Indicative milestones include:</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Phase</w:t>
            </w:r>
          </w:p>
        </w:tc>
        <w:tc>
          <w:tcPr>
            <w:tcW w:type="dxa" w:w="3120"/>
            <w:shd w:fill="1a5490" w:val="clear"/>
            <w:vAlign w:val="top"/>
            <w:tcMar>
              <w:top w:w="80" w:type="dxa"/>
              <w:right w:w="80" w:type="dxa"/>
              <w:bottom w:w="80" w:type="dxa"/>
              <w:left w:w="80" w:type="dxa"/>
            </w:tcMar>
          </w:tcPr>
          <w:p>
            <w:r>
              <w:rPr>
                <w:b/>
                <w:color w:val="FFFFFF"/>
              </w:rPr>
              <w:t>Duration</w:t>
            </w:r>
          </w:p>
        </w:tc>
        <w:tc>
          <w:tcPr>
            <w:tcW w:type="dxa" w:w="3120"/>
            <w:shd w:fill="1a5490" w:val="clear"/>
            <w:vAlign w:val="top"/>
            <w:tcMar>
              <w:top w:w="80" w:type="dxa"/>
              <w:right w:w="80" w:type="dxa"/>
              <w:bottom w:w="80" w:type="dxa"/>
              <w:left w:w="80" w:type="dxa"/>
            </w:tcMar>
          </w:tcPr>
          <w:p>
            <w:r>
              <w:rPr>
                <w:b/>
                <w:color w:val="FFFFFF"/>
              </w:rPr>
              <w:t>Key Deliverables</w:t>
            </w:r>
          </w:p>
        </w:tc>
      </w:tr>
      <w:tr>
        <w:tc>
          <w:tcPr>
            <w:tcW w:type="dxa" w:w="3120"/>
            <w:vAlign w:val="top"/>
            <w:tcMar>
              <w:top w:w="80" w:type="dxa"/>
              <w:right w:w="80" w:type="dxa"/>
              <w:bottom w:w="80" w:type="dxa"/>
              <w:left w:w="80" w:type="dxa"/>
            </w:tcMar>
          </w:tcPr>
          <w:p>
            <w:r>
              <w:t>Inception &amp; Discovery</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Requirements, process models, integration design</w:t>
            </w:r>
          </w:p>
        </w:tc>
      </w:tr>
      <w:tr>
        <w:tc>
          <w:tcPr>
            <w:tcW w:type="dxa" w:w="3120"/>
            <w:vAlign w:val="top"/>
            <w:tcMar>
              <w:top w:w="80" w:type="dxa"/>
              <w:right w:w="80" w:type="dxa"/>
              <w:bottom w:w="80" w:type="dxa"/>
              <w:left w:w="80" w:type="dxa"/>
            </w:tcMar>
          </w:tcPr>
          <w:p>
            <w:r>
              <w:t>Configuration &amp; Development</w:t>
            </w:r>
          </w:p>
        </w:tc>
        <w:tc>
          <w:tcPr>
            <w:tcW w:type="dxa" w:w="3120"/>
            <w:vAlign w:val="top"/>
            <w:tcMar>
              <w:top w:w="80" w:type="dxa"/>
              <w:right w:w="80" w:type="dxa"/>
              <w:bottom w:w="80" w:type="dxa"/>
              <w:left w:w="80" w:type="dxa"/>
            </w:tcMar>
          </w:tcPr>
          <w:p>
            <w:r>
              <w:t>12 weeks</w:t>
            </w:r>
          </w:p>
        </w:tc>
        <w:tc>
          <w:tcPr>
            <w:tcW w:type="dxa" w:w="3120"/>
            <w:vAlign w:val="top"/>
            <w:tcMar>
              <w:top w:w="80" w:type="dxa"/>
              <w:right w:w="80" w:type="dxa"/>
              <w:bottom w:w="80" w:type="dxa"/>
              <w:left w:w="80" w:type="dxa"/>
            </w:tcMar>
          </w:tcPr>
          <w:p>
            <w:r>
              <w:t>Configured processes, integrations, UI components</w:t>
            </w:r>
          </w:p>
        </w:tc>
      </w:tr>
      <w:tr>
        <w:tc>
          <w:tcPr>
            <w:tcW w:type="dxa" w:w="3120"/>
            <w:vAlign w:val="top"/>
            <w:tcMar>
              <w:top w:w="80" w:type="dxa"/>
              <w:right w:w="80" w:type="dxa"/>
              <w:bottom w:w="80" w:type="dxa"/>
              <w:left w:w="80" w:type="dxa"/>
            </w:tcMar>
          </w:tcPr>
          <w:p>
            <w:r>
              <w:t>Testing &amp; UAT</w:t>
            </w:r>
          </w:p>
        </w:tc>
        <w:tc>
          <w:tcPr>
            <w:tcW w:type="dxa" w:w="3120"/>
            <w:vAlign w:val="top"/>
            <w:tcMar>
              <w:top w:w="80" w:type="dxa"/>
              <w:right w:w="80" w:type="dxa"/>
              <w:bottom w:w="80" w:type="dxa"/>
              <w:left w:w="80" w:type="dxa"/>
            </w:tcMar>
          </w:tcPr>
          <w:p>
            <w:r>
              <w:t>6 weeks</w:t>
            </w:r>
          </w:p>
        </w:tc>
        <w:tc>
          <w:tcPr>
            <w:tcW w:type="dxa" w:w="3120"/>
            <w:vAlign w:val="top"/>
            <w:tcMar>
              <w:top w:w="80" w:type="dxa"/>
              <w:right w:w="80" w:type="dxa"/>
              <w:bottom w:w="80" w:type="dxa"/>
              <w:left w:w="80" w:type="dxa"/>
            </w:tcMar>
          </w:tcPr>
          <w:p>
            <w:r>
              <w:t>Test results, UAT sign-off</w:t>
            </w:r>
          </w:p>
        </w:tc>
      </w:tr>
      <w:tr>
        <w:tc>
          <w:tcPr>
            <w:tcW w:type="dxa" w:w="3120"/>
            <w:vAlign w:val="top"/>
            <w:tcMar>
              <w:top w:w="80" w:type="dxa"/>
              <w:right w:w="80" w:type="dxa"/>
              <w:bottom w:w="80" w:type="dxa"/>
              <w:left w:w="80" w:type="dxa"/>
            </w:tcMar>
          </w:tcPr>
          <w:p>
            <w:r>
              <w:t>Training &amp; Go-Live</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Training completion, production deployment</w:t>
            </w:r>
          </w:p>
        </w:tc>
      </w:tr>
      <w:tr>
        <w:tc>
          <w:tcPr>
            <w:tcW w:type="dxa" w:w="3120"/>
            <w:vAlign w:val="top"/>
            <w:tcMar>
              <w:top w:w="80" w:type="dxa"/>
              <w:right w:w="80" w:type="dxa"/>
              <w:bottom w:w="80" w:type="dxa"/>
              <w:left w:w="80" w:type="dxa"/>
            </w:tcMar>
          </w:tcPr>
          <w:p>
            <w:r>
              <w:t>Post Go-Live Support</w:t>
            </w:r>
          </w:p>
        </w:tc>
        <w:tc>
          <w:tcPr>
            <w:tcW w:type="dxa" w:w="3120"/>
            <w:vAlign w:val="top"/>
            <w:tcMar>
              <w:top w:w="80" w:type="dxa"/>
              <w:right w:w="80" w:type="dxa"/>
              <w:bottom w:w="80" w:type="dxa"/>
              <w:left w:w="80" w:type="dxa"/>
            </w:tcMar>
          </w:tcPr>
          <w:p>
            <w:r>
              <w:t>3 years</w:t>
            </w:r>
          </w:p>
        </w:tc>
        <w:tc>
          <w:tcPr>
            <w:tcW w:type="dxa" w:w="3120"/>
            <w:vAlign w:val="top"/>
            <w:tcMar>
              <w:top w:w="80" w:type="dxa"/>
              <w:right w:w="80" w:type="dxa"/>
              <w:bottom w:w="80" w:type="dxa"/>
              <w:left w:w="80" w:type="dxa"/>
            </w:tcMar>
          </w:tcPr>
          <w:p>
            <w:r>
              <w:t>SLA-based support and maintenance</w:t>
            </w:r>
          </w:p>
        </w:tc>
      </w:tr>
    </w:tbl>
    <w:p/>
    <w:p>
      <w:pPr>
        <w:pStyle w:val="Heading2"/>
      </w:pPr>
      <w:r>
        <w:t>6. Proposed Team Structure</w:t>
      </w:r>
    </w:p>
    <w:p/>
    <w:p>
      <w:r>
        <w:t>FusionAIx will deploy a blended team of BPM experts, architects, and domain specialists.</w:t>
      </w:r>
    </w:p>
    <w:p/>
    <w:p>
      <w:r>
        <w:t>Key Roles:</w:t>
      </w:r>
    </w:p>
    <w:p>
      <w:pPr>
        <w:pStyle w:val="ListBullet"/>
      </w:pPr>
      <w:r>
        <w:rPr>
          <w:b/>
        </w:rPr>
        <w:t>Program Manager:</w:t>
      </w:r>
      <w:r>
        <w:t xml:space="preserve"> Overall governance and stakeholder management.</w:t>
      </w:r>
    </w:p>
    <w:p>
      <w:pPr>
        <w:pStyle w:val="ListBullet"/>
      </w:pPr>
      <w:r>
        <w:rPr>
          <w:b/>
        </w:rPr>
        <w:t>Solution Architect:</w:t>
      </w:r>
      <w:r>
        <w:t xml:space="preserve"> End-to-end design authority.</w:t>
      </w:r>
    </w:p>
    <w:p>
      <w:pPr>
        <w:pStyle w:val="ListBullet"/>
      </w:pPr>
      <w:r>
        <w:rPr>
          <w:b/>
        </w:rPr>
        <w:t>Lead BPM Developer:</w:t>
      </w:r>
      <w:r>
        <w:t xml:space="preserve"> Configuration and integration lead.</w:t>
      </w:r>
    </w:p>
    <w:p>
      <w:pPr>
        <w:pStyle w:val="ListBullet"/>
      </w:pPr>
      <w:r>
        <w:rPr>
          <w:b/>
        </w:rPr>
        <w:t>Business Analyst:</w:t>
      </w:r>
      <w:r>
        <w:t xml:space="preserve"> Process modeling and requirements management.</w:t>
      </w:r>
    </w:p>
    <w:p>
      <w:pPr>
        <w:pStyle w:val="ListBullet"/>
      </w:pPr>
      <w:r>
        <w:rPr>
          <w:b/>
        </w:rPr>
        <w:t>QA Lead:</w:t>
      </w:r>
      <w:r>
        <w:t xml:space="preserve"> Testing strategy and execution.</w:t>
      </w:r>
    </w:p>
    <w:p>
      <w:pPr>
        <w:pStyle w:val="ListBullet"/>
      </w:pPr>
      <w:r>
        <w:rPr>
          <w:b/>
        </w:rPr>
        <w:t>Change Manager:</w:t>
      </w:r>
      <w:r>
        <w:t xml:space="preserve"> Training and adoption support.</w:t>
      </w:r>
    </w:p>
    <w:p/>
    <w:p>
      <w:r>
        <w:t>CVs of key personnel will be provided in the final submission.</w:t>
      </w:r>
    </w:p>
    <w:p/>
    <w:p>
      <w:pPr>
        <w:pStyle w:val="Heading2"/>
      </w:pPr>
      <w:r>
        <w:t>7. Functional and Technical Compliance Matrix</w:t>
      </w:r>
    </w:p>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ID</w:t>
            </w:r>
          </w:p>
        </w:tc>
        <w:tc>
          <w:tcPr>
            <w:tcW w:type="dxa" w:w="2340"/>
            <w:shd w:fill="1a5490" w:val="clear"/>
            <w:vAlign w:val="top"/>
            <w:tcMar>
              <w:top w:w="80" w:type="dxa"/>
              <w:right w:w="80" w:type="dxa"/>
              <w:bottom w:w="80" w:type="dxa"/>
              <w:left w:w="80" w:type="dxa"/>
            </w:tcMar>
          </w:tcPr>
          <w:p>
            <w:r>
              <w:rPr>
                <w:b/>
                <w:color w:val="FFFFFF"/>
              </w:rPr>
              <w:t>Requirement</w:t>
            </w:r>
          </w:p>
        </w:tc>
        <w:tc>
          <w:tcPr>
            <w:tcW w:type="dxa" w:w="2340"/>
            <w:shd w:fill="1a5490" w:val="clear"/>
            <w:vAlign w:val="top"/>
            <w:tcMar>
              <w:top w:w="80" w:type="dxa"/>
              <w:right w:w="80" w:type="dxa"/>
              <w:bottom w:w="80" w:type="dxa"/>
              <w:left w:w="80" w:type="dxa"/>
            </w:tcMar>
          </w:tcPr>
          <w:p>
            <w:r>
              <w:rPr>
                <w:b/>
                <w:color w:val="FFFFFF"/>
              </w:rPr>
              <w:t>Compliance</w:t>
            </w:r>
          </w:p>
        </w:tc>
        <w:tc>
          <w:tcPr>
            <w:tcW w:type="dxa" w:w="2340"/>
            <w:shd w:fill="1a5490" w:val="clear"/>
            <w:vAlign w:val="top"/>
            <w:tcMar>
              <w:top w:w="80" w:type="dxa"/>
              <w:right w:w="80" w:type="dxa"/>
              <w:bottom w:w="80" w:type="dxa"/>
              <w:left w:w="80" w:type="dxa"/>
            </w:tcMar>
          </w:tcPr>
          <w:p>
            <w:r>
              <w:rPr>
                <w:b/>
                <w:color w:val="FFFFFF"/>
              </w:rPr>
              <w:t>Response / How We Meet It</w:t>
            </w:r>
          </w:p>
        </w:tc>
      </w:tr>
      <w:tr>
        <w:tc>
          <w:tcPr>
            <w:tcW w:type="dxa" w:w="2340"/>
            <w:vAlign w:val="top"/>
            <w:tcMar>
              <w:top w:w="80" w:type="dxa"/>
              <w:right w:w="80" w:type="dxa"/>
              <w:bottom w:w="80" w:type="dxa"/>
              <w:left w:w="80" w:type="dxa"/>
            </w:tcMar>
          </w:tcPr>
          <w:p>
            <w:r>
              <w:t>5.1.a</w:t>
            </w:r>
          </w:p>
        </w:tc>
        <w:tc>
          <w:tcPr>
            <w:tcW w:type="dxa" w:w="2340"/>
            <w:vAlign w:val="top"/>
            <w:tcMar>
              <w:top w:w="80" w:type="dxa"/>
              <w:right w:w="80" w:type="dxa"/>
              <w:bottom w:w="80" w:type="dxa"/>
              <w:left w:w="80" w:type="dxa"/>
            </w:tcMar>
          </w:tcPr>
          <w:p>
            <w:r>
              <w:t>Straight-through + human-centric workflows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Workflow engine supports automated steps (validations, integrations, rules) and human tasks (review/approve) in one end-to-end process.</w:t>
            </w:r>
          </w:p>
        </w:tc>
      </w:tr>
      <w:tr>
        <w:tc>
          <w:tcPr>
            <w:tcW w:type="dxa" w:w="2340"/>
            <w:vAlign w:val="top"/>
            <w:tcMar>
              <w:top w:w="80" w:type="dxa"/>
              <w:right w:w="80" w:type="dxa"/>
              <w:bottom w:w="80" w:type="dxa"/>
              <w:left w:w="80" w:type="dxa"/>
            </w:tcMar>
          </w:tcPr>
          <w:p>
            <w:r>
              <w:t>5.1.b</w:t>
            </w:r>
          </w:p>
        </w:tc>
        <w:tc>
          <w:tcPr>
            <w:tcW w:type="dxa" w:w="2340"/>
            <w:vAlign w:val="top"/>
            <w:tcMar>
              <w:top w:w="80" w:type="dxa"/>
              <w:right w:w="80" w:type="dxa"/>
              <w:bottom w:w="80" w:type="dxa"/>
              <w:left w:w="80" w:type="dxa"/>
            </w:tcMar>
          </w:tcPr>
          <w:p>
            <w:r>
              <w:t>Dynamic case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Supports ad-hoc tasks, attachments, notes, and contextual collaboration.</w:t>
            </w:r>
          </w:p>
        </w:tc>
      </w:tr>
      <w:tr>
        <w:tc>
          <w:tcPr>
            <w:tcW w:type="dxa" w:w="2340"/>
            <w:vAlign w:val="top"/>
            <w:tcMar>
              <w:top w:w="80" w:type="dxa"/>
              <w:right w:w="80" w:type="dxa"/>
              <w:bottom w:w="80" w:type="dxa"/>
              <w:left w:w="80" w:type="dxa"/>
            </w:tcMar>
          </w:tcPr>
          <w:p>
            <w:r>
              <w:t>5.1.c</w:t>
            </w:r>
          </w:p>
        </w:tc>
        <w:tc>
          <w:tcPr>
            <w:tcW w:type="dxa" w:w="2340"/>
            <w:vAlign w:val="top"/>
            <w:tcMar>
              <w:top w:w="80" w:type="dxa"/>
              <w:right w:w="80" w:type="dxa"/>
              <w:bottom w:w="80" w:type="dxa"/>
              <w:left w:w="80" w:type="dxa"/>
            </w:tcMar>
          </w:tcPr>
          <w:p>
            <w:r>
              <w:t>Centralized rules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Rules externalized from code, versioned, tested, and deployed via governance.</w:t>
            </w:r>
          </w:p>
        </w:tc>
      </w:tr>
      <w:tr>
        <w:tc>
          <w:tcPr>
            <w:tcW w:type="dxa" w:w="2340"/>
            <w:vAlign w:val="top"/>
            <w:tcMar>
              <w:top w:w="80" w:type="dxa"/>
              <w:right w:w="80" w:type="dxa"/>
              <w:bottom w:w="80" w:type="dxa"/>
              <w:left w:w="80" w:type="dxa"/>
            </w:tcMar>
          </w:tcPr>
          <w:p>
            <w:r>
              <w:t>5.1.d</w:t>
            </w:r>
          </w:p>
        </w:tc>
        <w:tc>
          <w:tcPr>
            <w:tcW w:type="dxa" w:w="2340"/>
            <w:vAlign w:val="top"/>
            <w:tcMar>
              <w:top w:w="80" w:type="dxa"/>
              <w:right w:w="80" w:type="dxa"/>
              <w:bottom w:w="80" w:type="dxa"/>
              <w:left w:w="80" w:type="dxa"/>
            </w:tcMar>
          </w:tcPr>
          <w:p>
            <w:r>
              <w:t>Web-based responsive UI</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Constellation UI accessible via standard browsers, responsive design.</w:t>
            </w:r>
          </w:p>
        </w:tc>
      </w:tr>
      <w:tr>
        <w:tc>
          <w:tcPr>
            <w:tcW w:type="dxa" w:w="2340"/>
            <w:vAlign w:val="top"/>
            <w:tcMar>
              <w:top w:w="80" w:type="dxa"/>
              <w:right w:w="80" w:type="dxa"/>
              <w:bottom w:w="80" w:type="dxa"/>
              <w:left w:w="80" w:type="dxa"/>
            </w:tcMar>
          </w:tcPr>
          <w:p>
            <w:r>
              <w:t>5.1.e</w:t>
            </w:r>
          </w:p>
        </w:tc>
        <w:tc>
          <w:tcPr>
            <w:tcW w:type="dxa" w:w="2340"/>
            <w:vAlign w:val="top"/>
            <w:tcMar>
              <w:top w:w="80" w:type="dxa"/>
              <w:right w:w="80" w:type="dxa"/>
              <w:bottom w:w="80" w:type="dxa"/>
              <w:left w:w="80" w:type="dxa"/>
            </w:tcMar>
          </w:tcPr>
          <w:p>
            <w:r>
              <w:t>SLA definition and monitoring</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SLA rules per process/case type, with dashboards and automated escalations.</w:t>
            </w:r>
          </w:p>
        </w:tc>
      </w:tr>
      <w:tr>
        <w:tc>
          <w:tcPr>
            <w:tcW w:type="dxa" w:w="2340"/>
            <w:vAlign w:val="top"/>
            <w:tcMar>
              <w:top w:w="80" w:type="dxa"/>
              <w:right w:w="80" w:type="dxa"/>
              <w:bottom w:w="80" w:type="dxa"/>
              <w:left w:w="80" w:type="dxa"/>
            </w:tcMar>
          </w:tcPr>
          <w:p>
            <w:r>
              <w:t>5.1.f</w:t>
            </w:r>
          </w:p>
        </w:tc>
        <w:tc>
          <w:tcPr>
            <w:tcW w:type="dxa" w:w="2340"/>
            <w:vAlign w:val="top"/>
            <w:tcMar>
              <w:top w:w="80" w:type="dxa"/>
              <w:right w:w="80" w:type="dxa"/>
              <w:bottom w:w="80" w:type="dxa"/>
              <w:left w:w="80" w:type="dxa"/>
            </w:tcMar>
          </w:tcPr>
          <w:p>
            <w:r>
              <w:t>Integration mechanisms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REST APIs, message queues, event-based integration, secure SSO.</w:t>
            </w:r>
          </w:p>
        </w:tc>
      </w:tr>
      <w:tr>
        <w:tc>
          <w:tcPr>
            <w:tcW w:type="dxa" w:w="2340"/>
            <w:vAlign w:val="top"/>
            <w:tcMar>
              <w:top w:w="80" w:type="dxa"/>
              <w:right w:w="80" w:type="dxa"/>
              <w:bottom w:w="80" w:type="dxa"/>
              <w:left w:w="80" w:type="dxa"/>
            </w:tcMar>
          </w:tcPr>
          <w:p>
            <w:r>
              <w:t>5.1.g</w:t>
            </w:r>
          </w:p>
        </w:tc>
        <w:tc>
          <w:tcPr>
            <w:tcW w:type="dxa" w:w="2340"/>
            <w:vAlign w:val="top"/>
            <w:tcMar>
              <w:top w:w="80" w:type="dxa"/>
              <w:right w:w="80" w:type="dxa"/>
              <w:bottom w:w="80" w:type="dxa"/>
              <w:left w:w="80" w:type="dxa"/>
            </w:tcMar>
          </w:tcPr>
          <w:p>
            <w:r>
              <w:t>Role-based access control</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Integrated with MTI’s AD via SSO and group-to-role mapping.</w:t>
            </w:r>
          </w:p>
        </w:tc>
      </w:tr>
      <w:tr>
        <w:tc>
          <w:tcPr>
            <w:tcW w:type="dxa" w:w="2340"/>
            <w:vAlign w:val="top"/>
            <w:tcMar>
              <w:top w:w="80" w:type="dxa"/>
              <w:right w:w="80" w:type="dxa"/>
              <w:bottom w:w="80" w:type="dxa"/>
              <w:left w:w="80" w:type="dxa"/>
            </w:tcMar>
          </w:tcPr>
          <w:p>
            <w:r>
              <w:t>5.1.h</w:t>
            </w:r>
          </w:p>
        </w:tc>
        <w:tc>
          <w:tcPr>
            <w:tcW w:type="dxa" w:w="2340"/>
            <w:vAlign w:val="top"/>
            <w:tcMar>
              <w:top w:w="80" w:type="dxa"/>
              <w:right w:w="80" w:type="dxa"/>
              <w:bottom w:w="80" w:type="dxa"/>
              <w:left w:w="80" w:type="dxa"/>
            </w:tcMar>
          </w:tcPr>
          <w:p>
            <w:r>
              <w:t>Proven BPM suite</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Pega Constellation, enterprise-grade, low-code, government-proven.</w:t>
            </w:r>
          </w:p>
        </w:tc>
      </w:tr>
    </w:tbl>
    <w:p/>
    <w:p>
      <w:pPr>
        <w:pStyle w:val="Heading2"/>
      </w:pPr>
      <w:r>
        <w:t>8. Assumptions, Dependencies, and Risks</w:t>
      </w:r>
    </w:p>
    <w:p/>
    <w:p>
      <w:r>
        <w:t>Assumptions:</w:t>
      </w:r>
    </w:p>
    <w:p>
      <w:pPr>
        <w:pStyle w:val="ListBullet"/>
      </w:pPr>
      <w:r>
        <w:t>MTI will provide access to existing systems and APIs.</w:t>
      </w:r>
    </w:p>
    <w:p>
      <w:pPr>
        <w:pStyle w:val="ListBullet"/>
      </w:pPr>
      <w:r>
        <w:t>MTI’s infrastructure meets baseline performance and security requirements.</w:t>
      </w:r>
    </w:p>
    <w:p>
      <w:pPr>
        <w:pStyle w:val="ListBullet"/>
      </w:pPr>
      <w:r>
        <w:t>MTI will nominate process owners for each domain.</w:t>
      </w:r>
    </w:p>
    <w:p/>
    <w:p>
      <w:r>
        <w:t>Dependencies:</w:t>
      </w:r>
    </w:p>
    <w:p>
      <w:pPr>
        <w:pStyle w:val="ListBullet"/>
      </w:pPr>
      <w:r>
        <w:t>Availability of MTI’s identity management and integration gateways.</w:t>
      </w:r>
    </w:p>
    <w:p>
      <w:pPr>
        <w:pStyle w:val="ListBullet"/>
      </w:pPr>
      <w:r>
        <w:t>Timely feedback during UAT and design reviews.</w:t>
      </w:r>
    </w:p>
    <w:p/>
    <w:p>
      <w:r>
        <w:t>Risks and Mitigation:</w:t>
      </w:r>
    </w:p>
    <w:p>
      <w:pPr>
        <w:pStyle w:val="ListBullet"/>
      </w:pPr>
      <w:r>
        <w:rPr>
          <w:b/>
        </w:rPr>
        <w:t>Integration complexity:</w:t>
      </w:r>
      <w:r>
        <w:t xml:space="preserve"> Mitigated through early API contract definition and mock testing.</w:t>
      </w:r>
    </w:p>
    <w:p>
      <w:pPr>
        <w:pStyle w:val="ListBullet"/>
      </w:pPr>
      <w:r>
        <w:rPr>
          <w:b/>
        </w:rPr>
        <w:t>Change resistance:</w:t>
      </w:r>
      <w:r>
        <w:t xml:space="preserve"> Addressed via structured change management and training.</w:t>
      </w:r>
    </w:p>
    <w:p>
      <w:pPr>
        <w:pStyle w:val="ListBullet"/>
      </w:pPr>
      <w:r>
        <w:rPr>
          <w:b/>
        </w:rPr>
        <w:t>Performance issues:</w:t>
      </w:r>
      <w:r>
        <w:t xml:space="preserve"> Managed through load testing and capacity planning.</w:t>
      </w:r>
    </w:p>
    <w:p/>
    <w:p>
      <w:pPr>
        <w:pStyle w:val="Heading2"/>
      </w:pPr>
      <w:r>
        <w:t>9. Support and Maintenance Model</w:t>
      </w:r>
    </w:p>
    <w:p/>
    <w:p>
      <w:r>
        <w:t>FusionAIx will provide a minimum of three (3) years of post go-live support and maintenance, including patching, upgrades, and incident resolution.</w:t>
      </w:r>
    </w:p>
    <w:p/>
    <w:p>
      <w:r>
        <w:t>Support Tiers:</w:t>
      </w:r>
    </w:p>
    <w:p>
      <w:pPr>
        <w:pStyle w:val="ListBullet"/>
      </w:pPr>
      <w:r>
        <w:rPr>
          <w:b/>
        </w:rPr>
        <w:t>L1:</w:t>
      </w:r>
      <w:r>
        <w:t xml:space="preserve"> User support, access issues, minor fixes.</w:t>
      </w:r>
    </w:p>
    <w:p>
      <w:pPr>
        <w:pStyle w:val="ListBullet"/>
      </w:pPr>
      <w:r>
        <w:rPr>
          <w:b/>
        </w:rPr>
        <w:t>L2:</w:t>
      </w:r>
      <w:r>
        <w:t xml:space="preserve"> Configuration and integration troubleshooting.</w:t>
      </w:r>
    </w:p>
    <w:p>
      <w:pPr>
        <w:pStyle w:val="ListBullet"/>
      </w:pPr>
      <w:r>
        <w:rPr>
          <w:b/>
        </w:rPr>
        <w:t>L3:</w:t>
      </w:r>
      <w:r>
        <w:t xml:space="preserve"> Complex defects, performance tuning, upgrades.</w:t>
      </w:r>
    </w:p>
    <w:p/>
    <w:p>
      <w:r>
        <w:t>SLA Targets:</w:t>
      </w:r>
    </w:p>
    <w:p>
      <w:pPr>
        <w:pStyle w:val="ListBullet"/>
      </w:pPr>
      <w:r>
        <w:rPr>
          <w:b/>
        </w:rPr>
        <w:t>Severity 1:</w:t>
      </w:r>
      <w:r>
        <w:t xml:space="preserve"> Response within 1 hour, resolution within 4 hours.</w:t>
      </w:r>
    </w:p>
    <w:p>
      <w:pPr>
        <w:pStyle w:val="ListBullet"/>
      </w:pPr>
      <w:r>
        <w:rPr>
          <w:b/>
        </w:rPr>
        <w:t>Severity 2:</w:t>
      </w:r>
      <w:r>
        <w:t xml:space="preserve"> Response within 4 hours, resolution within 1 business day.</w:t>
      </w:r>
    </w:p>
    <w:p>
      <w:pPr>
        <w:pStyle w:val="ListBullet"/>
      </w:pPr>
      <w:r>
        <w:rPr>
          <w:b/>
        </w:rPr>
        <w:t>Severity 3:</w:t>
      </w:r>
      <w:r>
        <w:t xml:space="preserve"> Response within 1 business day, resolution within 3 business days.</w:t>
      </w:r>
    </w:p>
    <w:p/>
    <w:p>
      <w:r>
        <w:t>Governance:</w:t>
      </w:r>
    </w:p>
    <w:p>
      <w:pPr>
        <w:pStyle w:val="ListBullet"/>
      </w:pPr>
      <w:r>
        <w:t>Monthly service reviews covering SLA performance, root causes, and continuous improvement.</w:t>
      </w:r>
    </w:p>
    <w:p>
      <w:pPr>
        <w:pStyle w:val="ListBullet"/>
      </w:pPr>
      <w:r>
        <w:t>Escalation ladder: Support Lead → Program Manager → Executive Sponsor.</w:t>
      </w:r>
    </w:p>
    <w:p/>
    <w:p>
      <w:pPr>
        <w:pStyle w:val="Heading2"/>
      </w:pPr>
      <w:r>
        <w:t>10. Commercial Proposal</w:t>
      </w:r>
    </w:p>
    <w:p/>
    <w:p>
      <w:r>
        <w:t>The commercial response will be provided in the final submission package and will include a 5-year total cost of ownership (TCO) view, with costs broken down by:</w:t>
      </w:r>
    </w:p>
    <w:p/>
    <w:p>
      <w:pPr>
        <w:pStyle w:val="ListBullet"/>
      </w:pPr>
      <w:r>
        <w:rPr>
          <w:b/>
        </w:rPr>
        <w:t>Licensing:</w:t>
      </w:r>
      <w:r>
        <w:t xml:space="preserve"> Internal users and external portal usage model.</w:t>
      </w:r>
    </w:p>
    <w:p>
      <w:pPr>
        <w:pStyle w:val="ListBullet"/>
      </w:pPr>
      <w:r>
        <w:rPr>
          <w:b/>
        </w:rPr>
        <w:t>Implementation Services:</w:t>
      </w:r>
      <w:r>
        <w:t xml:space="preserve"> Discovery, design, configuration, integration, testing, training.</w:t>
      </w:r>
    </w:p>
    <w:p>
      <w:pPr>
        <w:pStyle w:val="ListBullet"/>
      </w:pPr>
      <w:r>
        <w:rPr>
          <w:b/>
        </w:rPr>
        <w:t>Support and Maintenance:</w:t>
      </w:r>
      <w:r>
        <w:t xml:space="preserve"> Three years minimum post go-live.</w:t>
      </w:r>
    </w:p>
    <w:p>
      <w:pPr>
        <w:pStyle w:val="ListBullet"/>
      </w:pPr>
      <w:r>
        <w:rPr>
          <w:b/>
        </w:rPr>
        <w:t>Optional Components:</w:t>
      </w:r>
      <w:r>
        <w:t xml:space="preserve"> Advanced analytics, additional environments, DR enhancements, AI-assisted features under governance.</w:t>
      </w:r>
    </w:p>
    <w:p/>
    <w:p>
      <w:r>
        <w:t>All pricing will be aligned with MTI’s procurement and budgetary guidelines.</w:t>
      </w:r>
    </w:p>
    <w:p/>
    <w:p>
      <w:r>
        <w:t>End of Document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