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5510892" cy="1371600"/>
            <wp:docPr id="1" name="Picture 1"/>
            <wp:cNvGraphicFramePr>
              <a:graphicFrameLocks noChangeAspect="1"/>
            </wp:cNvGraphicFramePr>
            <a:graphic>
              <a:graphicData uri="http://schemas.openxmlformats.org/drawingml/2006/picture">
                <pic:pic>
                  <pic:nvPicPr>
                    <pic:cNvPr id="0" name="logo-transparent.png"/>
                    <pic:cNvPicPr/>
                  </pic:nvPicPr>
                  <pic:blipFill>
                    <a:blip r:embed="rId10"/>
                    <a:stretch>
                      <a:fillRect/>
                    </a:stretch>
                  </pic:blipFill>
                  <pic:spPr>
                    <a:xfrm>
                      <a:off x="0" y="0"/>
                      <a:ext cx="5510892" cy="1371600"/>
                    </a:xfrm>
                    <a:prstGeom prst="rect"/>
                  </pic:spPr>
                </pic:pic>
              </a:graphicData>
            </a:graphic>
          </wp:inline>
        </w:drawing>
      </w:r>
    </w:p>
    <w:p/>
    <w:p/>
    <w:p>
      <w:pPr>
        <w:keepNext w:val="0"/>
        <w:keepLines w:val="0"/>
        <w:widowControl w:val="0"/>
        <w:spacing w:after="240" w:before="0"/>
        <w:jc w:val="center"/>
        <w:wordWrap w:val="0"/>
        <w:overflowPunct w:val="0"/>
      </w:pPr>
      <w:r>
        <w:rPr>
          <w:rFonts w:ascii="Calibri" w:hAnsi="Calibri"/>
          <w:b/>
          <w:color w:val="1A5490"/>
          <w:sz w:val="56"/>
        </w:rPr>
        <w:t>RFP Response - Implementation of an enterprise BPM platform for M...</w:t>
      </w:r>
    </w:p>
    <w:p/>
    <w:p/>
    <w:p>
      <w:pPr>
        <w:jc w:val="center"/>
      </w:pPr>
      <w:r>
        <w:rPr>
          <w:rFonts w:ascii="Calibri" w:hAnsi="Calibri"/>
          <w:color w:val="646464"/>
          <w:sz w:val="28"/>
        </w:rPr>
        <w:t>December 21, 2025</w:t>
      </w:r>
    </w:p>
    <w:p/>
    <w:p/>
    <w:p/>
    <w:p/>
    <w:p>
      <w:pPr>
        <w:jc w:val="center"/>
      </w:pPr>
      <w:r>
        <w:rPr>
          <w:rFonts w:ascii="Calibri" w:hAnsi="Calibri"/>
          <w:b/>
          <w:color w:val="1A5490"/>
          <w:sz w:val="40"/>
        </w:rPr>
        <w:t>fusionAIx</w:t>
      </w:r>
    </w:p>
    <w:p>
      <w:pPr>
        <w:jc w:val="center"/>
      </w:pPr>
      <w:r>
        <w:rPr>
          <w:rFonts w:ascii="Calibri" w:hAnsi="Calibri"/>
          <w:color w:val="646464"/>
          <w:sz w:val="24"/>
        </w:rPr>
        <w:t>www.fusionaix.com</w:t>
      </w:r>
    </w:p>
    <w:p/>
    <w:p>
      <w:r>
        <w:br w:type="page"/>
      </w:r>
    </w:p>
    <w:p>
      <w:pPr>
        <w:pStyle w:val="Heading1"/>
      </w:pPr>
      <w:r>
        <w:t>Table of Contents</w:t>
      </w:r>
    </w:p>
    <w:p>
      <w:r>
        <w:fldSimple w:instr="TOC \o &quot;1-3&quot; \h \z \u"/>
      </w:r>
    </w:p>
    <w:p>
      <w:r>
        <w:br w:type="page"/>
      </w: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Pr>
        <w:pStyle w:val="Heading1"/>
      </w:pPr>
      <w:r>
        <w:t>fusionAIx Proposal for MTI BPM Platform Implementation</w:t>
      </w:r>
    </w:p>
    <w:p/>
    <w:p>
      <w:pPr>
        <w:pStyle w:val="Heading2"/>
      </w:pPr>
      <w:r>
        <w:t>1. Executive Summary</w:t>
      </w:r>
    </w:p>
    <w:p/>
    <w:p>
      <w:r>
        <w:t>FusionAIx is pleased to submit this comprehensive proposal in response to MTI’s Request for Proposal (RFP) for the implementation of an enterprise-grade Business Process Management (BPM) platform. Our proposal strictly follows the ten-section structure mandated by MTI and provides a detailed, end-to-end response addressing all functional, technical, and operational requirements.</w:t>
      </w:r>
    </w:p>
    <w:p/>
    <w:p>
      <w:r>
        <w:t>At fusionAIx, we specialize in delivering intelligent automation and low-code transformation solutions that empower government and enterprise clients to digitize, streamline, and scale their operations. As a niche Pega partner with over 20 successful Pega Constellation implementations globally, we bring deep expertise in model-driven BPM, dynamic case management, and AI-assisted process optimization.</w:t>
      </w:r>
    </w:p>
    <w:p/>
    <w:p>
      <w:r>
        <w:t>Our proposed solution for MTI is based on the Pega Constellation BPM suite, an enterprise-grade, low-code platform proven in government and large enterprise environments. It supports both straight-through processing and human-centric workflows, dynamic case management, centralized rules management, and responsive web-based user interfaces. The platform’s architecture ensures compliance with MTI’s security, data residency, and integration standards, while enabling rapid onboarding of new processes through reusable configuration templates and automation accelerators.</w:t>
      </w:r>
    </w:p>
    <w:p/>
    <w:p>
      <w:r>
        <w:t>FusionAIx’s approach emphasizes collaboration, transparency, and sustainability. We will deliver not only a robust BPM platform but also a “process factory” capability that empowers MTI to independently configure and deploy new workflows without vendor dependency. Our implementation methodology combines agile delivery, model-driven configuration, and continuous stakeholder engagement to ensure rapid time-to-value and long-term adaptability.</w:t>
      </w:r>
    </w:p>
    <w:p/>
    <w:p>
      <w:r>
        <w:t>We commit to providing a minimum of three years of post go-live support and maintenance, including patching, upgrades, and incident resolution under defined SLAs. Our support model includes tiered escalation, proactive monitoring, and continuous improvement reviews.</w:t>
      </w:r>
    </w:p>
    <w:p/>
    <w:p>
      <w:r>
        <w:t>FusionAIx’s proposal represents a partnership built on innovation, accountability, and measurable outcomes. We are confident that our solution will enable MTI to achieve its digital transformation objectives—delivering faster, more transparent, and citizen-centric services.</w:t>
      </w:r>
    </w:p>
    <w:p/>
    <w:p>
      <w:pPr>
        <w:pStyle w:val="Heading2"/>
      </w:pPr>
      <w:r>
        <w:t>2. Understanding of MTI’s Objectives and Context</w:t>
      </w:r>
    </w:p>
    <w:p/>
    <w:p>
      <w:r>
        <w:t>We understand that MTI seeks to implement a unified BPM platform to digitize, automate, and manage key business processes across its operations. The platform must support both internal and external users, streamline case handling, and provide transparency through dashboards, reports, and SLA monitoring.</w:t>
      </w:r>
    </w:p>
    <w:p/>
    <w:p>
      <w:pPr>
        <w:pStyle w:val="Heading3"/>
      </w:pPr>
      <w:r>
        <w:t>MTI’s Strategic Objectives</w:t>
      </w:r>
    </w:p>
    <w:p/>
    <w:p>
      <w:pPr>
        <w:pStyle w:val="ListBullet"/>
      </w:pPr>
      <w:r>
        <w:rPr>
          <w:b/>
        </w:rPr>
        <w:t>Process Digitization and Standardization:</w:t>
      </w:r>
      <w:r>
        <w:t xml:space="preserve"> MTI aims to replace fragmented, manual, and paper-based workflows with a centralized, model-driven BPM platform that enforces consistency, traceability, and compliance.</w:t>
      </w:r>
    </w:p>
    <w:p>
      <w:pPr>
        <w:pStyle w:val="ListBullet"/>
      </w:pPr>
      <w:r>
        <w:rPr>
          <w:b/>
        </w:rPr>
        <w:t>Citizen and Business Enablement:</w:t>
      </w:r>
      <w:r>
        <w:t xml:space="preserve"> Through self-service portals and guided workflows, MTI seeks to improve service delivery for business licensing, renewals, incentives, and grants.</w:t>
      </w:r>
    </w:p>
    <w:p>
      <w:pPr>
        <w:pStyle w:val="ListBullet"/>
      </w:pPr>
      <w:r>
        <w:rPr>
          <w:b/>
        </w:rPr>
        <w:t>Operational Efficiency:</w:t>
      </w:r>
      <w:r>
        <w:t xml:space="preserve"> The platform must support both straight-through and human-centric workflows, enabling automation where possible and human oversight where necessary.</w:t>
      </w:r>
    </w:p>
    <w:p>
      <w:pPr>
        <w:pStyle w:val="ListBullet"/>
      </w:pPr>
      <w:r>
        <w:rPr>
          <w:b/>
        </w:rPr>
        <w:t>Governance and Compliance:</w:t>
      </w:r>
      <w:r>
        <w:t xml:space="preserve"> MTI requires centralized rules management, audit logging, and role-based access control to ensure compliance with national data protection and security standards.</w:t>
      </w:r>
    </w:p>
    <w:p>
      <w:pPr>
        <w:pStyle w:val="ListBullet"/>
      </w:pPr>
      <w:r>
        <w:rPr>
          <w:b/>
        </w:rPr>
        <w:t>Scalability and Future Readiness:</w:t>
      </w:r>
      <w:r>
        <w:t xml:space="preserve"> The solution must be extensible to onboard new processes rapidly, without heavy vendor dependency or custom development.</w:t>
      </w:r>
    </w:p>
    <w:p/>
    <w:p>
      <w:pPr>
        <w:pStyle w:val="Heading3"/>
      </w:pPr>
      <w:r>
        <w:t>Initial Process Scope</w:t>
      </w:r>
    </w:p>
    <w:p/>
    <w:p>
      <w:r>
        <w:t>The initial implementation will focus on, but is not limited to, the following processes:</w:t>
      </w:r>
    </w:p>
    <w:p>
      <w:pPr>
        <w:pStyle w:val="ListBullet"/>
      </w:pPr>
      <w:r>
        <w:t>Business licensing and renewals</w:t>
      </w:r>
    </w:p>
    <w:p>
      <w:pPr>
        <w:pStyle w:val="ListBullet"/>
      </w:pPr>
      <w:r>
        <w:t>Incentive and grants application and approval</w:t>
      </w:r>
    </w:p>
    <w:p>
      <w:pPr>
        <w:pStyle w:val="ListBullet"/>
      </w:pPr>
      <w:r>
        <w:t>Permitting and compliance workflows</w:t>
      </w:r>
    </w:p>
    <w:p>
      <w:pPr>
        <w:pStyle w:val="ListBullet"/>
      </w:pPr>
      <w:r>
        <w:t>Internal administrative approvals</w:t>
      </w:r>
    </w:p>
    <w:p/>
    <w:p>
      <w:pPr>
        <w:pStyle w:val="Heading3"/>
      </w:pPr>
      <w:r>
        <w:t>Operational Context</w:t>
      </w:r>
    </w:p>
    <w:p/>
    <w:p>
      <w:r>
        <w:t>MTI operates within a regulated environment that demands strict adherence to data residency, security, and auditability requirements. The BPM platform must integrate seamlessly with MTI’s existing systems, including identity management, document repositories, and integration gateways.</w:t>
      </w:r>
    </w:p>
    <w:p/>
    <w:p>
      <w:r>
        <w:t>FusionAIx recognizes that MTI’s transformation journey is not limited to technology adoption—it is about enabling a sustainable digital operating model. Our approach ensures that MTI’s internal teams are empowered to manage, extend, and evolve the platform independently through training, governance, and reusable configuration assets.</w:t>
      </w:r>
    </w:p>
    <w:p/>
    <w:p>
      <w:pPr>
        <w:pStyle w:val="Heading2"/>
      </w:pPr>
      <w:r>
        <w:t>3. Proposed Solution Overview</w:t>
      </w:r>
    </w:p>
    <w:p/>
    <w:p>
      <w:pPr>
        <w:pStyle w:val="Heading3"/>
      </w:pPr>
      <w:r>
        <w:t>3.1 Platform Overview</w:t>
      </w:r>
    </w:p>
    <w:p/>
    <w:p>
      <w:r>
        <w:t>FusionAIx proposes the Pega Constellation BPM suite as the foundation for MTI’s enterprise BPM platform. Pega Constellation is a proven, enterprise-grade, low-code platform designed for government and large enterprises. It supports:</w:t>
      </w:r>
    </w:p>
    <w:p>
      <w:pPr>
        <w:pStyle w:val="ListBullet"/>
      </w:pPr>
      <w:r>
        <w:rPr>
          <w:b/>
        </w:rPr>
        <w:t>Straight-through and human-centric workflows</w:t>
      </w:r>
    </w:p>
    <w:p>
      <w:pPr>
        <w:pStyle w:val="ListBullet"/>
      </w:pPr>
      <w:r>
        <w:rPr>
          <w:b/>
        </w:rPr>
        <w:t>Dynamic case management</w:t>
      </w:r>
      <w:r>
        <w:t xml:space="preserve"> with ad-hoc tasks, attachments, and notes</w:t>
      </w:r>
    </w:p>
    <w:p>
      <w:pPr>
        <w:pStyle w:val="ListBullet"/>
      </w:pPr>
      <w:r>
        <w:rPr>
          <w:b/>
        </w:rPr>
        <w:t>Centralized rules management</w:t>
      </w:r>
      <w:r>
        <w:t xml:space="preserve"> with versioning, testing, and controlled deployment</w:t>
      </w:r>
    </w:p>
    <w:p>
      <w:pPr>
        <w:pStyle w:val="ListBullet"/>
      </w:pPr>
      <w:r>
        <w:rPr>
          <w:b/>
        </w:rPr>
        <w:t>Responsive, web-based user interfaces</w:t>
      </w:r>
      <w:r>
        <w:t xml:space="preserve"> accessible via standard browsers</w:t>
      </w:r>
    </w:p>
    <w:p>
      <w:pPr>
        <w:pStyle w:val="ListBullet"/>
      </w:pPr>
      <w:r>
        <w:rPr>
          <w:b/>
        </w:rPr>
        <w:t>Role-based access control (RBAC)</w:t>
      </w:r>
      <w:r>
        <w:t xml:space="preserve"> and full audit logging</w:t>
      </w:r>
    </w:p>
    <w:p>
      <w:pPr>
        <w:pStyle w:val="ListBullet"/>
      </w:pPr>
      <w:r>
        <w:rPr>
          <w:b/>
        </w:rPr>
        <w:t>Integration via REST APIs, message queues, and event-based mechanisms</w:t>
      </w:r>
    </w:p>
    <w:p/>
    <w:p>
      <w:pPr>
        <w:pStyle w:val="Heading3"/>
      </w:pPr>
      <w:r>
        <w:t>3.2 Architecture and Components</w:t>
      </w:r>
    </w:p>
    <w:p/>
    <w:p>
      <w:r>
        <w:t>The proposed architecture is modular, scalable, and secure, comprising the following layers:</w:t>
      </w:r>
    </w:p>
    <w:p/>
    <w:p>
      <w:pPr>
        <w:pStyle w:val="ListBullet"/>
      </w:pPr>
      <w:r>
        <w:rPr>
          <w:b/>
        </w:rPr>
        <w:t>Presentation Layer:</w:t>
      </w:r>
      <w:r>
        <w:t xml:space="preserve"> Web-based responsive UI built on Pega Constellation, supporting guided steps, contextual help, and self-service portals for external users.</w:t>
      </w:r>
    </w:p>
    <w:p>
      <w:pPr>
        <w:pStyle w:val="ListBullet"/>
      </w:pPr>
      <w:r>
        <w:rPr>
          <w:b/>
        </w:rPr>
        <w:t>Process Layer:</w:t>
      </w:r>
      <w:r>
        <w:t xml:space="preserve"> Model-driven process definitions supporting both automated and human tasks, SLA tracking, and escalation management.</w:t>
      </w:r>
    </w:p>
    <w:p>
      <w:pPr>
        <w:pStyle w:val="ListBullet"/>
      </w:pPr>
      <w:r>
        <w:rPr>
          <w:b/>
        </w:rPr>
        <w:t>Rules Layer:</w:t>
      </w:r>
      <w:r>
        <w:t xml:space="preserve"> Centralized business rules engine externalizing policies from application code, enabling versioning, testing, and controlled deployment.</w:t>
      </w:r>
    </w:p>
    <w:p>
      <w:pPr>
        <w:pStyle w:val="ListBullet"/>
      </w:pPr>
      <w:r>
        <w:rPr>
          <w:b/>
        </w:rPr>
        <w:t>Integration Layer:</w:t>
      </w:r>
      <w:r>
        <w:t xml:space="preserve"> Standardized REST APIs and message-based integration with MTI’s systems, including IAM, document management, and payment gateways.</w:t>
      </w:r>
    </w:p>
    <w:p>
      <w:pPr>
        <w:pStyle w:val="ListBullet"/>
      </w:pPr>
      <w:r>
        <w:rPr>
          <w:b/>
        </w:rPr>
        <w:t>Data Layer:</w:t>
      </w:r>
      <w:r>
        <w:t xml:space="preserve"> Secure data storage with encryption at rest and in transit, supporting MTI’s data residency requirements.</w:t>
      </w:r>
    </w:p>
    <w:p>
      <w:pPr>
        <w:pStyle w:val="ListBullet"/>
      </w:pPr>
      <w:r>
        <w:rPr>
          <w:b/>
        </w:rPr>
        <w:t>Analytics Layer:</w:t>
      </w:r>
      <w:r>
        <w:t xml:space="preserve"> Real-time dashboards and reports for monitoring case volumes, workload distribution, SLA performance, and bottlenecks.</w:t>
      </w:r>
    </w:p>
    <w:p/>
    <w:p>
      <w:pPr>
        <w:pStyle w:val="Heading3"/>
      </w:pPr>
      <w:r>
        <w:t>3.3 Key Differentiators</w:t>
      </w:r>
    </w:p>
    <w:p/>
    <w:p>
      <w:pPr>
        <w:pStyle w:val="ListBullet"/>
      </w:pPr>
      <w:r>
        <w:rPr>
          <w:b/>
        </w:rPr>
        <w:t>Reusable “Process Factory” Kit:</w:t>
      </w:r>
      <w:r>
        <w:t xml:space="preserve"> fusionAIx will enable rapid onboarding by delivering a reusable “process factory” kit that MTI can use to stand up new workflows via configuration, not custom code. This kit includes configurable case-type templates (intake → validation → review → approval → issuance/closure), reusable task components (checklists, evidence requests, reassignment/return loops, escalations), and standard SLA patterns (business-hours calendars, aging buckets, breach warnings, supervisor escalations) that can be applied to new processes by parameter changes. We will provide a rules/catalog framework (eligibility, thresholds, routing, decision matrices) with versioning, testing, and a promotion pipeline (Dev→Test→Prod), plus prebuilt form/portal templates (application submission, document upload, status tracking, notifications) that MTI can clone and adapt per process. To reduce dependency, MTI receives a governed configuration package library (reusable data objects, UI fragments, report/dashboard templates, integration stubs, notification templates) and training/KT so internal admins and power users can create new case types, adjust routing, and publish dashboards under role-based controls. Finally, we include automation accelerators such as process scaffolding wizards, reusable integration patterns (API connector templates, error/retry handling), and a “definition of done” checklist (security, audit, SLA, reporting) so new processes can be onboarded consistently and quickly by MTI teams.</w:t>
      </w:r>
    </w:p>
    <w:p/>
    <w:p>
      <w:pPr>
        <w:pStyle w:val="ListBullet"/>
      </w:pPr>
      <w:r>
        <w:rPr>
          <w:b/>
        </w:rPr>
        <w:t>Hybrid-Ready Deployment Model:</w:t>
      </w:r>
      <w:r>
        <w:t xml:space="preserve"> fusionAIx will support any MTI-approved hosting model—on-premises, government/private cloud, or hybrid—and our default recommendation is a hybrid-ready architecture so MTI can keep regulated data within its preferred boundary while still enabling elastic scaling for non-sensitive components if policy allows.</w:t>
      </w:r>
    </w:p>
    <w:p/>
    <w:p>
      <w:pPr>
        <w:pStyle w:val="ListBullet"/>
      </w:pPr>
      <w:r>
        <w:rPr>
          <w:b/>
        </w:rPr>
        <w:t>Security and Compliance:</w:t>
      </w:r>
      <w:r>
        <w:t xml:space="preserve"> Security controls (policy-aligned): integrate with MTI IAM for SSO + RBAC (SAML/OIDC), enforce least-privilege roles, segregate duties (maker/checker), encrypt data in transit (TLS) and at rest, and implement hardened baseline configurations, patching cadence, vulnerability scanning, and secure SDLC controls. Data residency: keep all case data, documents, logs, backups, and DR replicas in MTI-approved data centers/regions; enforce retention and deletion policies; and restrict cross-boundary data movement via network and gateway controls. Integration standards: integrate through MTI’s preferred API gateway / integration platform (where available) using versioned REST APIs and/or async messaging patterns; apply throttling, schema validation, consistent error handling, retries/circuit breakers, and contract testing across Dev/Test/Prod. Operational governance: maintain separate Dev/Test/Prod environments, centralized logging/monitoring integrated with MTI SOC/SIEM, immutable audit trails for admin and user actions, and HA/DR designed to MTI-defined RPO/RTO with routine failover testing.</w:t>
      </w:r>
    </w:p>
    <w:p/>
    <w:p>
      <w:pPr>
        <w:pStyle w:val="Heading2"/>
      </w:pPr>
      <w:r>
        <w:t>4. Implementation Approach and Methodology</w:t>
      </w:r>
    </w:p>
    <w:p/>
    <w:p>
      <w:r>
        <w:t>FusionAIx follows a phased, agile implementation methodology that ensures rapid delivery, stakeholder alignment, and quality assurance throughout the project lifecycle.</w:t>
      </w:r>
    </w:p>
    <w:p/>
    <w:p>
      <w:pPr>
        <w:pStyle w:val="Heading3"/>
      </w:pPr>
      <w:r>
        <w:t>4.1 Discovery and Requirements Refinement</w:t>
      </w:r>
    </w:p>
    <w:p>
      <w:pPr>
        <w:pStyle w:val="ListBullet"/>
      </w:pPr>
      <w:r>
        <w:t>Conduct collaborative workshops with MTI stakeholders to refine process requirements.</w:t>
      </w:r>
    </w:p>
    <w:p>
      <w:pPr>
        <w:pStyle w:val="ListBullet"/>
      </w:pPr>
      <w:r>
        <w:t xml:space="preserve">Use fusionAIx’s </w:t>
      </w:r>
      <w:r>
        <w:rPr>
          <w:b/>
        </w:rPr>
        <w:t>fxSmartDCO</w:t>
      </w:r>
      <w:r>
        <w:t xml:space="preserve"> accelerator to capture business rules, SLAs, and UI mockups directly into the BPM model.</w:t>
      </w:r>
    </w:p>
    <w:p>
      <w:pPr>
        <w:pStyle w:val="ListBullet"/>
      </w:pPr>
      <w:r>
        <w:t>Define process KPIs, SLAs, and reporting needs.</w:t>
      </w:r>
    </w:p>
    <w:p/>
    <w:p>
      <w:pPr>
        <w:pStyle w:val="Heading3"/>
      </w:pPr>
      <w:r>
        <w:t>4.2 Design and Configuration</w:t>
      </w:r>
    </w:p>
    <w:p>
      <w:pPr>
        <w:pStyle w:val="ListBullet"/>
      </w:pPr>
      <w:r>
        <w:t>Model processes using Pega’s low-code designer studio.</w:t>
      </w:r>
    </w:p>
    <w:p>
      <w:pPr>
        <w:pStyle w:val="ListBullet"/>
      </w:pPr>
      <w:r>
        <w:t>Configure reusable templates from the “process factory” kit.</w:t>
      </w:r>
    </w:p>
    <w:p>
      <w:pPr>
        <w:pStyle w:val="ListBullet"/>
      </w:pPr>
      <w:r>
        <w:t>Define rules, data objects, and integrations using the rules/catalog framework.</w:t>
      </w:r>
    </w:p>
    <w:p/>
    <w:p>
      <w:pPr>
        <w:pStyle w:val="Heading3"/>
      </w:pPr>
      <w:r>
        <w:t>4.3 Integration and Testing</w:t>
      </w:r>
    </w:p>
    <w:p>
      <w:pPr>
        <w:pStyle w:val="ListBullet"/>
      </w:pPr>
      <w:r>
        <w:t>Integrate with MTI’s IAM, document management, and external systems via REST APIs.</w:t>
      </w:r>
    </w:p>
    <w:p>
      <w:pPr>
        <w:pStyle w:val="ListBullet"/>
      </w:pPr>
      <w:r>
        <w:t>Conduct SIT, performance, and security testing.</w:t>
      </w:r>
    </w:p>
    <w:p>
      <w:pPr>
        <w:pStyle w:val="ListBullet"/>
      </w:pPr>
      <w:r>
        <w:t>Support UAT with environment readiness, defect triage, and release sign-off.</w:t>
      </w:r>
    </w:p>
    <w:p/>
    <w:p>
      <w:pPr>
        <w:pStyle w:val="Heading3"/>
      </w:pPr>
      <w:r>
        <w:t>4.4 Training and Change Enablement</w:t>
      </w:r>
    </w:p>
    <w:p>
      <w:pPr>
        <w:pStyle w:val="ListBullet"/>
      </w:pPr>
      <w:r>
        <w:t>Deliver training for system administrators, business power users, and end users.</w:t>
      </w:r>
    </w:p>
    <w:p>
      <w:pPr>
        <w:pStyle w:val="ListBullet"/>
      </w:pPr>
      <w:r>
        <w:t>Provide training materials, user guides, and knowledge transfer sessions.</w:t>
      </w:r>
    </w:p>
    <w:p>
      <w:pPr>
        <w:pStyle w:val="ListBullet"/>
      </w:pPr>
      <w:r>
        <w:t>Support MTI’s change management and communication plan.</w:t>
      </w:r>
    </w:p>
    <w:p/>
    <w:p>
      <w:pPr>
        <w:pStyle w:val="Heading3"/>
      </w:pPr>
      <w:r>
        <w:t>4.5 Go-Live and Hypercare</w:t>
      </w:r>
    </w:p>
    <w:p>
      <w:pPr>
        <w:pStyle w:val="ListBullet"/>
      </w:pPr>
      <w:r>
        <w:t>Execute cutover and go-live activities.</w:t>
      </w:r>
    </w:p>
    <w:p>
      <w:pPr>
        <w:pStyle w:val="ListBullet"/>
      </w:pPr>
      <w:r>
        <w:t>Provide hypercare support for stabilization.</w:t>
      </w:r>
    </w:p>
    <w:p>
      <w:pPr>
        <w:pStyle w:val="ListBullet"/>
      </w:pPr>
      <w:r>
        <w:t>Transition to steady-state support operations.</w:t>
      </w:r>
    </w:p>
    <w:p/>
    <w:p>
      <w:pPr>
        <w:pStyle w:val="Heading3"/>
      </w:pPr>
      <w:r>
        <w:t>4.6 Continuous Improvement</w:t>
      </w:r>
    </w:p>
    <w:p>
      <w:pPr>
        <w:pStyle w:val="ListBullet"/>
      </w:pPr>
      <w:r>
        <w:t>Conduct post-implementation reviews.</w:t>
      </w:r>
    </w:p>
    <w:p>
      <w:pPr>
        <w:pStyle w:val="ListBullet"/>
      </w:pPr>
      <w:r>
        <w:t>Analyze KPIs and SLAs for optimization opportunities.</w:t>
      </w:r>
    </w:p>
    <w:p>
      <w:pPr>
        <w:pStyle w:val="ListBullet"/>
      </w:pPr>
      <w:r>
        <w:t>Maintain an enhancement backlog for iterative releases.</w:t>
      </w:r>
    </w:p>
    <w:p/>
    <w:p>
      <w:pPr>
        <w:pStyle w:val="Heading2"/>
      </w:pPr>
      <w:r>
        <w:t>5. Project Plan and Timelines</w:t>
      </w:r>
    </w:p>
    <w:p/>
    <w:p>
      <w:r>
        <w:t>A baseline timeline for the initial release (covering the first 1–2 processes) is outlined below. Actual dates will be finalized upon confirmation of MTI’s priorities and deployment model.</w:t>
      </w:r>
    </w:p>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Phase</w:t>
            </w:r>
          </w:p>
        </w:tc>
        <w:tc>
          <w:tcPr>
            <w:tcW w:type="dxa" w:w="3120"/>
            <w:shd w:fill="1a5490" w:val="clear"/>
            <w:vAlign w:val="top"/>
            <w:tcMar>
              <w:top w:w="80" w:type="dxa"/>
              <w:right w:w="80" w:type="dxa"/>
              <w:bottom w:w="80" w:type="dxa"/>
              <w:left w:w="80" w:type="dxa"/>
            </w:tcMar>
          </w:tcPr>
          <w:p>
            <w:r>
              <w:rPr>
                <w:b/>
                <w:color w:val="FFFFFF"/>
              </w:rPr>
              <w:t>Duration</w:t>
            </w:r>
          </w:p>
        </w:tc>
        <w:tc>
          <w:tcPr>
            <w:tcW w:type="dxa" w:w="3120"/>
            <w:shd w:fill="1a5490" w:val="clear"/>
            <w:vAlign w:val="top"/>
            <w:tcMar>
              <w:top w:w="80" w:type="dxa"/>
              <w:right w:w="80" w:type="dxa"/>
              <w:bottom w:w="80" w:type="dxa"/>
              <w:left w:w="80" w:type="dxa"/>
            </w:tcMar>
          </w:tcPr>
          <w:p>
            <w:r>
              <w:rPr>
                <w:b/>
                <w:color w:val="FFFFFF"/>
              </w:rPr>
              <w:t>Key Deliverables</w:t>
            </w:r>
          </w:p>
        </w:tc>
      </w:tr>
      <w:tr>
        <w:tc>
          <w:tcPr>
            <w:tcW w:type="dxa" w:w="3120"/>
            <w:vAlign w:val="top"/>
            <w:tcMar>
              <w:top w:w="80" w:type="dxa"/>
              <w:right w:w="80" w:type="dxa"/>
              <w:bottom w:w="80" w:type="dxa"/>
              <w:left w:w="80" w:type="dxa"/>
            </w:tcMar>
          </w:tcPr>
          <w:p>
            <w:r>
              <w:t>Discovery &amp; Requirements</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Process models, requirements traceability matrix</w:t>
            </w:r>
          </w:p>
        </w:tc>
      </w:tr>
      <w:tr>
        <w:tc>
          <w:tcPr>
            <w:tcW w:type="dxa" w:w="3120"/>
            <w:vAlign w:val="top"/>
            <w:tcMar>
              <w:top w:w="80" w:type="dxa"/>
              <w:right w:w="80" w:type="dxa"/>
              <w:bottom w:w="80" w:type="dxa"/>
              <w:left w:w="80" w:type="dxa"/>
            </w:tcMar>
          </w:tcPr>
          <w:p>
            <w:r>
              <w:t>Design &amp; Configuration</w:t>
            </w:r>
          </w:p>
        </w:tc>
        <w:tc>
          <w:tcPr>
            <w:tcW w:type="dxa" w:w="3120"/>
            <w:vAlign w:val="top"/>
            <w:tcMar>
              <w:top w:w="80" w:type="dxa"/>
              <w:right w:w="80" w:type="dxa"/>
              <w:bottom w:w="80" w:type="dxa"/>
              <w:left w:w="80" w:type="dxa"/>
            </w:tcMar>
          </w:tcPr>
          <w:p>
            <w:r>
              <w:t>8 weeks</w:t>
            </w:r>
          </w:p>
        </w:tc>
        <w:tc>
          <w:tcPr>
            <w:tcW w:type="dxa" w:w="3120"/>
            <w:vAlign w:val="top"/>
            <w:tcMar>
              <w:top w:w="80" w:type="dxa"/>
              <w:right w:w="80" w:type="dxa"/>
              <w:bottom w:w="80" w:type="dxa"/>
              <w:left w:w="80" w:type="dxa"/>
            </w:tcMar>
          </w:tcPr>
          <w:p>
            <w:r>
              <w:t>Configured workflows, rules, and UI</w:t>
            </w:r>
          </w:p>
        </w:tc>
      </w:tr>
      <w:tr>
        <w:tc>
          <w:tcPr>
            <w:tcW w:type="dxa" w:w="3120"/>
            <w:vAlign w:val="top"/>
            <w:tcMar>
              <w:top w:w="80" w:type="dxa"/>
              <w:right w:w="80" w:type="dxa"/>
              <w:bottom w:w="80" w:type="dxa"/>
              <w:left w:w="80" w:type="dxa"/>
            </w:tcMar>
          </w:tcPr>
          <w:p>
            <w:r>
              <w:t>Integration &amp; Testing</w:t>
            </w:r>
          </w:p>
        </w:tc>
        <w:tc>
          <w:tcPr>
            <w:tcW w:type="dxa" w:w="3120"/>
            <w:vAlign w:val="top"/>
            <w:tcMar>
              <w:top w:w="80" w:type="dxa"/>
              <w:right w:w="80" w:type="dxa"/>
              <w:bottom w:w="80" w:type="dxa"/>
              <w:left w:w="80" w:type="dxa"/>
            </w:tcMar>
          </w:tcPr>
          <w:p>
            <w:r>
              <w:t>6 weeks</w:t>
            </w:r>
          </w:p>
        </w:tc>
        <w:tc>
          <w:tcPr>
            <w:tcW w:type="dxa" w:w="3120"/>
            <w:vAlign w:val="top"/>
            <w:tcMar>
              <w:top w:w="80" w:type="dxa"/>
              <w:right w:w="80" w:type="dxa"/>
              <w:bottom w:w="80" w:type="dxa"/>
              <w:left w:w="80" w:type="dxa"/>
            </w:tcMar>
          </w:tcPr>
          <w:p>
            <w:r>
              <w:t>SIT, UAT, performance testing</w:t>
            </w:r>
          </w:p>
        </w:tc>
      </w:tr>
      <w:tr>
        <w:tc>
          <w:tcPr>
            <w:tcW w:type="dxa" w:w="3120"/>
            <w:vAlign w:val="top"/>
            <w:tcMar>
              <w:top w:w="80" w:type="dxa"/>
              <w:right w:w="80" w:type="dxa"/>
              <w:bottom w:w="80" w:type="dxa"/>
              <w:left w:w="80" w:type="dxa"/>
            </w:tcMar>
          </w:tcPr>
          <w:p>
            <w:r>
              <w:t>Training &amp; Go-Live</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Training completion, go-live readiness</w:t>
            </w:r>
          </w:p>
        </w:tc>
      </w:tr>
      <w:tr>
        <w:tc>
          <w:tcPr>
            <w:tcW w:type="dxa" w:w="3120"/>
            <w:vAlign w:val="top"/>
            <w:tcMar>
              <w:top w:w="80" w:type="dxa"/>
              <w:right w:w="80" w:type="dxa"/>
              <w:bottom w:w="80" w:type="dxa"/>
              <w:left w:w="80" w:type="dxa"/>
            </w:tcMar>
          </w:tcPr>
          <w:p>
            <w:r>
              <w:t>Hypercare &amp; Transition</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Stabilization, support handover</w:t>
            </w:r>
          </w:p>
        </w:tc>
      </w:tr>
    </w:tbl>
    <w:p>
      <w:r>
        <w:t>Subsequent processes will be onboarded using the reusable “process factory” kit, reducing configuration time by up to 60%.</w:t>
      </w:r>
    </w:p>
    <w:p/>
    <w:p>
      <w:pPr>
        <w:pStyle w:val="Heading2"/>
      </w:pPr>
      <w:r>
        <w:t>6. Proposed Team Structure</w:t>
      </w:r>
    </w:p>
    <w:p/>
    <w:p>
      <w:r>
        <w:t>FusionAIx will deploy a multidisciplinary team comprising BPM architects, business analysts, developers, testers, and change management specialists. Key roles include:</w:t>
      </w:r>
    </w:p>
    <w:p/>
    <w:p>
      <w:pPr>
        <w:pStyle w:val="ListBullet"/>
      </w:pPr>
      <w:r>
        <w:rPr>
          <w:b/>
        </w:rPr>
        <w:t>Program Manager:</w:t>
      </w:r>
      <w:r>
        <w:t xml:space="preserve"> Overall governance and stakeholder engagement.</w:t>
      </w:r>
    </w:p>
    <w:p>
      <w:pPr>
        <w:pStyle w:val="ListBullet"/>
      </w:pPr>
      <w:r>
        <w:rPr>
          <w:b/>
        </w:rPr>
        <w:t>Solution Architect:</w:t>
      </w:r>
      <w:r>
        <w:t xml:space="preserve"> Platform design, security, and integration oversight.</w:t>
      </w:r>
    </w:p>
    <w:p>
      <w:pPr>
        <w:pStyle w:val="ListBullet"/>
      </w:pPr>
      <w:r>
        <w:rPr>
          <w:b/>
        </w:rPr>
        <w:t>Lead BPM Developer:</w:t>
      </w:r>
      <w:r>
        <w:t xml:space="preserve"> Configuration and customization lead.</w:t>
      </w:r>
    </w:p>
    <w:p>
      <w:pPr>
        <w:pStyle w:val="ListBullet"/>
      </w:pPr>
      <w:r>
        <w:rPr>
          <w:b/>
        </w:rPr>
        <w:t>Business Analyst:</w:t>
      </w:r>
      <w:r>
        <w:t xml:space="preserve"> Requirements gathering and process modeling.</w:t>
      </w:r>
    </w:p>
    <w:p>
      <w:pPr>
        <w:pStyle w:val="ListBullet"/>
      </w:pPr>
      <w:r>
        <w:rPr>
          <w:b/>
        </w:rPr>
        <w:t>QA Lead:</w:t>
      </w:r>
      <w:r>
        <w:t xml:space="preserve"> Testing strategy and execution.</w:t>
      </w:r>
    </w:p>
    <w:p>
      <w:pPr>
        <w:pStyle w:val="ListBullet"/>
      </w:pPr>
      <w:r>
        <w:rPr>
          <w:b/>
        </w:rPr>
        <w:t>Training Lead:</w:t>
      </w:r>
      <w:r>
        <w:t xml:space="preserve"> User enablement and documentation.</w:t>
      </w:r>
    </w:p>
    <w:p>
      <w:pPr>
        <w:pStyle w:val="ListBullet"/>
      </w:pPr>
      <w:r>
        <w:rPr>
          <w:b/>
        </w:rPr>
        <w:t>Support Lead:</w:t>
      </w:r>
      <w:r>
        <w:t xml:space="preserve"> Post go-live operations and SLA management.</w:t>
      </w:r>
    </w:p>
    <w:p/>
    <w:p>
      <w:r>
        <w:t>CVs of key personnel will be provided in the final submission.</w:t>
      </w:r>
    </w:p>
    <w:p/>
    <w:p>
      <w:pPr>
        <w:pStyle w:val="Heading2"/>
      </w:pPr>
      <w:r>
        <w:t>7. Functional and Technical Compliance Matrix</w:t>
      </w:r>
    </w:p>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fill="1a5490" w:val="clear"/>
            <w:vAlign w:val="top"/>
            <w:tcMar>
              <w:top w:w="80" w:type="dxa"/>
              <w:right w:w="80" w:type="dxa"/>
              <w:bottom w:w="80" w:type="dxa"/>
              <w:left w:w="80" w:type="dxa"/>
            </w:tcMar>
          </w:tcPr>
          <w:p>
            <w:r>
              <w:rPr>
                <w:b/>
                <w:color w:val="FFFFFF"/>
              </w:rPr>
              <w:t>ID</w:t>
            </w:r>
          </w:p>
        </w:tc>
        <w:tc>
          <w:tcPr>
            <w:tcW w:type="dxa" w:w="2340"/>
            <w:shd w:fill="1a5490" w:val="clear"/>
            <w:vAlign w:val="top"/>
            <w:tcMar>
              <w:top w:w="80" w:type="dxa"/>
              <w:right w:w="80" w:type="dxa"/>
              <w:bottom w:w="80" w:type="dxa"/>
              <w:left w:w="80" w:type="dxa"/>
            </w:tcMar>
          </w:tcPr>
          <w:p>
            <w:r>
              <w:rPr>
                <w:b/>
                <w:color w:val="FFFFFF"/>
              </w:rPr>
              <w:t>Requirement</w:t>
            </w:r>
          </w:p>
        </w:tc>
        <w:tc>
          <w:tcPr>
            <w:tcW w:type="dxa" w:w="2340"/>
            <w:shd w:fill="1a5490" w:val="clear"/>
            <w:vAlign w:val="top"/>
            <w:tcMar>
              <w:top w:w="80" w:type="dxa"/>
              <w:right w:w="80" w:type="dxa"/>
              <w:bottom w:w="80" w:type="dxa"/>
              <w:left w:w="80" w:type="dxa"/>
            </w:tcMar>
          </w:tcPr>
          <w:p>
            <w:r>
              <w:rPr>
                <w:b/>
                <w:color w:val="FFFFFF"/>
              </w:rPr>
              <w:t>Compliance</w:t>
            </w:r>
          </w:p>
        </w:tc>
        <w:tc>
          <w:tcPr>
            <w:tcW w:type="dxa" w:w="2340"/>
            <w:shd w:fill="1a5490" w:val="clear"/>
            <w:vAlign w:val="top"/>
            <w:tcMar>
              <w:top w:w="80" w:type="dxa"/>
              <w:right w:w="80" w:type="dxa"/>
              <w:bottom w:w="80" w:type="dxa"/>
              <w:left w:w="80" w:type="dxa"/>
            </w:tcMar>
          </w:tcPr>
          <w:p>
            <w:r>
              <w:rPr>
                <w:b/>
                <w:color w:val="FFFFFF"/>
              </w:rPr>
              <w:t>Response / How We Meet It</w:t>
            </w:r>
          </w:p>
        </w:tc>
      </w:tr>
      <w:tr>
        <w:tc>
          <w:tcPr>
            <w:tcW w:type="dxa" w:w="2340"/>
            <w:vAlign w:val="top"/>
            <w:tcMar>
              <w:top w:w="80" w:type="dxa"/>
              <w:right w:w="80" w:type="dxa"/>
              <w:bottom w:w="80" w:type="dxa"/>
              <w:left w:w="80" w:type="dxa"/>
            </w:tcMar>
          </w:tcPr>
          <w:p>
            <w:r>
              <w:t>5.1.a</w:t>
            </w:r>
          </w:p>
        </w:tc>
        <w:tc>
          <w:tcPr>
            <w:tcW w:type="dxa" w:w="2340"/>
            <w:vAlign w:val="top"/>
            <w:tcMar>
              <w:top w:w="80" w:type="dxa"/>
              <w:right w:w="80" w:type="dxa"/>
              <w:bottom w:w="80" w:type="dxa"/>
              <w:left w:w="80" w:type="dxa"/>
            </w:tcMar>
          </w:tcPr>
          <w:p>
            <w:r>
              <w:t>Straight-through + human-centric workflows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Workflow engine supports automated steps (validations, integrations, rules) and human tasks (review/approve) in one end-to-end process.</w:t>
            </w:r>
          </w:p>
        </w:tc>
      </w:tr>
      <w:tr>
        <w:tc>
          <w:tcPr>
            <w:tcW w:type="dxa" w:w="2340"/>
            <w:vAlign w:val="top"/>
            <w:tcMar>
              <w:top w:w="80" w:type="dxa"/>
              <w:right w:w="80" w:type="dxa"/>
              <w:bottom w:w="80" w:type="dxa"/>
              <w:left w:w="80" w:type="dxa"/>
            </w:tcMar>
          </w:tcPr>
          <w:p>
            <w:r>
              <w:t>5.1.b</w:t>
            </w:r>
          </w:p>
        </w:tc>
        <w:tc>
          <w:tcPr>
            <w:tcW w:type="dxa" w:w="2340"/>
            <w:vAlign w:val="top"/>
            <w:tcMar>
              <w:top w:w="80" w:type="dxa"/>
              <w:right w:w="80" w:type="dxa"/>
              <w:bottom w:w="80" w:type="dxa"/>
              <w:left w:w="80" w:type="dxa"/>
            </w:tcMar>
          </w:tcPr>
          <w:p>
            <w:r>
              <w:t>Dynamic case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Supports ad-hoc tasks, attachments, notes, and case hierarchies.</w:t>
            </w:r>
          </w:p>
        </w:tc>
      </w:tr>
      <w:tr>
        <w:tc>
          <w:tcPr>
            <w:tcW w:type="dxa" w:w="2340"/>
            <w:vAlign w:val="top"/>
            <w:tcMar>
              <w:top w:w="80" w:type="dxa"/>
              <w:right w:w="80" w:type="dxa"/>
              <w:bottom w:w="80" w:type="dxa"/>
              <w:left w:w="80" w:type="dxa"/>
            </w:tcMar>
          </w:tcPr>
          <w:p>
            <w:r>
              <w:t>5.1.c</w:t>
            </w:r>
          </w:p>
        </w:tc>
        <w:tc>
          <w:tcPr>
            <w:tcW w:type="dxa" w:w="2340"/>
            <w:vAlign w:val="top"/>
            <w:tcMar>
              <w:top w:w="80" w:type="dxa"/>
              <w:right w:w="80" w:type="dxa"/>
              <w:bottom w:w="80" w:type="dxa"/>
              <w:left w:w="80" w:type="dxa"/>
            </w:tcMar>
          </w:tcPr>
          <w:p>
            <w:r>
              <w:t>Centralized rules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Rules engine externalizes business logic with versioning, testing, and controlled deployment.</w:t>
            </w:r>
          </w:p>
        </w:tc>
      </w:tr>
      <w:tr>
        <w:tc>
          <w:tcPr>
            <w:tcW w:type="dxa" w:w="2340"/>
            <w:vAlign w:val="top"/>
            <w:tcMar>
              <w:top w:w="80" w:type="dxa"/>
              <w:right w:w="80" w:type="dxa"/>
              <w:bottom w:w="80" w:type="dxa"/>
              <w:left w:w="80" w:type="dxa"/>
            </w:tcMar>
          </w:tcPr>
          <w:p>
            <w:r>
              <w:t>5.1.d</w:t>
            </w:r>
          </w:p>
        </w:tc>
        <w:tc>
          <w:tcPr>
            <w:tcW w:type="dxa" w:w="2340"/>
            <w:vAlign w:val="top"/>
            <w:tcMar>
              <w:top w:w="80" w:type="dxa"/>
              <w:right w:w="80" w:type="dxa"/>
              <w:bottom w:w="80" w:type="dxa"/>
              <w:left w:w="80" w:type="dxa"/>
            </w:tcMar>
          </w:tcPr>
          <w:p>
            <w:r>
              <w:t>Responsive web UI</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Web-based, responsive interfaces accessible via standard browsers.</w:t>
            </w:r>
          </w:p>
        </w:tc>
      </w:tr>
      <w:tr>
        <w:tc>
          <w:tcPr>
            <w:tcW w:type="dxa" w:w="2340"/>
            <w:vAlign w:val="top"/>
            <w:tcMar>
              <w:top w:w="80" w:type="dxa"/>
              <w:right w:w="80" w:type="dxa"/>
              <w:bottom w:w="80" w:type="dxa"/>
              <w:left w:w="80" w:type="dxa"/>
            </w:tcMar>
          </w:tcPr>
          <w:p>
            <w:r>
              <w:t>5.1.e</w:t>
            </w:r>
          </w:p>
        </w:tc>
        <w:tc>
          <w:tcPr>
            <w:tcW w:type="dxa" w:w="2340"/>
            <w:vAlign w:val="top"/>
            <w:tcMar>
              <w:top w:w="80" w:type="dxa"/>
              <w:right w:w="80" w:type="dxa"/>
              <w:bottom w:w="80" w:type="dxa"/>
              <w:left w:w="80" w:type="dxa"/>
            </w:tcMar>
          </w:tcPr>
          <w:p>
            <w:r>
              <w:t>SLA definition and monitoring</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SLA rules per process/case type with automated escalations and real-time dashboards.</w:t>
            </w:r>
          </w:p>
        </w:tc>
      </w:tr>
      <w:tr>
        <w:tc>
          <w:tcPr>
            <w:tcW w:type="dxa" w:w="2340"/>
            <w:vAlign w:val="top"/>
            <w:tcMar>
              <w:top w:w="80" w:type="dxa"/>
              <w:right w:w="80" w:type="dxa"/>
              <w:bottom w:w="80" w:type="dxa"/>
              <w:left w:w="80" w:type="dxa"/>
            </w:tcMar>
          </w:tcPr>
          <w:p>
            <w:r>
              <w:t>5.1.f</w:t>
            </w:r>
          </w:p>
        </w:tc>
        <w:tc>
          <w:tcPr>
            <w:tcW w:type="dxa" w:w="2340"/>
            <w:vAlign w:val="top"/>
            <w:tcMar>
              <w:top w:w="80" w:type="dxa"/>
              <w:right w:w="80" w:type="dxa"/>
              <w:bottom w:w="80" w:type="dxa"/>
              <w:left w:w="80" w:type="dxa"/>
            </w:tcMar>
          </w:tcPr>
          <w:p>
            <w:r>
              <w:t>Integration mechanisms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REST APIs, message queues, event-based integration, secure IAM integration.</w:t>
            </w:r>
          </w:p>
        </w:tc>
      </w:tr>
      <w:tr>
        <w:tc>
          <w:tcPr>
            <w:tcW w:type="dxa" w:w="2340"/>
            <w:vAlign w:val="top"/>
            <w:tcMar>
              <w:top w:w="80" w:type="dxa"/>
              <w:right w:w="80" w:type="dxa"/>
              <w:bottom w:w="80" w:type="dxa"/>
              <w:left w:w="80" w:type="dxa"/>
            </w:tcMar>
          </w:tcPr>
          <w:p>
            <w:r>
              <w:t>5.1.g</w:t>
            </w:r>
          </w:p>
        </w:tc>
        <w:tc>
          <w:tcPr>
            <w:tcW w:type="dxa" w:w="2340"/>
            <w:vAlign w:val="top"/>
            <w:tcMar>
              <w:top w:w="80" w:type="dxa"/>
              <w:right w:w="80" w:type="dxa"/>
              <w:bottom w:w="80" w:type="dxa"/>
              <w:left w:w="80" w:type="dxa"/>
            </w:tcMar>
          </w:tcPr>
          <w:p>
            <w:r>
              <w:t>Role-based access control</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Fine-grained RBAC, full audit logging, compliance with national standards.</w:t>
            </w:r>
          </w:p>
        </w:tc>
      </w:tr>
      <w:tr>
        <w:tc>
          <w:tcPr>
            <w:tcW w:type="dxa" w:w="2340"/>
            <w:vAlign w:val="top"/>
            <w:tcMar>
              <w:top w:w="80" w:type="dxa"/>
              <w:right w:w="80" w:type="dxa"/>
              <w:bottom w:w="80" w:type="dxa"/>
              <w:left w:w="80" w:type="dxa"/>
            </w:tcMar>
          </w:tcPr>
          <w:p>
            <w:r>
              <w:t>5.1.h</w:t>
            </w:r>
          </w:p>
        </w:tc>
        <w:tc>
          <w:tcPr>
            <w:tcW w:type="dxa" w:w="2340"/>
            <w:vAlign w:val="top"/>
            <w:tcMar>
              <w:top w:w="80" w:type="dxa"/>
              <w:right w:w="80" w:type="dxa"/>
              <w:bottom w:w="80" w:type="dxa"/>
              <w:left w:w="80" w:type="dxa"/>
            </w:tcMar>
          </w:tcPr>
          <w:p>
            <w:r>
              <w:t>Proven enterprise-grade BPM</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Pega Constellation BPM suite, used in government and large enterprises.</w:t>
            </w:r>
          </w:p>
        </w:tc>
      </w:tr>
    </w:tbl>
    <w:p/>
    <w:p>
      <w:pPr>
        <w:pStyle w:val="Heading2"/>
      </w:pPr>
      <w:r>
        <w:t>8. Assumptions, Dependencies, and Risks</w:t>
      </w:r>
    </w:p>
    <w:p/>
    <w:p>
      <w:pPr>
        <w:pStyle w:val="Heading3"/>
      </w:pPr>
      <w:r>
        <w:t>Assumptions</w:t>
      </w:r>
    </w:p>
    <w:p>
      <w:pPr>
        <w:pStyle w:val="ListBullet"/>
      </w:pPr>
      <w:r>
        <w:t>MTI will provide access to existing systems and integration endpoints.</w:t>
      </w:r>
    </w:p>
    <w:p>
      <w:pPr>
        <w:pStyle w:val="ListBullet"/>
      </w:pPr>
      <w:r>
        <w:t>MTI will confirm the hosting model (on-premises, cloud, or hybrid) during discovery.</w:t>
      </w:r>
    </w:p>
    <w:p>
      <w:pPr>
        <w:pStyle w:val="ListBullet"/>
      </w:pPr>
      <w:r>
        <w:t>MTI will nominate process owners for each workflow.</w:t>
      </w:r>
    </w:p>
    <w:p/>
    <w:p>
      <w:pPr>
        <w:pStyle w:val="Heading3"/>
      </w:pPr>
      <w:r>
        <w:t>Dependencies</w:t>
      </w:r>
    </w:p>
    <w:p>
      <w:pPr>
        <w:pStyle w:val="ListBullet"/>
      </w:pPr>
      <w:r>
        <w:t>Availability of MTI’s IAM and integration gateway.</w:t>
      </w:r>
    </w:p>
    <w:p>
      <w:pPr>
        <w:pStyle w:val="ListBullet"/>
      </w:pPr>
      <w:r>
        <w:t>Timely feedback during UAT and design reviews.</w:t>
      </w:r>
    </w:p>
    <w:p/>
    <w:p>
      <w:pPr>
        <w:pStyle w:val="Heading3"/>
      </w:pPr>
      <w:r>
        <w:t>Risks and Mitigation</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Risk</w:t>
            </w:r>
          </w:p>
        </w:tc>
        <w:tc>
          <w:tcPr>
            <w:tcW w:type="dxa" w:w="3120"/>
            <w:shd w:fill="1a5490" w:val="clear"/>
            <w:vAlign w:val="top"/>
            <w:tcMar>
              <w:top w:w="80" w:type="dxa"/>
              <w:right w:w="80" w:type="dxa"/>
              <w:bottom w:w="80" w:type="dxa"/>
              <w:left w:w="80" w:type="dxa"/>
            </w:tcMar>
          </w:tcPr>
          <w:p>
            <w:r>
              <w:rPr>
                <w:b/>
                <w:color w:val="FFFFFF"/>
              </w:rPr>
              <w:t>Impact</w:t>
            </w:r>
          </w:p>
        </w:tc>
        <w:tc>
          <w:tcPr>
            <w:tcW w:type="dxa" w:w="3120"/>
            <w:shd w:fill="1a5490" w:val="clear"/>
            <w:vAlign w:val="top"/>
            <w:tcMar>
              <w:top w:w="80" w:type="dxa"/>
              <w:right w:w="80" w:type="dxa"/>
              <w:bottom w:w="80" w:type="dxa"/>
              <w:left w:w="80" w:type="dxa"/>
            </w:tcMar>
          </w:tcPr>
          <w:p>
            <w:r>
              <w:rPr>
                <w:b/>
                <w:color w:val="FFFFFF"/>
              </w:rPr>
              <w:t>Mitigation</w:t>
            </w:r>
          </w:p>
        </w:tc>
      </w:tr>
      <w:tr>
        <w:tc>
          <w:tcPr>
            <w:tcW w:type="dxa" w:w="3120"/>
            <w:vAlign w:val="top"/>
            <w:tcMar>
              <w:top w:w="80" w:type="dxa"/>
              <w:right w:w="80" w:type="dxa"/>
              <w:bottom w:w="80" w:type="dxa"/>
              <w:left w:w="80" w:type="dxa"/>
            </w:tcMar>
          </w:tcPr>
          <w:p>
            <w:r>
              <w:t>Delays in integration readiness</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Early interface definition and mock API testing</w:t>
            </w:r>
          </w:p>
        </w:tc>
      </w:tr>
      <w:tr>
        <w:tc>
          <w:tcPr>
            <w:tcW w:type="dxa" w:w="3120"/>
            <w:vAlign w:val="top"/>
            <w:tcMar>
              <w:top w:w="80" w:type="dxa"/>
              <w:right w:w="80" w:type="dxa"/>
              <w:bottom w:w="80" w:type="dxa"/>
              <w:left w:w="80" w:type="dxa"/>
            </w:tcMar>
          </w:tcPr>
          <w:p>
            <w:r>
              <w:t>Change in scope during implementation</w:t>
            </w:r>
          </w:p>
        </w:tc>
        <w:tc>
          <w:tcPr>
            <w:tcW w:type="dxa" w:w="3120"/>
            <w:vAlign w:val="top"/>
            <w:tcMar>
              <w:top w:w="80" w:type="dxa"/>
              <w:right w:w="80" w:type="dxa"/>
              <w:bottom w:w="80" w:type="dxa"/>
              <w:left w:w="80" w:type="dxa"/>
            </w:tcMar>
          </w:tcPr>
          <w:p>
            <w:r>
              <w:t>High</w:t>
            </w:r>
          </w:p>
        </w:tc>
        <w:tc>
          <w:tcPr>
            <w:tcW w:type="dxa" w:w="3120"/>
            <w:vAlign w:val="top"/>
            <w:tcMar>
              <w:top w:w="80" w:type="dxa"/>
              <w:right w:w="80" w:type="dxa"/>
              <w:bottom w:w="80" w:type="dxa"/>
              <w:left w:w="80" w:type="dxa"/>
            </w:tcMar>
          </w:tcPr>
          <w:p>
            <w:r>
              <w:t>Agile change control and sprint-based reprioritization</w:t>
            </w:r>
          </w:p>
        </w:tc>
      </w:tr>
      <w:tr>
        <w:tc>
          <w:tcPr>
            <w:tcW w:type="dxa" w:w="3120"/>
            <w:vAlign w:val="top"/>
            <w:tcMar>
              <w:top w:w="80" w:type="dxa"/>
              <w:right w:w="80" w:type="dxa"/>
              <w:bottom w:w="80" w:type="dxa"/>
              <w:left w:w="80" w:type="dxa"/>
            </w:tcMar>
          </w:tcPr>
          <w:p>
            <w:r>
              <w:t>User adoption challenges</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Comprehensive training and change management</w:t>
            </w:r>
          </w:p>
        </w:tc>
      </w:tr>
    </w:tbl>
    <w:p/>
    <w:p>
      <w:pPr>
        <w:pStyle w:val="Heading2"/>
      </w:pPr>
      <w:r>
        <w:t>9. Support and Maintenance Model</w:t>
      </w:r>
    </w:p>
    <w:p/>
    <w:p>
      <w:r>
        <w:t>FusionAIx will provide a minimum of three years of post go-live support and maintenance, including patching, upgrades, and incident resolution.</w:t>
      </w:r>
    </w:p>
    <w:p/>
    <w:p>
      <w:pPr>
        <w:pStyle w:val="Heading3"/>
      </w:pPr>
      <w:r>
        <w:t>Support Tiers</w:t>
      </w:r>
    </w:p>
    <w:p>
      <w:pPr>
        <w:pStyle w:val="ListBullet"/>
      </w:pPr>
      <w:r>
        <w:rPr>
          <w:b/>
        </w:rPr>
        <w:t>L1:</w:t>
      </w:r>
      <w:r>
        <w:t xml:space="preserve"> User access, configuration queries, minor fixes.</w:t>
      </w:r>
    </w:p>
    <w:p>
      <w:pPr>
        <w:pStyle w:val="ListBullet"/>
      </w:pPr>
      <w:r>
        <w:rPr>
          <w:b/>
        </w:rPr>
        <w:t>L2:</w:t>
      </w:r>
      <w:r>
        <w:t xml:space="preserve"> Functional issues, integration troubleshooting.</w:t>
      </w:r>
    </w:p>
    <w:p>
      <w:pPr>
        <w:pStyle w:val="ListBullet"/>
      </w:pPr>
      <w:r>
        <w:rPr>
          <w:b/>
        </w:rPr>
        <w:t>L3:</w:t>
      </w:r>
      <w:r>
        <w:t xml:space="preserve"> Complex defects, performance tuning, upgrades.</w:t>
      </w:r>
    </w:p>
    <w:p/>
    <w:p>
      <w:pPr>
        <w:pStyle w:val="Heading3"/>
      </w:pPr>
      <w:r>
        <w:t>SLA Targets</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Severity</w:t>
            </w:r>
          </w:p>
        </w:tc>
        <w:tc>
          <w:tcPr>
            <w:tcW w:type="dxa" w:w="3120"/>
            <w:shd w:fill="1a5490" w:val="clear"/>
            <w:vAlign w:val="top"/>
            <w:tcMar>
              <w:top w:w="80" w:type="dxa"/>
              <w:right w:w="80" w:type="dxa"/>
              <w:bottom w:w="80" w:type="dxa"/>
              <w:left w:w="80" w:type="dxa"/>
            </w:tcMar>
          </w:tcPr>
          <w:p>
            <w:r>
              <w:rPr>
                <w:b/>
                <w:color w:val="FFFFFF"/>
              </w:rPr>
              <w:t>Response</w:t>
            </w:r>
          </w:p>
        </w:tc>
        <w:tc>
          <w:tcPr>
            <w:tcW w:type="dxa" w:w="3120"/>
            <w:shd w:fill="1a5490" w:val="clear"/>
            <w:vAlign w:val="top"/>
            <w:tcMar>
              <w:top w:w="80" w:type="dxa"/>
              <w:right w:w="80" w:type="dxa"/>
              <w:bottom w:w="80" w:type="dxa"/>
              <w:left w:w="80" w:type="dxa"/>
            </w:tcMar>
          </w:tcPr>
          <w:p>
            <w:r>
              <w:rPr>
                <w:b/>
                <w:color w:val="FFFFFF"/>
              </w:rPr>
              <w:t>Resolution</w:t>
            </w:r>
          </w:p>
        </w:tc>
      </w:tr>
      <w:tr>
        <w:tc>
          <w:tcPr>
            <w:tcW w:type="dxa" w:w="3120"/>
            <w:vAlign w:val="top"/>
            <w:tcMar>
              <w:top w:w="80" w:type="dxa"/>
              <w:right w:w="80" w:type="dxa"/>
              <w:bottom w:w="80" w:type="dxa"/>
              <w:left w:w="80" w:type="dxa"/>
            </w:tcMar>
          </w:tcPr>
          <w:p>
            <w:r>
              <w:t>Sev 1 (Critical)</w:t>
            </w:r>
          </w:p>
        </w:tc>
        <w:tc>
          <w:tcPr>
            <w:tcW w:type="dxa" w:w="3120"/>
            <w:vAlign w:val="top"/>
            <w:tcMar>
              <w:top w:w="80" w:type="dxa"/>
              <w:right w:w="80" w:type="dxa"/>
              <w:bottom w:w="80" w:type="dxa"/>
              <w:left w:w="80" w:type="dxa"/>
            </w:tcMar>
          </w:tcPr>
          <w:p>
            <w:r>
              <w:t>1 hour</w:t>
            </w:r>
          </w:p>
        </w:tc>
        <w:tc>
          <w:tcPr>
            <w:tcW w:type="dxa" w:w="3120"/>
            <w:vAlign w:val="top"/>
            <w:tcMar>
              <w:top w:w="80" w:type="dxa"/>
              <w:right w:w="80" w:type="dxa"/>
              <w:bottom w:w="80" w:type="dxa"/>
              <w:left w:w="80" w:type="dxa"/>
            </w:tcMar>
          </w:tcPr>
          <w:p>
            <w:r>
              <w:t>4 hours</w:t>
            </w:r>
          </w:p>
        </w:tc>
      </w:tr>
      <w:tr>
        <w:tc>
          <w:tcPr>
            <w:tcW w:type="dxa" w:w="3120"/>
            <w:vAlign w:val="top"/>
            <w:tcMar>
              <w:top w:w="80" w:type="dxa"/>
              <w:right w:w="80" w:type="dxa"/>
              <w:bottom w:w="80" w:type="dxa"/>
              <w:left w:w="80" w:type="dxa"/>
            </w:tcMar>
          </w:tcPr>
          <w:p>
            <w:r>
              <w:t>Sev 2 (High)</w:t>
            </w:r>
          </w:p>
        </w:tc>
        <w:tc>
          <w:tcPr>
            <w:tcW w:type="dxa" w:w="3120"/>
            <w:vAlign w:val="top"/>
            <w:tcMar>
              <w:top w:w="80" w:type="dxa"/>
              <w:right w:w="80" w:type="dxa"/>
              <w:bottom w:w="80" w:type="dxa"/>
              <w:left w:w="80" w:type="dxa"/>
            </w:tcMar>
          </w:tcPr>
          <w:p>
            <w:r>
              <w:t>2 hours</w:t>
            </w:r>
          </w:p>
        </w:tc>
        <w:tc>
          <w:tcPr>
            <w:tcW w:type="dxa" w:w="3120"/>
            <w:vAlign w:val="top"/>
            <w:tcMar>
              <w:top w:w="80" w:type="dxa"/>
              <w:right w:w="80" w:type="dxa"/>
              <w:bottom w:w="80" w:type="dxa"/>
              <w:left w:w="80" w:type="dxa"/>
            </w:tcMar>
          </w:tcPr>
          <w:p>
            <w:r>
              <w:t>8 hours</w:t>
            </w:r>
          </w:p>
        </w:tc>
      </w:tr>
      <w:tr>
        <w:tc>
          <w:tcPr>
            <w:tcW w:type="dxa" w:w="3120"/>
            <w:vAlign w:val="top"/>
            <w:tcMar>
              <w:top w:w="80" w:type="dxa"/>
              <w:right w:w="80" w:type="dxa"/>
              <w:bottom w:w="80" w:type="dxa"/>
              <w:left w:w="80" w:type="dxa"/>
            </w:tcMar>
          </w:tcPr>
          <w:p>
            <w:r>
              <w:t>Sev 3 (Medium)</w:t>
            </w:r>
          </w:p>
        </w:tc>
        <w:tc>
          <w:tcPr>
            <w:tcW w:type="dxa" w:w="3120"/>
            <w:vAlign w:val="top"/>
            <w:tcMar>
              <w:top w:w="80" w:type="dxa"/>
              <w:right w:w="80" w:type="dxa"/>
              <w:bottom w:w="80" w:type="dxa"/>
              <w:left w:w="80" w:type="dxa"/>
            </w:tcMar>
          </w:tcPr>
          <w:p>
            <w:r>
              <w:t>4 hours</w:t>
            </w:r>
          </w:p>
        </w:tc>
        <w:tc>
          <w:tcPr>
            <w:tcW w:type="dxa" w:w="3120"/>
            <w:vAlign w:val="top"/>
            <w:tcMar>
              <w:top w:w="80" w:type="dxa"/>
              <w:right w:w="80" w:type="dxa"/>
              <w:bottom w:w="80" w:type="dxa"/>
              <w:left w:w="80" w:type="dxa"/>
            </w:tcMar>
          </w:tcPr>
          <w:p>
            <w:r>
              <w:t>24 hours</w:t>
            </w:r>
          </w:p>
        </w:tc>
      </w:tr>
      <w:tr>
        <w:tc>
          <w:tcPr>
            <w:tcW w:type="dxa" w:w="3120"/>
            <w:vAlign w:val="top"/>
            <w:tcMar>
              <w:top w:w="80" w:type="dxa"/>
              <w:right w:w="80" w:type="dxa"/>
              <w:bottom w:w="80" w:type="dxa"/>
              <w:left w:w="80" w:type="dxa"/>
            </w:tcMar>
          </w:tcPr>
          <w:p>
            <w:r>
              <w:t>Sev 4 (Low)</w:t>
            </w:r>
          </w:p>
        </w:tc>
        <w:tc>
          <w:tcPr>
            <w:tcW w:type="dxa" w:w="3120"/>
            <w:vAlign w:val="top"/>
            <w:tcMar>
              <w:top w:w="80" w:type="dxa"/>
              <w:right w:w="80" w:type="dxa"/>
              <w:bottom w:w="80" w:type="dxa"/>
              <w:left w:w="80" w:type="dxa"/>
            </w:tcMar>
          </w:tcPr>
          <w:p>
            <w:r>
              <w:t>8 hours</w:t>
            </w:r>
          </w:p>
        </w:tc>
        <w:tc>
          <w:tcPr>
            <w:tcW w:type="dxa" w:w="3120"/>
            <w:vAlign w:val="top"/>
            <w:tcMar>
              <w:top w:w="80" w:type="dxa"/>
              <w:right w:w="80" w:type="dxa"/>
              <w:bottom w:w="80" w:type="dxa"/>
              <w:left w:w="80" w:type="dxa"/>
            </w:tcMar>
          </w:tcPr>
          <w:p>
            <w:r>
              <w:t>3 days</w:t>
            </w:r>
          </w:p>
        </w:tc>
      </w:tr>
    </w:tbl>
    <w:p>
      <w:pPr>
        <w:pStyle w:val="Heading3"/>
      </w:pPr>
      <w:r>
        <w:t>Governance</w:t>
      </w:r>
    </w:p>
    <w:p>
      <w:pPr>
        <w:pStyle w:val="ListBullet"/>
      </w:pPr>
      <w:r>
        <w:t>Monthly service reviews covering SLA performance, root causes, and improvement actions.</w:t>
      </w:r>
    </w:p>
    <w:p>
      <w:pPr>
        <w:pStyle w:val="ListBullet"/>
      </w:pPr>
      <w:r>
        <w:t>Escalation ladder: Support Lead → Program Manager → Executive Sponsor.</w:t>
      </w:r>
    </w:p>
    <w:p/>
    <w:p>
      <w:pPr>
        <w:pStyle w:val="Heading2"/>
      </w:pPr>
      <w:r>
        <w:t>10. Commercial Proposal</w:t>
      </w:r>
    </w:p>
    <w:p/>
    <w:p>
      <w:r>
        <w:t>FusionAIx will provide a detailed commercial proposal in the final submission package, including a five-year Total Cost of Ownership (TCO) view with costs broken down by:</w:t>
      </w:r>
    </w:p>
    <w:p/>
    <w:p>
      <w:pPr>
        <w:pStyle w:val="ListBullet"/>
      </w:pPr>
      <w:r>
        <w:rPr>
          <w:b/>
        </w:rPr>
        <w:t>Licensing:</w:t>
      </w:r>
      <w:r>
        <w:t xml:space="preserve"> Internal and external user models.</w:t>
      </w:r>
    </w:p>
    <w:p>
      <w:pPr>
        <w:pStyle w:val="ListBullet"/>
      </w:pPr>
      <w:r>
        <w:rPr>
          <w:b/>
        </w:rPr>
        <w:t>Implementation Services:</w:t>
      </w:r>
      <w:r>
        <w:t xml:space="preserve"> Discovery, design, configuration, integration, testing, and training.</w:t>
      </w:r>
    </w:p>
    <w:p>
      <w:pPr>
        <w:pStyle w:val="ListBullet"/>
      </w:pPr>
      <w:r>
        <w:rPr>
          <w:b/>
        </w:rPr>
        <w:t>Support and Maintenance:</w:t>
      </w:r>
      <w:r>
        <w:t xml:space="preserve"> Three years post go-live.</w:t>
      </w:r>
    </w:p>
    <w:p>
      <w:pPr>
        <w:pStyle w:val="ListBullet"/>
      </w:pPr>
      <w:r>
        <w:rPr>
          <w:b/>
        </w:rPr>
        <w:t>Optional Components:</w:t>
      </w:r>
      <w:r>
        <w:t xml:space="preserve"> Advanced analytics, additional environments, AI-assisted features.</w:t>
      </w:r>
    </w:p>
    <w:p/>
    <w:p>
      <w:r>
        <w:t>All pricing will be aligned with MTI’s procurement guidelines and provided in both editable and PDF formats.</w:t>
      </w:r>
    </w:p>
    <w:p/>
    <w:p>
      <w:r>
        <w:t>End of Proposal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