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48"/>
        </w:rPr>
        <w:t>- Supply, implement, and support an enterprise BPM platform for MTI.</w:t>
        <w:br/>
        <w:t>- Automate and manage core business processes with case management and workflow orchestration.</w:t>
        <w:br/>
        <w:t>- Ensure integration with existing systems and compliance with security and data protection standards.</w:t>
        <w:br/>
        <w:t>- Provide training, change management, and three years of post go-live support.</w:t>
        <w:br/>
        <w:t>- Submit proposals following a defined structure and evaluation criteria.</w:t>
        <w:br/>
        <w:t>- Demonstrate relevant experience and provide references for similar projects.</w:t>
      </w:r>
    </w:p>
    <w:p/>
    <w:p/>
    <w:p>
      <w:pPr>
        <w:jc w:val="center"/>
      </w:pPr>
      <w:r>
        <w:rPr>
          <w:rFonts w:ascii="Calibri" w:hAnsi="Calibri"/>
          <w:color w:val="646464"/>
          <w:sz w:val="28"/>
        </w:rPr>
        <w:t>December 21,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r>
        <w:br w:type="page"/>
      </w:r>
    </w:p>
    <w:p>
      <w:pPr>
        <w:pStyle w:val="Heading1"/>
      </w:pPr>
      <w:r>
        <w:t>Table of Contents</w:t>
      </w:r>
    </w:p>
    <w:p>
      <w:r>
        <w:fldSimple w:instr="TOC \o &quot;1-3&quot; \h \z \u"/>
      </w:r>
    </w:p>
    <w:p>
      <w:r>
        <w:br w:type="page"/>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MTI BPM Platform Proposal</w:t>
      </w:r>
    </w:p>
    <w:p>
      <w:r>
        <w:t>Submitted by fusionAIx</w:t>
      </w:r>
    </w:p>
    <w:p>
      <w:r>
        <w:t>Date: 21 December 2025</w:t>
      </w:r>
    </w:p>
    <w:p/>
    <w:p>
      <w:pPr>
        <w:pStyle w:val="Heading2"/>
      </w:pPr>
      <w:r>
        <w:t>1. Executive Summary</w:t>
      </w:r>
    </w:p>
    <w:p/>
    <w:p>
      <w:r>
        <w:t>FusionAIx is pleased to submit this comprehensive proposal to the Ministry of Trade and Industry (MTI) for the implementation of an enterprise-grade Business Process Management (BPM) platform. Our proposed solution will automate, orchestrate, and continuously improve MTI’s core business processes, including business licensing and renewals, incentive and grants applications, and related workflows.</w:t>
      </w:r>
    </w:p>
    <w:p/>
    <w:p>
      <w:r>
        <w:t>Our approach is grounded in fusionAIx’s proven expertise in delivering low-code, AI-enabled BPM solutions for government and large enterprise clients. We propose to implement a unified BPM platform that supports both structured and unstructured work, enforces consistent application of business rules and policies, and provides full transparency and auditability across all processes.</w:t>
      </w:r>
    </w:p>
    <w:p/>
    <w:p>
      <w:r>
        <w:t>The proposed solution is based on a model-driven, low-code architecture that enables rapid configuration, faster introduction of new services, and continuous process improvement. It includes configurable case management, centralized rules management, SLA monitoring, and responsive web-based user interfaces for internal and external stakeholders.</w:t>
      </w:r>
    </w:p>
    <w:p/>
    <w:p>
      <w:r>
        <w:t>FusionAIx brings over two decades of combined experience in BPM and digital transformation, with a track record of successful implementations across public-sector and enterprise clients. We are a niche Pega partner with 20+ successful Pega Constellation implementations globally, and we leverage proprietary accelerators such as fxAgentSDK, fxAIStudio, fxMockUpToView, and fxSmartDCO to accelerate delivery and ensure quality outcomes.</w:t>
      </w:r>
    </w:p>
    <w:p/>
    <w:p>
      <w:r>
        <w:t>Our implementation will follow a structured, six-month timeline:</w:t>
      </w:r>
    </w:p>
    <w:p>
      <w:pPr>
        <w:pStyle w:val="ListBullet"/>
      </w:pPr>
      <w:r>
        <w:rPr>
          <w:b/>
        </w:rPr>
        <w:t>Weeks 1–6:</w:t>
      </w:r>
      <w:r>
        <w:t xml:space="preserve"> Discovery, process design, architecture, and backlog finalization</w:t>
      </w:r>
    </w:p>
    <w:p>
      <w:pPr>
        <w:pStyle w:val="ListBullet"/>
      </w:pPr>
      <w:r>
        <w:rPr>
          <w:b/>
        </w:rPr>
        <w:t>Weeks 7–16:</w:t>
      </w:r>
      <w:r>
        <w:t xml:space="preserve"> Configuration, integrations, and iterative demos in sprints</w:t>
      </w:r>
    </w:p>
    <w:p>
      <w:pPr>
        <w:pStyle w:val="ListBullet"/>
      </w:pPr>
      <w:r>
        <w:rPr>
          <w:b/>
        </w:rPr>
        <w:t>Weeks 17–22:</w:t>
      </w:r>
      <w:r>
        <w:t xml:space="preserve"> Testing, UAT, training, cutover, and go-live</w:t>
      </w:r>
    </w:p>
    <w:p/>
    <w:p>
      <w:r>
        <w:t>Post go-live, fusionAIx will provide a minimum of three years of support and maintenance, including patching, upgrades, and incident resolution, governed by defined SLAs and escalation procedures.</w:t>
      </w:r>
    </w:p>
    <w:p/>
    <w:p>
      <w:r>
        <w:t>Our solution will enable MTI to:</w:t>
      </w:r>
    </w:p>
    <w:p>
      <w:pPr>
        <w:pStyle w:val="ListBullet"/>
      </w:pPr>
      <w:r>
        <w:t>Automate and streamline end-to-end business processes</w:t>
      </w:r>
    </w:p>
    <w:p>
      <w:pPr>
        <w:pStyle w:val="ListBullet"/>
      </w:pPr>
      <w:r>
        <w:t>Improve transparency, compliance, and auditability</w:t>
      </w:r>
    </w:p>
    <w:p>
      <w:pPr>
        <w:pStyle w:val="ListBullet"/>
      </w:pPr>
      <w:r>
        <w:t>Empower business users through low-code configuration and self-service analytics</w:t>
      </w:r>
    </w:p>
    <w:p>
      <w:pPr>
        <w:pStyle w:val="ListBullet"/>
      </w:pPr>
      <w:r>
        <w:t>Lay the foundation for continuous process improvement and data-driven decision-making</w:t>
      </w:r>
    </w:p>
    <w:p/>
    <w:p>
      <w:pPr>
        <w:pStyle w:val="Heading2"/>
      </w:pPr>
      <w:r>
        <w:t>2. Understanding of MTI’s Objectives and Context</w:t>
      </w:r>
    </w:p>
    <w:p/>
    <w:p>
      <w:r>
        <w:t>We understand that MTI seeks to modernize and unify its core business processes through a single BPM platform that can orchestrate, monitor, and continuously improve workflows across departments. The key objectives include:</w:t>
      </w:r>
    </w:p>
    <w:p/>
    <w:p>
      <w:pPr>
        <w:pStyle w:val="ListNumber"/>
      </w:pPr>
      <w:r>
        <w:rPr>
          <w:b/>
        </w:rPr>
        <w:t>Automation and Orchestration:</w:t>
      </w:r>
      <w:r>
        <w:t xml:space="preserve"> Automate manual and paper-based processes, ensuring consistent application of business rules and policies.</w:t>
      </w:r>
    </w:p>
    <w:p>
      <w:pPr>
        <w:pStyle w:val="ListNumber"/>
      </w:pPr>
      <w:r>
        <w:rPr>
          <w:b/>
        </w:rPr>
        <w:t>Unified BPM Platform:</w:t>
      </w:r>
      <w:r>
        <w:t xml:space="preserve"> Implement a single, enterprise-grade BPM platform to manage all core processes, including business licensing, renewals, incentives, and grants.</w:t>
      </w:r>
    </w:p>
    <w:p>
      <w:pPr>
        <w:pStyle w:val="ListNumber"/>
      </w:pPr>
      <w:r>
        <w:rPr>
          <w:b/>
        </w:rPr>
        <w:t>Case Management:</w:t>
      </w:r>
      <w:r>
        <w:t xml:space="preserve"> Provide configurable case management that supports both structured and unstructured work, including ad-hoc tasks, document-driven cases, and exceptions.</w:t>
      </w:r>
    </w:p>
    <w:p>
      <w:pPr>
        <w:pStyle w:val="ListNumber"/>
      </w:pPr>
      <w:r>
        <w:rPr>
          <w:b/>
        </w:rPr>
        <w:t>Transparency and Auditability:</w:t>
      </w:r>
      <w:r>
        <w:t xml:space="preserve"> Enable end-to-end tracking of cases, tasks, and SLAs, with full audit trails and compliance reporting.</w:t>
      </w:r>
    </w:p>
    <w:p>
      <w:pPr>
        <w:pStyle w:val="ListNumber"/>
      </w:pPr>
      <w:r>
        <w:rPr>
          <w:b/>
        </w:rPr>
        <w:t>Low-Code Agility:</w:t>
      </w:r>
      <w:r>
        <w:t xml:space="preserve"> Allow rapid introduction of new services and process changes through low-code configuration, minimizing dependency on custom development.</w:t>
      </w:r>
    </w:p>
    <w:p>
      <w:pPr>
        <w:pStyle w:val="ListNumber"/>
      </w:pPr>
      <w:r>
        <w:rPr>
          <w:b/>
        </w:rPr>
        <w:t>User Experience:</w:t>
      </w:r>
      <w:r>
        <w:t xml:space="preserve"> Deliver intuitive, web-based, responsive interfaces for staff, management, and external stakeholders.</w:t>
      </w:r>
    </w:p>
    <w:p>
      <w:pPr>
        <w:pStyle w:val="ListNumber"/>
      </w:pPr>
      <w:r>
        <w:rPr>
          <w:b/>
        </w:rPr>
        <w:t>Analytics and Continuous Improvement:</w:t>
      </w:r>
      <w:r>
        <w:t xml:space="preserve"> Establish a foundation for analytics, dashboards, and continuous process optimization.</w:t>
      </w:r>
    </w:p>
    <w:p/>
    <w:p>
      <w:r>
        <w:t>MTI’s operational environment requires a BPM platform that can handle both straight-through processing and human-centric workflows, with dynamic case management capabilities. The platform must integrate securely with MTI’s identity management and single sign-on systems, support centralized rules management, and comply with national data protection and security standards.</w:t>
      </w:r>
    </w:p>
    <w:p/>
    <w:p>
      <w:r>
        <w:t>FusionAIx recognizes that MTI’s transformation goals extend beyond technology implementation—they encompass organizational change, process re-engineering, and capacity building. Our approach therefore emphasizes collaborative design, knowledge transfer, and change management to ensure sustainable adoption.</w:t>
      </w:r>
    </w:p>
    <w:p/>
    <w:p>
      <w:r>
        <w:t>We also understand that MTI’s initial focus will be on high-impact processes such as business licensing and renewals, and incentive and grants applications. These processes are critical to MTI’s mission of enabling trade, supporting businesses, and driving economic growth. Our solution will deliver measurable improvements in processing time, SLA compliance, and service transparency.</w:t>
      </w:r>
    </w:p>
    <w:p/>
    <w:p>
      <w:pPr>
        <w:pStyle w:val="Heading2"/>
      </w:pPr>
      <w:r>
        <w:t>3. Proposed Solution Overview</w:t>
      </w:r>
    </w:p>
    <w:p/>
    <w:p>
      <w:pPr>
        <w:pStyle w:val="Heading3"/>
      </w:pPr>
      <w:r>
        <w:t>3.1 Solution Architecture</w:t>
      </w:r>
    </w:p>
    <w:p/>
    <w:p>
      <w:r>
        <w:t>FusionAIx proposes an enterprise-grade BPM platform built on Pega Constellation, a proven low-code, model-driven platform designed for large-scale government and enterprise deployments. The architecture includes:</w:t>
      </w:r>
    </w:p>
    <w:p/>
    <w:p>
      <w:pPr>
        <w:pStyle w:val="ListBullet"/>
      </w:pPr>
      <w:r>
        <w:rPr>
          <w:b/>
        </w:rPr>
        <w:t>Process Orchestration Layer:</w:t>
      </w:r>
      <w:r>
        <w:t xml:space="preserve"> Manages end-to-end workflows, supporting both straight-through and human-centric processing.</w:t>
      </w:r>
    </w:p>
    <w:p>
      <w:pPr>
        <w:pStyle w:val="ListBullet"/>
      </w:pPr>
      <w:r>
        <w:rPr>
          <w:b/>
        </w:rPr>
        <w:t>Case Management Engine:</w:t>
      </w:r>
      <w:r>
        <w:t xml:space="preserve"> Handles structured and unstructured work, including ad-hoc tasks, document-driven cases, and exceptions.</w:t>
      </w:r>
    </w:p>
    <w:p>
      <w:pPr>
        <w:pStyle w:val="ListBullet"/>
      </w:pPr>
      <w:r>
        <w:rPr>
          <w:b/>
        </w:rPr>
        <w:t>Business Rules Engine:</w:t>
      </w:r>
      <w:r>
        <w:t xml:space="preserve"> Centralized rules management for policy enforcement, versioning, testing, and controlled deployment.</w:t>
      </w:r>
    </w:p>
    <w:p>
      <w:pPr>
        <w:pStyle w:val="ListBullet"/>
      </w:pPr>
      <w:r>
        <w:rPr>
          <w:b/>
        </w:rPr>
        <w:t>Integration Layer:</w:t>
      </w:r>
      <w:r>
        <w:t xml:space="preserve"> Standard REST APIs, message queues, and event-based integration for secure connectivity with MTI’s systems.</w:t>
      </w:r>
    </w:p>
    <w:p>
      <w:pPr>
        <w:pStyle w:val="ListBullet"/>
      </w:pPr>
      <w:r>
        <w:rPr>
          <w:b/>
        </w:rPr>
        <w:t>User Experience Layer:</w:t>
      </w:r>
      <w:r>
        <w:t xml:space="preserve"> Web-based, responsive interfaces for internal users, management dashboards, and external self-service portals.</w:t>
      </w:r>
    </w:p>
    <w:p>
      <w:pPr>
        <w:pStyle w:val="ListBullet"/>
      </w:pPr>
      <w:r>
        <w:rPr>
          <w:b/>
        </w:rPr>
        <w:t>Analytics and Reporting Layer:</w:t>
      </w:r>
      <w:r>
        <w:t xml:space="preserve"> Real-time dashboards for SLA monitoring, workload distribution, and performance tracking.</w:t>
      </w:r>
    </w:p>
    <w:p/>
    <w:p>
      <w:pPr>
        <w:pStyle w:val="Heading3"/>
      </w:pPr>
      <w:r>
        <w:t>3.2 Case Management Capability</w:t>
      </w:r>
    </w:p>
    <w:p/>
    <w:p>
      <w:r>
        <w:t>FusionAIx’s case management capability supports ad-hoc tasks, notes, and document-centric case timelines. Exceptions are routed to configurable queues with SLAs and escalation rules. All actions are audited, versioned, and traceable for compliance, ensuring full transparency and accountability.</w:t>
      </w:r>
    </w:p>
    <w:p/>
    <w:p>
      <w:r>
        <w:t>This capability allows MTI to manage both structured workflows (e.g., standard licensing processes) and unstructured cases (e.g., exception handling, appeals, or document-driven reviews) within a single platform.</w:t>
      </w:r>
    </w:p>
    <w:p/>
    <w:p>
      <w:pPr>
        <w:pStyle w:val="Heading3"/>
      </w:pPr>
      <w:r>
        <w:t>3.3 Key Differentiators</w:t>
      </w:r>
    </w:p>
    <w:p/>
    <w:p>
      <w:pPr>
        <w:pStyle w:val="ListBullet"/>
      </w:pPr>
      <w:r>
        <w:rPr>
          <w:b/>
        </w:rPr>
        <w:t>Low-Code Agility:</w:t>
      </w:r>
      <w:r>
        <w:t xml:space="preserve"> Rapid configuration and deployment using model-driven design.</w:t>
      </w:r>
    </w:p>
    <w:p>
      <w:pPr>
        <w:pStyle w:val="ListBullet"/>
      </w:pPr>
      <w:r>
        <w:rPr>
          <w:b/>
        </w:rPr>
        <w:t>AI-Enabled Insights:</w:t>
      </w:r>
      <w:r>
        <w:t xml:space="preserve"> Integration with fusionAIx’s </w:t>
      </w:r>
      <w:r>
        <w:rPr>
          <w:b/>
        </w:rPr>
        <w:t>fxAIStudio</w:t>
      </w:r>
      <w:r>
        <w:t xml:space="preserve"> for predictive analytics and process optimization.</w:t>
      </w:r>
    </w:p>
    <w:p>
      <w:pPr>
        <w:pStyle w:val="ListBullet"/>
      </w:pPr>
      <w:r>
        <w:rPr>
          <w:b/>
        </w:rPr>
        <w:t>Accelerators:</w:t>
      </w:r>
      <w:r>
        <w:t xml:space="preserve"> Proprietary tools such as </w:t>
      </w:r>
      <w:r>
        <w:rPr>
          <w:b/>
        </w:rPr>
        <w:t>fxSmartDCO</w:t>
      </w:r>
      <w:r>
        <w:t xml:space="preserve"> (for rapid process discovery and design) and </w:t>
      </w:r>
      <w:r>
        <w:rPr>
          <w:b/>
        </w:rPr>
        <w:t>fxMockUpToView</w:t>
      </w:r>
      <w:r>
        <w:t xml:space="preserve"> (for instant UI prototyping).</w:t>
      </w:r>
    </w:p>
    <w:p>
      <w:pPr>
        <w:pStyle w:val="ListBullet"/>
      </w:pPr>
      <w:r>
        <w:rPr>
          <w:b/>
        </w:rPr>
        <w:t>Reusable Templates:</w:t>
      </w:r>
      <w:r>
        <w:t xml:space="preserve"> Proven process templates for licensing, grants, and internal requests, reducing onboarding time for new processes by up to 50%.</w:t>
      </w:r>
    </w:p>
    <w:p>
      <w:pPr>
        <w:pStyle w:val="ListBullet"/>
      </w:pPr>
      <w:r>
        <w:rPr>
          <w:b/>
        </w:rPr>
        <w:t>Compliance and Security:</w:t>
      </w:r>
      <w:r>
        <w:t xml:space="preserve"> Role-based access control, full audit logging, and compliance with national data protection standards.</w:t>
      </w:r>
    </w:p>
    <w:p>
      <w:pPr>
        <w:pStyle w:val="ListBullet"/>
      </w:pPr>
      <w:r>
        <w:rPr>
          <w:b/>
        </w:rPr>
        <w:t>Scalability:</w:t>
      </w:r>
      <w:r>
        <w:t xml:space="preserve"> Cloud-ready architecture supporting high availability and horizontal scalability.</w:t>
      </w:r>
    </w:p>
    <w:p/>
    <w:p>
      <w:pPr>
        <w:pStyle w:val="Heading3"/>
      </w:pPr>
      <w:r>
        <w:t>3.4 Proven Outcomes</w:t>
      </w:r>
    </w:p>
    <w:p/>
    <w:p>
      <w:r>
        <w:t>In a comparable government deployment, fusionAIx implemented a unified BPM platform for permits, grants, and internal requests. Reusable templates reduced later onboarding time by about 50%, while cycle times dropped 30–40%, with improved SLA compliance and visibility. These measurable outcomes demonstrate our ability to deliver tangible efficiency gains and continuous improvement.</w:t>
      </w:r>
    </w:p>
    <w:p/>
    <w:p>
      <w:pPr>
        <w:pStyle w:val="Heading2"/>
      </w:pPr>
      <w:r>
        <w:t>4. Implementation Approach and Methodology</w:t>
      </w:r>
    </w:p>
    <w:p/>
    <w:p>
      <w:r>
        <w:t>FusionAIx follows a structured, agile implementation methodology that ensures rapid delivery, stakeholder engagement, and quality outcomes.</w:t>
      </w:r>
    </w:p>
    <w:p/>
    <w:p>
      <w:pPr>
        <w:pStyle w:val="Heading3"/>
      </w:pPr>
      <w:r>
        <w:t>4.1 Implementation Phases</w:t>
      </w:r>
    </w:p>
    <w:p/>
    <w:p>
      <w:r>
        <w:t>Weeks 1–6: Discovery, Process Design, Architecture, and Backlog Finalization</w:t>
      </w:r>
    </w:p>
    <w:p>
      <w:pPr>
        <w:pStyle w:val="ListBullet"/>
      </w:pPr>
      <w:r>
        <w:t>Conduct workshops with MTI stakeholders to gather requirements and refine process models.</w:t>
      </w:r>
    </w:p>
    <w:p>
      <w:pPr>
        <w:pStyle w:val="ListBullet"/>
      </w:pPr>
      <w:r>
        <w:t>Define target architecture, integration points, and security model.</w:t>
      </w:r>
    </w:p>
    <w:p>
      <w:pPr>
        <w:pStyle w:val="ListBullet"/>
      </w:pPr>
      <w:r>
        <w:t>Finalize product backlog and sprint plan.</w:t>
      </w:r>
    </w:p>
    <w:p/>
    <w:p>
      <w:r>
        <w:t>Weeks 7–16: Configuration, Integrations, and Iterative Demos in Sprints</w:t>
      </w:r>
    </w:p>
    <w:p>
      <w:pPr>
        <w:pStyle w:val="ListBullet"/>
      </w:pPr>
      <w:r>
        <w:t>Configure processes, case types, and business rules using low-code tools.</w:t>
      </w:r>
    </w:p>
    <w:p>
      <w:pPr>
        <w:pStyle w:val="ListBullet"/>
      </w:pPr>
      <w:r>
        <w:t>Develop integrations with MTI’s systems via REST APIs and message queues.</w:t>
      </w:r>
    </w:p>
    <w:p>
      <w:pPr>
        <w:pStyle w:val="ListBullet"/>
      </w:pPr>
      <w:r>
        <w:t>Conduct iterative demos for stakeholder feedback and validation.</w:t>
      </w:r>
    </w:p>
    <w:p/>
    <w:p>
      <w:r>
        <w:t>Weeks 17–22: Testing, UAT, Training, Cutover, and Go-Live</w:t>
      </w:r>
    </w:p>
    <w:p>
      <w:pPr>
        <w:pStyle w:val="ListBullet"/>
      </w:pPr>
      <w:r>
        <w:t>Execute system and integration testing.</w:t>
      </w:r>
    </w:p>
    <w:p>
      <w:pPr>
        <w:pStyle w:val="ListBullet"/>
      </w:pPr>
      <w:r>
        <w:t>Support user acceptance testing (UAT) with MTI business users.</w:t>
      </w:r>
    </w:p>
    <w:p>
      <w:pPr>
        <w:pStyle w:val="ListBullet"/>
      </w:pPr>
      <w:r>
        <w:t>Deliver training for administrators, power users, and end users.</w:t>
      </w:r>
    </w:p>
    <w:p>
      <w:pPr>
        <w:pStyle w:val="ListBullet"/>
      </w:pPr>
      <w:r>
        <w:t>Conduct cutover planning, data migration, and go-live support.</w:t>
      </w:r>
    </w:p>
    <w:p/>
    <w:p>
      <w:pPr>
        <w:pStyle w:val="Heading3"/>
      </w:pPr>
      <w:r>
        <w:t>4.2 Methodology</w:t>
      </w:r>
    </w:p>
    <w:p/>
    <w:p>
      <w:r>
        <w:t>Our approach combines Agile delivery with Design Thinking principles:</w:t>
      </w:r>
    </w:p>
    <w:p>
      <w:pPr>
        <w:pStyle w:val="ListBullet"/>
      </w:pPr>
      <w:r>
        <w:rPr>
          <w:b/>
        </w:rPr>
        <w:t>Collaborative Design:</w:t>
      </w:r>
      <w:r>
        <w:t xml:space="preserve"> Joint workshops for process discovery and validation.</w:t>
      </w:r>
    </w:p>
    <w:p>
      <w:pPr>
        <w:pStyle w:val="ListBullet"/>
      </w:pPr>
      <w:r>
        <w:rPr>
          <w:b/>
        </w:rPr>
        <w:t>Incremental Delivery:</w:t>
      </w:r>
      <w:r>
        <w:t xml:space="preserve"> Working software delivered in short sprints for early feedback.</w:t>
      </w:r>
    </w:p>
    <w:p>
      <w:pPr>
        <w:pStyle w:val="ListBullet"/>
      </w:pPr>
      <w:r>
        <w:rPr>
          <w:b/>
        </w:rPr>
        <w:t>Continuous Testing:</w:t>
      </w:r>
      <w:r>
        <w:t xml:space="preserve"> Automated and manual testing integrated into each sprint.</w:t>
      </w:r>
    </w:p>
    <w:p>
      <w:pPr>
        <w:pStyle w:val="ListBullet"/>
      </w:pPr>
      <w:r>
        <w:rPr>
          <w:b/>
        </w:rPr>
        <w:t>Change Management:</w:t>
      </w:r>
      <w:r>
        <w:t xml:space="preserve"> Dedicated change and training lead to support adoption.</w:t>
      </w:r>
    </w:p>
    <w:p/>
    <w:p>
      <w:pPr>
        <w:pStyle w:val="Heading3"/>
      </w:pPr>
      <w:r>
        <w:t>4.3 Quality Assurance</w:t>
      </w:r>
    </w:p>
    <w:p/>
    <w:p>
      <w:r>
        <w:t>FusionAIx applies a rigorous QA framework covering:</w:t>
      </w:r>
    </w:p>
    <w:p>
      <w:pPr>
        <w:pStyle w:val="ListBullet"/>
      </w:pPr>
      <w:r>
        <w:t>Code and configuration reviews</w:t>
      </w:r>
    </w:p>
    <w:p>
      <w:pPr>
        <w:pStyle w:val="ListBullet"/>
      </w:pPr>
      <w:r>
        <w:t>Automated regression testing</w:t>
      </w:r>
    </w:p>
    <w:p>
      <w:pPr>
        <w:pStyle w:val="ListBullet"/>
      </w:pPr>
      <w:r>
        <w:t>Performance and security testing</w:t>
      </w:r>
    </w:p>
    <w:p>
      <w:pPr>
        <w:pStyle w:val="ListBullet"/>
      </w:pPr>
      <w:r>
        <w:t>User acceptance validation</w:t>
      </w:r>
    </w:p>
    <w:p/>
    <w:p>
      <w:pPr>
        <w:pStyle w:val="Heading3"/>
      </w:pPr>
      <w:r>
        <w:t>4.4 Knowledge Transfer</w:t>
      </w:r>
    </w:p>
    <w:p/>
    <w:p>
      <w:r>
        <w:t>We ensure MTI’s teams are fully equipped to maintain and extend the platform post go-live through:</w:t>
      </w:r>
    </w:p>
    <w:p>
      <w:pPr>
        <w:pStyle w:val="ListBullet"/>
      </w:pPr>
      <w:r>
        <w:t>Hands-on training sessions</w:t>
      </w:r>
    </w:p>
    <w:p>
      <w:pPr>
        <w:pStyle w:val="ListBullet"/>
      </w:pPr>
      <w:r>
        <w:t>Administrator and developer guides</w:t>
      </w:r>
    </w:p>
    <w:p>
      <w:pPr>
        <w:pStyle w:val="ListBullet"/>
      </w:pPr>
      <w:r>
        <w:t>Knowledge transfer workshops</w:t>
      </w:r>
    </w:p>
    <w:p/>
    <w:p>
      <w:pPr>
        <w:pStyle w:val="Heading2"/>
      </w:pPr>
      <w:r>
        <w:t>5. Project Plan and Timelines</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Phase</w:t>
            </w:r>
          </w:p>
        </w:tc>
        <w:tc>
          <w:tcPr>
            <w:tcW w:type="dxa" w:w="2340"/>
            <w:shd w:fill="1a5490" w:val="clear"/>
            <w:vAlign w:val="top"/>
            <w:tcMar>
              <w:top w:w="80" w:type="dxa"/>
              <w:right w:w="80" w:type="dxa"/>
              <w:bottom w:w="80" w:type="dxa"/>
              <w:left w:w="80" w:type="dxa"/>
            </w:tcMar>
          </w:tcPr>
          <w:p>
            <w:r>
              <w:rPr>
                <w:b/>
                <w:color w:val="FFFFFF"/>
              </w:rPr>
              <w:t>Duration</w:t>
            </w:r>
          </w:p>
        </w:tc>
        <w:tc>
          <w:tcPr>
            <w:tcW w:type="dxa" w:w="2340"/>
            <w:shd w:fill="1a5490" w:val="clear"/>
            <w:vAlign w:val="top"/>
            <w:tcMar>
              <w:top w:w="80" w:type="dxa"/>
              <w:right w:w="80" w:type="dxa"/>
              <w:bottom w:w="80" w:type="dxa"/>
              <w:left w:w="80" w:type="dxa"/>
            </w:tcMar>
          </w:tcPr>
          <w:p>
            <w:r>
              <w:rPr>
                <w:b/>
                <w:color w:val="FFFFFF"/>
              </w:rPr>
              <w:t>Key Activities</w:t>
            </w:r>
          </w:p>
        </w:tc>
        <w:tc>
          <w:tcPr>
            <w:tcW w:type="dxa" w:w="2340"/>
            <w:shd w:fill="1a5490" w:val="clear"/>
            <w:vAlign w:val="top"/>
            <w:tcMar>
              <w:top w:w="80" w:type="dxa"/>
              <w:right w:w="80" w:type="dxa"/>
              <w:bottom w:w="80" w:type="dxa"/>
              <w:left w:w="80" w:type="dxa"/>
            </w:tcMar>
          </w:tcPr>
          <w:p>
            <w:r>
              <w:rPr>
                <w:b/>
                <w:color w:val="FFFFFF"/>
              </w:rPr>
              <w:t>Deliverables</w:t>
            </w:r>
          </w:p>
        </w:tc>
      </w:tr>
      <w:tr>
        <w:tc>
          <w:tcPr>
            <w:tcW w:type="dxa" w:w="2340"/>
            <w:vAlign w:val="top"/>
            <w:tcMar>
              <w:top w:w="80" w:type="dxa"/>
              <w:right w:w="80" w:type="dxa"/>
              <w:bottom w:w="80" w:type="dxa"/>
              <w:left w:w="80" w:type="dxa"/>
            </w:tcMar>
          </w:tcPr>
          <w:p>
            <w:r>
              <w:t>Discovery &amp; Design</w:t>
            </w:r>
          </w:p>
        </w:tc>
        <w:tc>
          <w:tcPr>
            <w:tcW w:type="dxa" w:w="2340"/>
            <w:vAlign w:val="top"/>
            <w:tcMar>
              <w:top w:w="80" w:type="dxa"/>
              <w:right w:w="80" w:type="dxa"/>
              <w:bottom w:w="80" w:type="dxa"/>
              <w:left w:w="80" w:type="dxa"/>
            </w:tcMar>
          </w:tcPr>
          <w:p>
            <w:r>
              <w:t>Weeks 1–6</w:t>
            </w:r>
          </w:p>
        </w:tc>
        <w:tc>
          <w:tcPr>
            <w:tcW w:type="dxa" w:w="2340"/>
            <w:vAlign w:val="top"/>
            <w:tcMar>
              <w:top w:w="80" w:type="dxa"/>
              <w:right w:w="80" w:type="dxa"/>
              <w:bottom w:w="80" w:type="dxa"/>
              <w:left w:w="80" w:type="dxa"/>
            </w:tcMar>
          </w:tcPr>
          <w:p>
            <w:r>
              <w:t>Requirements gathering, process modeling, architecture design</w:t>
            </w:r>
          </w:p>
        </w:tc>
        <w:tc>
          <w:tcPr>
            <w:tcW w:type="dxa" w:w="2340"/>
            <w:vAlign w:val="top"/>
            <w:tcMar>
              <w:top w:w="80" w:type="dxa"/>
              <w:right w:w="80" w:type="dxa"/>
              <w:bottom w:w="80" w:type="dxa"/>
              <w:left w:w="80" w:type="dxa"/>
            </w:tcMar>
          </w:tcPr>
          <w:p>
            <w:r>
              <w:t>Process models, backlog, architecture document</w:t>
            </w:r>
          </w:p>
        </w:tc>
      </w:tr>
      <w:tr>
        <w:tc>
          <w:tcPr>
            <w:tcW w:type="dxa" w:w="2340"/>
            <w:vAlign w:val="top"/>
            <w:tcMar>
              <w:top w:w="80" w:type="dxa"/>
              <w:right w:w="80" w:type="dxa"/>
              <w:bottom w:w="80" w:type="dxa"/>
              <w:left w:w="80" w:type="dxa"/>
            </w:tcMar>
          </w:tcPr>
          <w:p>
            <w:r>
              <w:t>Configuration &amp; Integration</w:t>
            </w:r>
          </w:p>
        </w:tc>
        <w:tc>
          <w:tcPr>
            <w:tcW w:type="dxa" w:w="2340"/>
            <w:vAlign w:val="top"/>
            <w:tcMar>
              <w:top w:w="80" w:type="dxa"/>
              <w:right w:w="80" w:type="dxa"/>
              <w:bottom w:w="80" w:type="dxa"/>
              <w:left w:w="80" w:type="dxa"/>
            </w:tcMar>
          </w:tcPr>
          <w:p>
            <w:r>
              <w:t>Weeks 7–16</w:t>
            </w:r>
          </w:p>
        </w:tc>
        <w:tc>
          <w:tcPr>
            <w:tcW w:type="dxa" w:w="2340"/>
            <w:vAlign w:val="top"/>
            <w:tcMar>
              <w:top w:w="80" w:type="dxa"/>
              <w:right w:w="80" w:type="dxa"/>
              <w:bottom w:w="80" w:type="dxa"/>
              <w:left w:w="80" w:type="dxa"/>
            </w:tcMar>
          </w:tcPr>
          <w:p>
            <w:r>
              <w:t>Low-code configuration, integration development, sprint demos</w:t>
            </w:r>
          </w:p>
        </w:tc>
        <w:tc>
          <w:tcPr>
            <w:tcW w:type="dxa" w:w="2340"/>
            <w:vAlign w:val="top"/>
            <w:tcMar>
              <w:top w:w="80" w:type="dxa"/>
              <w:right w:w="80" w:type="dxa"/>
              <w:bottom w:w="80" w:type="dxa"/>
              <w:left w:w="80" w:type="dxa"/>
            </w:tcMar>
          </w:tcPr>
          <w:p>
            <w:r>
              <w:t>Configured processes, integration components</w:t>
            </w:r>
          </w:p>
        </w:tc>
      </w:tr>
      <w:tr>
        <w:tc>
          <w:tcPr>
            <w:tcW w:type="dxa" w:w="2340"/>
            <w:vAlign w:val="top"/>
            <w:tcMar>
              <w:top w:w="80" w:type="dxa"/>
              <w:right w:w="80" w:type="dxa"/>
              <w:bottom w:w="80" w:type="dxa"/>
              <w:left w:w="80" w:type="dxa"/>
            </w:tcMar>
          </w:tcPr>
          <w:p>
            <w:r>
              <w:t>Testing &amp; UAT</w:t>
            </w:r>
          </w:p>
        </w:tc>
        <w:tc>
          <w:tcPr>
            <w:tcW w:type="dxa" w:w="2340"/>
            <w:vAlign w:val="top"/>
            <w:tcMar>
              <w:top w:w="80" w:type="dxa"/>
              <w:right w:w="80" w:type="dxa"/>
              <w:bottom w:w="80" w:type="dxa"/>
              <w:left w:w="80" w:type="dxa"/>
            </w:tcMar>
          </w:tcPr>
          <w:p>
            <w:r>
              <w:t>Weeks 17–20</w:t>
            </w:r>
          </w:p>
        </w:tc>
        <w:tc>
          <w:tcPr>
            <w:tcW w:type="dxa" w:w="2340"/>
            <w:vAlign w:val="top"/>
            <w:tcMar>
              <w:top w:w="80" w:type="dxa"/>
              <w:right w:w="80" w:type="dxa"/>
              <w:bottom w:w="80" w:type="dxa"/>
              <w:left w:w="80" w:type="dxa"/>
            </w:tcMar>
          </w:tcPr>
          <w:p>
            <w:r>
              <w:t>System testing, UAT support</w:t>
            </w:r>
          </w:p>
        </w:tc>
        <w:tc>
          <w:tcPr>
            <w:tcW w:type="dxa" w:w="2340"/>
            <w:vAlign w:val="top"/>
            <w:tcMar>
              <w:top w:w="80" w:type="dxa"/>
              <w:right w:w="80" w:type="dxa"/>
              <w:bottom w:w="80" w:type="dxa"/>
              <w:left w:w="80" w:type="dxa"/>
            </w:tcMar>
          </w:tcPr>
          <w:p>
            <w:r>
              <w:t>Test reports, UAT sign-off</w:t>
            </w:r>
          </w:p>
        </w:tc>
      </w:tr>
      <w:tr>
        <w:tc>
          <w:tcPr>
            <w:tcW w:type="dxa" w:w="2340"/>
            <w:vAlign w:val="top"/>
            <w:tcMar>
              <w:top w:w="80" w:type="dxa"/>
              <w:right w:w="80" w:type="dxa"/>
              <w:bottom w:w="80" w:type="dxa"/>
              <w:left w:w="80" w:type="dxa"/>
            </w:tcMar>
          </w:tcPr>
          <w:p>
            <w:r>
              <w:t>Training &amp; Go-Live</w:t>
            </w:r>
          </w:p>
        </w:tc>
        <w:tc>
          <w:tcPr>
            <w:tcW w:type="dxa" w:w="2340"/>
            <w:vAlign w:val="top"/>
            <w:tcMar>
              <w:top w:w="80" w:type="dxa"/>
              <w:right w:w="80" w:type="dxa"/>
              <w:bottom w:w="80" w:type="dxa"/>
              <w:left w:w="80" w:type="dxa"/>
            </w:tcMar>
          </w:tcPr>
          <w:p>
            <w:r>
              <w:t>Weeks 21–22</w:t>
            </w:r>
          </w:p>
        </w:tc>
        <w:tc>
          <w:tcPr>
            <w:tcW w:type="dxa" w:w="2340"/>
            <w:vAlign w:val="top"/>
            <w:tcMar>
              <w:top w:w="80" w:type="dxa"/>
              <w:right w:w="80" w:type="dxa"/>
              <w:bottom w:w="80" w:type="dxa"/>
              <w:left w:w="80" w:type="dxa"/>
            </w:tcMar>
          </w:tcPr>
          <w:p>
            <w:r>
              <w:t>Training, cutover, go-live</w:t>
            </w:r>
          </w:p>
        </w:tc>
        <w:tc>
          <w:tcPr>
            <w:tcW w:type="dxa" w:w="2340"/>
            <w:vAlign w:val="top"/>
            <w:tcMar>
              <w:top w:w="80" w:type="dxa"/>
              <w:right w:w="80" w:type="dxa"/>
              <w:bottom w:w="80" w:type="dxa"/>
              <w:left w:w="80" w:type="dxa"/>
            </w:tcMar>
          </w:tcPr>
          <w:p>
            <w:r>
              <w:t>Trained users, production deployment</w:t>
            </w:r>
          </w:p>
        </w:tc>
      </w:tr>
      <w:tr>
        <w:tc>
          <w:tcPr>
            <w:tcW w:type="dxa" w:w="2340"/>
            <w:vAlign w:val="top"/>
            <w:tcMar>
              <w:top w:w="80" w:type="dxa"/>
              <w:right w:w="80" w:type="dxa"/>
              <w:bottom w:w="80" w:type="dxa"/>
              <w:left w:w="80" w:type="dxa"/>
            </w:tcMar>
          </w:tcPr>
          <w:p>
            <w:r>
              <w:t>Post Go-Live Support</w:t>
            </w:r>
          </w:p>
        </w:tc>
        <w:tc>
          <w:tcPr>
            <w:tcW w:type="dxa" w:w="2340"/>
            <w:vAlign w:val="top"/>
            <w:tcMar>
              <w:top w:w="80" w:type="dxa"/>
              <w:right w:w="80" w:type="dxa"/>
              <w:bottom w:w="80" w:type="dxa"/>
              <w:left w:w="80" w:type="dxa"/>
            </w:tcMar>
          </w:tcPr>
          <w:p>
            <w:r>
              <w:t>Year 1–3</w:t>
            </w:r>
          </w:p>
        </w:tc>
        <w:tc>
          <w:tcPr>
            <w:tcW w:type="dxa" w:w="2340"/>
            <w:vAlign w:val="top"/>
            <w:tcMar>
              <w:top w:w="80" w:type="dxa"/>
              <w:right w:w="80" w:type="dxa"/>
              <w:bottom w:w="80" w:type="dxa"/>
              <w:left w:w="80" w:type="dxa"/>
            </w:tcMar>
          </w:tcPr>
          <w:p>
            <w:r>
              <w:t>Maintenance, enhancements, SLA monitoring</w:t>
            </w:r>
          </w:p>
        </w:tc>
        <w:tc>
          <w:tcPr>
            <w:tcW w:type="dxa" w:w="2340"/>
            <w:vAlign w:val="top"/>
            <w:tcMar>
              <w:top w:w="80" w:type="dxa"/>
              <w:right w:w="80" w:type="dxa"/>
              <w:bottom w:w="80" w:type="dxa"/>
              <w:left w:w="80" w:type="dxa"/>
            </w:tcMar>
          </w:tcPr>
          <w:p>
            <w:r>
              <w:t>Support reports, continuous improvement</w:t>
            </w:r>
          </w:p>
        </w:tc>
      </w:tr>
    </w:tbl>
    <w:p>
      <w:r>
        <w:t>Major milestones include:</w:t>
      </w:r>
    </w:p>
    <w:p>
      <w:pPr>
        <w:pStyle w:val="ListBullet"/>
      </w:pPr>
      <w:r>
        <w:rPr>
          <w:b/>
        </w:rPr>
        <w:t>Week 6:</w:t>
      </w:r>
      <w:r>
        <w:t xml:space="preserve"> Design sign-off</w:t>
      </w:r>
    </w:p>
    <w:p>
      <w:pPr>
        <w:pStyle w:val="ListBullet"/>
      </w:pPr>
      <w:r>
        <w:rPr>
          <w:b/>
        </w:rPr>
        <w:t>Week 16:</w:t>
      </w:r>
      <w:r>
        <w:t xml:space="preserve"> Configuration completion</w:t>
      </w:r>
    </w:p>
    <w:p>
      <w:pPr>
        <w:pStyle w:val="ListBullet"/>
      </w:pPr>
      <w:r>
        <w:rPr>
          <w:b/>
        </w:rPr>
        <w:t>Week 20:</w:t>
      </w:r>
      <w:r>
        <w:t xml:space="preserve"> UAT completion</w:t>
      </w:r>
    </w:p>
    <w:p>
      <w:pPr>
        <w:pStyle w:val="ListBullet"/>
      </w:pPr>
      <w:r>
        <w:rPr>
          <w:b/>
        </w:rPr>
        <w:t>Week 22:</w:t>
      </w:r>
      <w:r>
        <w:t xml:space="preserve"> Go-live</w:t>
      </w:r>
    </w:p>
    <w:p/>
    <w:p>
      <w:pPr>
        <w:pStyle w:val="Heading2"/>
      </w:pPr>
      <w:r>
        <w:t>6. Proposed Team Structure</w:t>
      </w:r>
    </w:p>
    <w:p/>
    <w:p>
      <w:r>
        <w:t>FusionAIx will assign a dedicated, experienced team to the MTI BPM project.</w:t>
      </w:r>
    </w:p>
    <w:p/>
    <w:p>
      <w:r>
        <w:t>Core Team Composition:</w:t>
      </w:r>
    </w:p>
    <w:p>
      <w:pPr>
        <w:pStyle w:val="ListBullet"/>
      </w:pPr>
      <w:r>
        <w:rPr>
          <w:b/>
        </w:rPr>
        <w:t>Project Manager (PM):</w:t>
      </w:r>
      <w:r>
        <w:t xml:space="preserve"> Overall delivery governance and stakeholder management.</w:t>
      </w:r>
    </w:p>
    <w:p>
      <w:pPr>
        <w:pStyle w:val="ListBullet"/>
      </w:pPr>
      <w:r>
        <w:rPr>
          <w:b/>
        </w:rPr>
        <w:t>BPM Architect:</w:t>
      </w:r>
      <w:r>
        <w:t xml:space="preserve"> Solution design, platform configuration, and technical oversight.</w:t>
      </w:r>
    </w:p>
    <w:p>
      <w:pPr>
        <w:pStyle w:val="ListBullet"/>
      </w:pPr>
      <w:r>
        <w:rPr>
          <w:b/>
        </w:rPr>
        <w:t>Two Business Analysts:</w:t>
      </w:r>
      <w:r>
        <w:t xml:space="preserve"> Requirements gathering, process modeling, and user story definition.</w:t>
      </w:r>
    </w:p>
    <w:p>
      <w:pPr>
        <w:pStyle w:val="ListBullet"/>
      </w:pPr>
      <w:r>
        <w:rPr>
          <w:b/>
        </w:rPr>
        <w:t>Two Developers:</w:t>
      </w:r>
      <w:r>
        <w:t xml:space="preserve"> Low-code configuration, integration development, and testing support.</w:t>
      </w:r>
    </w:p>
    <w:p>
      <w:pPr>
        <w:pStyle w:val="ListBullet"/>
      </w:pPr>
      <w:r>
        <w:rPr>
          <w:b/>
        </w:rPr>
        <w:t>QA Lead:</w:t>
      </w:r>
      <w:r>
        <w:t xml:space="preserve"> Test planning, execution, and quality assurance.</w:t>
      </w:r>
    </w:p>
    <w:p>
      <w:pPr>
        <w:pStyle w:val="ListBullet"/>
      </w:pPr>
      <w:r>
        <w:rPr>
          <w:b/>
        </w:rPr>
        <w:t>Integration Engineer:</w:t>
      </w:r>
      <w:r>
        <w:t xml:space="preserve"> API and system integration development.</w:t>
      </w:r>
    </w:p>
    <w:p>
      <w:pPr>
        <w:pStyle w:val="ListBullet"/>
      </w:pPr>
      <w:r>
        <w:rPr>
          <w:b/>
        </w:rPr>
        <w:t>UX Designer:</w:t>
      </w:r>
      <w:r>
        <w:t xml:space="preserve"> User interface design and usability optimization.</w:t>
      </w:r>
    </w:p>
    <w:p>
      <w:pPr>
        <w:pStyle w:val="ListBullet"/>
      </w:pPr>
      <w:r>
        <w:rPr>
          <w:b/>
        </w:rPr>
        <w:t>Change/Training Lead:</w:t>
      </w:r>
      <w:r>
        <w:t xml:space="preserve"> Change management, training delivery, and adoption support.</w:t>
      </w:r>
    </w:p>
    <w:p/>
    <w:p>
      <w:r>
        <w:t>All team members have delivered multi-process BPM implementations for public-sector clients, ensuring familiarity with government processes, compliance requirements, and stakeholder engagement.</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Workflow engine supports automated steps (validations, integrations, rules) and human tasks (review/approve) in one end-to-end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notes, and document-centric case timelines. Exceptions route to configurable queues with SLAs and escalation rules. All actions are audited, versioned, and traceable for compliance.</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Business rules externalized from code, versioned, tested, and deployed through controlled governance.</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SLAs defined per process and case type; automated escalations, notifications, and real-time dashboards.</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Accessible via standard browsers; guided steps and contextual help for case workers; self-service portals for external users.</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and event-based integration; secure SSO integration with MTI’s identity management.</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Security and audit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Role-based access control, fine-grained permissions, full audit logging, compliance with national standards.</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Reporting and dashboards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Real-time dashboards for case volumes, workload, SLA performance, and bottlenecks; business users can create ad-hoc reports.</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Training and change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Training for administrators, power users, and end users; training materials and user guides provided.</w:t>
            </w:r>
          </w:p>
        </w:tc>
      </w:tr>
      <w:tr>
        <w:tc>
          <w:tcPr>
            <w:tcW w:type="dxa" w:w="2340"/>
            <w:vAlign w:val="top"/>
            <w:tcMar>
              <w:top w:w="80" w:type="dxa"/>
              <w:right w:w="80" w:type="dxa"/>
              <w:bottom w:w="80" w:type="dxa"/>
              <w:left w:w="80" w:type="dxa"/>
            </w:tcMar>
          </w:tcPr>
          <w:p>
            <w:r>
              <w:t>5.1.j</w:t>
            </w:r>
          </w:p>
        </w:tc>
        <w:tc>
          <w:tcPr>
            <w:tcW w:type="dxa" w:w="2340"/>
            <w:vAlign w:val="top"/>
            <w:tcMar>
              <w:top w:w="80" w:type="dxa"/>
              <w:right w:w="80" w:type="dxa"/>
              <w:bottom w:w="80" w:type="dxa"/>
              <w:left w:w="80" w:type="dxa"/>
            </w:tcMar>
          </w:tcPr>
          <w:p>
            <w:r>
              <w:t>Support and maintenance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Three years of post go-live support, including patching, upgrades, and incident resolution with defined SLAs.</w:t>
            </w:r>
          </w:p>
        </w:tc>
      </w:tr>
    </w:tbl>
    <w:p/>
    <w:p>
      <w:pPr>
        <w:pStyle w:val="Heading2"/>
      </w:pPr>
      <w:r>
        <w:t>8. Assumptions, Dependencies, and Risks</w:t>
      </w:r>
    </w:p>
    <w:p/>
    <w:p>
      <w:pPr>
        <w:pStyle w:val="Heading3"/>
      </w:pPr>
      <w:r>
        <w:t>8.1 Assumptions</w:t>
      </w:r>
    </w:p>
    <w:p>
      <w:pPr>
        <w:pStyle w:val="ListBullet"/>
      </w:pPr>
      <w:r>
        <w:t>MTI will provide timely access to subject matter experts and existing systems.</w:t>
      </w:r>
    </w:p>
    <w:p>
      <w:pPr>
        <w:pStyle w:val="ListBullet"/>
      </w:pPr>
      <w:r>
        <w:t>Required infrastructure (servers, network, security) will be provisioned prior to deployment.</w:t>
      </w:r>
    </w:p>
    <w:p>
      <w:pPr>
        <w:pStyle w:val="ListBullet"/>
      </w:pPr>
      <w:r>
        <w:t>MTI will designate process owners for each target process.</w:t>
      </w:r>
    </w:p>
    <w:p/>
    <w:p>
      <w:pPr>
        <w:pStyle w:val="Heading3"/>
      </w:pPr>
      <w:r>
        <w:t>8.2 Dependencies</w:t>
      </w:r>
    </w:p>
    <w:p>
      <w:pPr>
        <w:pStyle w:val="ListBullet"/>
      </w:pPr>
      <w:r>
        <w:t>Integration with MTI’s identity management and SSO systems.</w:t>
      </w:r>
    </w:p>
    <w:p>
      <w:pPr>
        <w:pStyle w:val="ListBullet"/>
      </w:pPr>
      <w:r>
        <w:t>Availability of test data and environments.</w:t>
      </w:r>
    </w:p>
    <w:p>
      <w:pPr>
        <w:pStyle w:val="ListBullet"/>
      </w:pPr>
      <w:r>
        <w:t>Timely feedback during sprint reviews and UAT.</w:t>
      </w:r>
    </w:p>
    <w:p/>
    <w:p>
      <w:pPr>
        <w:pStyle w:val="Heading3"/>
      </w:pPr>
      <w:r>
        <w:t>8.3 Risks and Mitigation</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Delays in requirements finalization</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Conduct early discovery workshops and backlog prioritization.</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Use standard REST APIs and proven integration patterns.</w:t>
            </w:r>
          </w:p>
        </w:tc>
      </w:tr>
      <w:tr>
        <w:tc>
          <w:tcPr>
            <w:tcW w:type="dxa" w:w="3120"/>
            <w:vAlign w:val="top"/>
            <w:tcMar>
              <w:top w:w="80" w:type="dxa"/>
              <w:right w:w="80" w:type="dxa"/>
              <w:bottom w:w="80" w:type="dxa"/>
              <w:left w:w="80" w:type="dxa"/>
            </w:tcMar>
          </w:tcPr>
          <w:p>
            <w:r>
              <w:t>User adoption challenges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Dedicated change/training lead and comprehensive training program.</w:t>
            </w:r>
          </w:p>
        </w:tc>
      </w:tr>
      <w:tr>
        <w:tc>
          <w:tcPr>
            <w:tcW w:type="dxa" w:w="3120"/>
            <w:vAlign w:val="top"/>
            <w:tcMar>
              <w:top w:w="80" w:type="dxa"/>
              <w:right w:w="80" w:type="dxa"/>
              <w:bottom w:w="80" w:type="dxa"/>
              <w:left w:w="80" w:type="dxa"/>
            </w:tcMar>
          </w:tcPr>
          <w:p>
            <w:r>
              <w:t>Scope creep</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Strict change control and sprint backlog management.</w:t>
            </w:r>
          </w:p>
        </w:tc>
      </w:tr>
    </w:tbl>
    <w:p/>
    <w:p>
      <w:pPr>
        <w:pStyle w:val="Heading2"/>
      </w:pPr>
      <w:r>
        <w:t>9. Support and Maintenance Model</w:t>
      </w:r>
    </w:p>
    <w:p/>
    <w:p>
      <w:r>
        <w:t>FusionAIx will provide three years of post go-live support and maintenance, covering:</w:t>
      </w:r>
    </w:p>
    <w:p>
      <w:pPr>
        <w:pStyle w:val="ListBullet"/>
      </w:pPr>
      <w:r>
        <w:rPr>
          <w:b/>
        </w:rPr>
        <w:t>Incident Management:</w:t>
      </w:r>
      <w:r>
        <w:t xml:space="preserve"> L1–L3 support for issue resolution.</w:t>
      </w:r>
    </w:p>
    <w:p>
      <w:pPr>
        <w:pStyle w:val="ListBullet"/>
      </w:pPr>
      <w:r>
        <w:rPr>
          <w:b/>
        </w:rPr>
        <w:t>Patching and Upgrades:</w:t>
      </w:r>
      <w:r>
        <w:t xml:space="preserve"> Regular updates to maintain platform stability and security.</w:t>
      </w:r>
    </w:p>
    <w:p>
      <w:pPr>
        <w:pStyle w:val="ListBullet"/>
      </w:pPr>
      <w:r>
        <w:rPr>
          <w:b/>
        </w:rPr>
        <w:t>Performance Monitoring:</w:t>
      </w:r>
      <w:r>
        <w:t xml:space="preserve"> Continuous monitoring of system health and SLAs.</w:t>
      </w:r>
    </w:p>
    <w:p>
      <w:pPr>
        <w:pStyle w:val="ListBullet"/>
      </w:pPr>
      <w:r>
        <w:rPr>
          <w:b/>
        </w:rPr>
        <w:t>Enhancements:</w:t>
      </w:r>
      <w:r>
        <w:t xml:space="preserve"> Minor enhancements and configuration changes under change control.</w:t>
      </w:r>
    </w:p>
    <w:p/>
    <w:p>
      <w:pPr>
        <w:pStyle w:val="Heading3"/>
      </w:pPr>
      <w:r>
        <w:t>9.1 SLA Targets</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Severity</w:t>
            </w:r>
          </w:p>
        </w:tc>
        <w:tc>
          <w:tcPr>
            <w:tcW w:type="dxa" w:w="3120"/>
            <w:shd w:fill="1a5490" w:val="clear"/>
            <w:vAlign w:val="top"/>
            <w:tcMar>
              <w:top w:w="80" w:type="dxa"/>
              <w:right w:w="80" w:type="dxa"/>
              <w:bottom w:w="80" w:type="dxa"/>
              <w:left w:w="80" w:type="dxa"/>
            </w:tcMar>
          </w:tcPr>
          <w:p>
            <w:r>
              <w:rPr>
                <w:b/>
                <w:color w:val="FFFFFF"/>
              </w:rPr>
              <w:t>Response Time</w:t>
            </w:r>
          </w:p>
        </w:tc>
        <w:tc>
          <w:tcPr>
            <w:tcW w:type="dxa" w:w="3120"/>
            <w:shd w:fill="1a5490" w:val="clear"/>
            <w:vAlign w:val="top"/>
            <w:tcMar>
              <w:top w:w="80" w:type="dxa"/>
              <w:right w:w="80" w:type="dxa"/>
              <w:bottom w:w="80" w:type="dxa"/>
              <w:left w:w="80" w:type="dxa"/>
            </w:tcMar>
          </w:tcPr>
          <w:p>
            <w:r>
              <w:rPr>
                <w:b/>
                <w:color w:val="FFFFFF"/>
              </w:rPr>
              <w:t>Resolution Time</w:t>
            </w:r>
          </w:p>
        </w:tc>
      </w:tr>
      <w:tr>
        <w:tc>
          <w:tcPr>
            <w:tcW w:type="dxa" w:w="3120"/>
            <w:vAlign w:val="top"/>
            <w:tcMar>
              <w:top w:w="80" w:type="dxa"/>
              <w:right w:w="80" w:type="dxa"/>
              <w:bottom w:w="80" w:type="dxa"/>
              <w:left w:w="80" w:type="dxa"/>
            </w:tcMar>
          </w:tcPr>
          <w:p>
            <w:r>
              <w:t>Sev 1 (Critical)</w:t>
            </w:r>
          </w:p>
        </w:tc>
        <w:tc>
          <w:tcPr>
            <w:tcW w:type="dxa" w:w="3120"/>
            <w:vAlign w:val="top"/>
            <w:tcMar>
              <w:top w:w="80" w:type="dxa"/>
              <w:right w:w="80" w:type="dxa"/>
              <w:bottom w:w="80" w:type="dxa"/>
              <w:left w:w="80" w:type="dxa"/>
            </w:tcMar>
          </w:tcPr>
          <w:p>
            <w:r>
              <w:t>1 hour</w:t>
            </w:r>
          </w:p>
        </w:tc>
        <w:tc>
          <w:tcPr>
            <w:tcW w:type="dxa" w:w="3120"/>
            <w:vAlign w:val="top"/>
            <w:tcMar>
              <w:top w:w="80" w:type="dxa"/>
              <w:right w:w="80" w:type="dxa"/>
              <w:bottom w:w="80" w:type="dxa"/>
              <w:left w:w="80" w:type="dxa"/>
            </w:tcMar>
          </w:tcPr>
          <w:p>
            <w:r>
              <w:t>4 hours</w:t>
            </w:r>
          </w:p>
        </w:tc>
      </w:tr>
      <w:tr>
        <w:tc>
          <w:tcPr>
            <w:tcW w:type="dxa" w:w="3120"/>
            <w:vAlign w:val="top"/>
            <w:tcMar>
              <w:top w:w="80" w:type="dxa"/>
              <w:right w:w="80" w:type="dxa"/>
              <w:bottom w:w="80" w:type="dxa"/>
              <w:left w:w="80" w:type="dxa"/>
            </w:tcMar>
          </w:tcPr>
          <w:p>
            <w:r>
              <w:t>Sev 2 (High)</w:t>
            </w:r>
          </w:p>
        </w:tc>
        <w:tc>
          <w:tcPr>
            <w:tcW w:type="dxa" w:w="3120"/>
            <w:vAlign w:val="top"/>
            <w:tcMar>
              <w:top w:w="80" w:type="dxa"/>
              <w:right w:w="80" w:type="dxa"/>
              <w:bottom w:w="80" w:type="dxa"/>
              <w:left w:w="80" w:type="dxa"/>
            </w:tcMar>
          </w:tcPr>
          <w:p>
            <w:r>
              <w:t>4 hours</w:t>
            </w:r>
          </w:p>
        </w:tc>
        <w:tc>
          <w:tcPr>
            <w:tcW w:type="dxa" w:w="3120"/>
            <w:vAlign w:val="top"/>
            <w:tcMar>
              <w:top w:w="80" w:type="dxa"/>
              <w:right w:w="80" w:type="dxa"/>
              <w:bottom w:w="80" w:type="dxa"/>
              <w:left w:w="80" w:type="dxa"/>
            </w:tcMar>
          </w:tcPr>
          <w:p>
            <w:r>
              <w:t>1 business day</w:t>
            </w:r>
          </w:p>
        </w:tc>
      </w:tr>
      <w:tr>
        <w:tc>
          <w:tcPr>
            <w:tcW w:type="dxa" w:w="3120"/>
            <w:vAlign w:val="top"/>
            <w:tcMar>
              <w:top w:w="80" w:type="dxa"/>
              <w:right w:w="80" w:type="dxa"/>
              <w:bottom w:w="80" w:type="dxa"/>
              <w:left w:w="80" w:type="dxa"/>
            </w:tcMar>
          </w:tcPr>
          <w:p>
            <w:r>
              <w:t>Sev 3 (Medium)</w:t>
            </w:r>
          </w:p>
        </w:tc>
        <w:tc>
          <w:tcPr>
            <w:tcW w:type="dxa" w:w="3120"/>
            <w:vAlign w:val="top"/>
            <w:tcMar>
              <w:top w:w="80" w:type="dxa"/>
              <w:right w:w="80" w:type="dxa"/>
              <w:bottom w:w="80" w:type="dxa"/>
              <w:left w:w="80" w:type="dxa"/>
            </w:tcMar>
          </w:tcPr>
          <w:p>
            <w:r>
              <w:t>1 business day</w:t>
            </w:r>
          </w:p>
        </w:tc>
        <w:tc>
          <w:tcPr>
            <w:tcW w:type="dxa" w:w="3120"/>
            <w:vAlign w:val="top"/>
            <w:tcMar>
              <w:top w:w="80" w:type="dxa"/>
              <w:right w:w="80" w:type="dxa"/>
              <w:bottom w:w="80" w:type="dxa"/>
              <w:left w:w="80" w:type="dxa"/>
            </w:tcMar>
          </w:tcPr>
          <w:p>
            <w:r>
              <w:t>3 business days</w:t>
            </w:r>
          </w:p>
        </w:tc>
      </w:tr>
      <w:tr>
        <w:tc>
          <w:tcPr>
            <w:tcW w:type="dxa" w:w="3120"/>
            <w:vAlign w:val="top"/>
            <w:tcMar>
              <w:top w:w="80" w:type="dxa"/>
              <w:right w:w="80" w:type="dxa"/>
              <w:bottom w:w="80" w:type="dxa"/>
              <w:left w:w="80" w:type="dxa"/>
            </w:tcMar>
          </w:tcPr>
          <w:p>
            <w:r>
              <w:t>Sev 4 (Low)</w:t>
            </w:r>
          </w:p>
        </w:tc>
        <w:tc>
          <w:tcPr>
            <w:tcW w:type="dxa" w:w="3120"/>
            <w:vAlign w:val="top"/>
            <w:tcMar>
              <w:top w:w="80" w:type="dxa"/>
              <w:right w:w="80" w:type="dxa"/>
              <w:bottom w:w="80" w:type="dxa"/>
              <w:left w:w="80" w:type="dxa"/>
            </w:tcMar>
          </w:tcPr>
          <w:p>
            <w:r>
              <w:t>2 business days</w:t>
            </w:r>
          </w:p>
        </w:tc>
        <w:tc>
          <w:tcPr>
            <w:tcW w:type="dxa" w:w="3120"/>
            <w:vAlign w:val="top"/>
            <w:tcMar>
              <w:top w:w="80" w:type="dxa"/>
              <w:right w:w="80" w:type="dxa"/>
              <w:bottom w:w="80" w:type="dxa"/>
              <w:left w:w="80" w:type="dxa"/>
            </w:tcMar>
          </w:tcPr>
          <w:p>
            <w:r>
              <w:t>5 business days</w:t>
            </w:r>
          </w:p>
        </w:tc>
      </w:tr>
    </w:tbl>
    <w:p>
      <w:pPr>
        <w:pStyle w:val="Heading3"/>
      </w:pPr>
      <w:r>
        <w:t>9.2 Escalation and Governance</w:t>
      </w:r>
    </w:p>
    <w:p/>
    <w:p>
      <w:pPr>
        <w:pStyle w:val="ListBullet"/>
      </w:pPr>
      <w:r>
        <w:rPr>
          <w:b/>
        </w:rPr>
        <w:t>Incident Manager</w:t>
      </w:r>
      <w:r>
        <w:t xml:space="preserve"> assigned for Sev 1/2 issues.</w:t>
      </w:r>
    </w:p>
    <w:p>
      <w:pPr>
        <w:pStyle w:val="ListBullet"/>
      </w:pPr>
      <w:r>
        <w:rPr>
          <w:b/>
        </w:rPr>
        <w:t>Escalation Ladder:</w:t>
      </w:r>
      <w:r>
        <w:t xml:space="preserve"> Support Lead → Program Manager → Executive Sponsor.</w:t>
      </w:r>
    </w:p>
    <w:p>
      <w:pPr>
        <w:pStyle w:val="ListBullet"/>
      </w:pPr>
      <w:r>
        <w:rPr>
          <w:b/>
        </w:rPr>
        <w:t>Monthly Service Reviews:</w:t>
      </w:r>
      <w:r>
        <w:t xml:space="preserve"> SLA performance, root cause analysis, and continuous improvement actions.</w:t>
      </w:r>
    </w:p>
    <w:p/>
    <w:p>
      <w:pPr>
        <w:pStyle w:val="Heading2"/>
      </w:pPr>
      <w:r>
        <w:t>10. Commercial Proposal</w:t>
      </w:r>
    </w:p>
    <w:p/>
    <w:p>
      <w:r>
        <w:t>FusionAIx will provide a detailed commercial proposal in the final submission package, including a 5-year Total Cost of Ownership (TCO) view. Costs will be broken down as follows:</w:t>
      </w:r>
    </w:p>
    <w:p/>
    <w:p>
      <w:pPr>
        <w:pStyle w:val="ListNumber"/>
      </w:pPr>
      <w:r>
        <w:rPr>
          <w:b/>
        </w:rPr>
        <w:t>Licensing:</w:t>
      </w:r>
    </w:p>
    <w:p>
      <w:pPr>
        <w:pStyle w:val="ListBullet"/>
      </w:pPr>
      <w:r>
        <w:t>Enterprise BPM platform licenses for internal and external users.</w:t>
      </w:r>
    </w:p>
    <w:p>
      <w:pPr>
        <w:pStyle w:val="ListBullet"/>
      </w:pPr>
      <w:r>
        <w:t>Case management, rules engine, and analytics modules.</w:t>
      </w:r>
    </w:p>
    <w:p/>
    <w:p>
      <w:pPr>
        <w:pStyle w:val="ListNumber"/>
      </w:pPr>
      <w:r>
        <w:rPr>
          <w:b/>
        </w:rPr>
        <w:t>Implementation Services:</w:t>
      </w:r>
    </w:p>
    <w:p>
      <w:pPr>
        <w:pStyle w:val="ListBullet"/>
      </w:pPr>
      <w:r>
        <w:t>Discovery, design, configuration, integration, testing, and training.</w:t>
      </w:r>
    </w:p>
    <w:p>
      <w:pPr>
        <w:pStyle w:val="ListBullet"/>
      </w:pPr>
      <w:r>
        <w:t>Project management and change management support.</w:t>
      </w:r>
    </w:p>
    <w:p/>
    <w:p>
      <w:pPr>
        <w:pStyle w:val="ListNumber"/>
      </w:pPr>
      <w:r>
        <w:rPr>
          <w:b/>
        </w:rPr>
        <w:t>Support and Maintenance (3 years):</w:t>
      </w:r>
    </w:p>
    <w:p>
      <w:pPr>
        <w:pStyle w:val="ListBullet"/>
      </w:pPr>
      <w:r>
        <w:t>L1–L3 support, patching, upgrades, and SLA monitoring.</w:t>
      </w:r>
    </w:p>
    <w:p/>
    <w:p>
      <w:pPr>
        <w:pStyle w:val="ListNumber"/>
      </w:pPr>
      <w:r>
        <w:rPr>
          <w:b/>
        </w:rPr>
        <w:t>Optional Components:</w:t>
      </w:r>
    </w:p>
    <w:p>
      <w:pPr>
        <w:pStyle w:val="ListBullet"/>
      </w:pPr>
      <w:r>
        <w:t>Advanced analytics and AI-assisted features (fxAIStudio).</w:t>
      </w:r>
    </w:p>
    <w:p>
      <w:pPr>
        <w:pStyle w:val="ListBullet"/>
      </w:pPr>
      <w:r>
        <w:t>Additional environments (e.g., DR, performance testing).</w:t>
      </w:r>
    </w:p>
    <w:p>
      <w:pPr>
        <w:pStyle w:val="ListBullet"/>
      </w:pPr>
      <w:r>
        <w:t>Continuous improvement and enhancement services.</w:t>
      </w:r>
    </w:p>
    <w:p/>
    <w:p>
      <w:r>
        <w:t>FusionAIx is committed to partnering with MTI to deliver a transformative BPM platform that drives efficiency, transparency, and continuous improvement across all core business processes.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