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5510892" cy="1371600"/>
            <wp:docPr id="1" name="Picture 1"/>
            <wp:cNvGraphicFramePr>
              <a:graphicFrameLocks noChangeAspect="1"/>
            </wp:cNvGraphicFramePr>
            <a:graphic>
              <a:graphicData uri="http://schemas.openxmlformats.org/drawingml/2006/picture">
                <pic:pic>
                  <pic:nvPicPr>
                    <pic:cNvPr id="0" name="logo-transparent.png"/>
                    <pic:cNvPicPr/>
                  </pic:nvPicPr>
                  <pic:blipFill>
                    <a:blip r:embed="rId10"/>
                    <a:stretch>
                      <a:fillRect/>
                    </a:stretch>
                  </pic:blipFill>
                  <pic:spPr>
                    <a:xfrm>
                      <a:off x="0" y="0"/>
                      <a:ext cx="5510892" cy="1371600"/>
                    </a:xfrm>
                    <a:prstGeom prst="rect"/>
                  </pic:spPr>
                </pic:pic>
              </a:graphicData>
            </a:graphic>
          </wp:inline>
        </w:drawing>
      </w:r>
    </w:p>
    <w:p/>
    <w:p/>
    <w:p>
      <w:pPr>
        <w:keepNext w:val="0"/>
        <w:keepLines w:val="0"/>
        <w:widowControl w:val="0"/>
        <w:spacing w:after="240" w:before="0"/>
        <w:jc w:val="center"/>
        <w:wordWrap w:val="0"/>
        <w:overflowPunct w:val="0"/>
      </w:pPr>
      <w:r>
        <w:rPr>
          <w:rFonts w:ascii="Calibri" w:hAnsi="Calibri"/>
          <w:b/>
          <w:color w:val="1A5490"/>
          <w:sz w:val="64"/>
        </w:rPr>
        <w:t>Enterprise BPM Platform Implementation</w:t>
      </w:r>
    </w:p>
    <w:p/>
    <w:p/>
    <w:p>
      <w:pPr>
        <w:jc w:val="center"/>
      </w:pPr>
      <w:r>
        <w:rPr>
          <w:rFonts w:ascii="Calibri" w:hAnsi="Calibri"/>
          <w:color w:val="646464"/>
          <w:sz w:val="28"/>
        </w:rPr>
        <w:t>December 21, 2025</w:t>
      </w:r>
    </w:p>
    <w:p/>
    <w:p/>
    <w:p/>
    <w:p/>
    <w:p>
      <w:pPr>
        <w:jc w:val="center"/>
      </w:pPr>
      <w:r>
        <w:rPr>
          <w:rFonts w:ascii="Calibri" w:hAnsi="Calibri"/>
          <w:b/>
          <w:color w:val="1A5490"/>
          <w:sz w:val="40"/>
        </w:rPr>
        <w:t>fusionAIx</w:t>
      </w:r>
    </w:p>
    <w:p>
      <w:pPr>
        <w:jc w:val="center"/>
      </w:pPr>
      <w:r>
        <w:rPr>
          <w:rFonts w:ascii="Calibri" w:hAnsi="Calibri"/>
          <w:color w:val="646464"/>
          <w:sz w:val="24"/>
        </w:rPr>
        <w:t>www.fusionaix.com</w:t>
      </w:r>
    </w:p>
    <w:p/>
    <w:p>
      <w:r>
        <w:br w:type="page"/>
      </w:r>
    </w:p>
    <w:p>
      <w:pPr>
        <w:pStyle w:val="Heading1"/>
      </w:pPr>
      <w:r>
        <w:t>Table of Contents</w:t>
      </w:r>
    </w:p>
    <w:p>
      <w:r>
        <w:fldSimple w:instr="TOC \o &quot;1-3&quot; \h \z \u"/>
      </w:r>
    </w:p>
    <w:p>
      <w:r>
        <w:br w:type="page"/>
      </w:r>
    </w:p>
    <w:p>
      <w:pPr>
        <w:pStyle w:val="Heading1"/>
      </w:pPr>
      <w:r>
        <w:t>Company Overview</w:t>
      </w:r>
    </w:p>
    <w:p>
      <w:r>
        <w:t>At fusionAIx, we believe that the future of digital transformation lies in the seamless blend of low-code platforms and artificial intelligence. Our core team brings together decades of implementation experience, domain expertise, and a passion for innovation. We partner with enterprises to reimagine processes, accelerate application delivery, and unlock new levels of efficiency. We help businesses scale smarter, faster, and with greater impact.</w:t>
      </w:r>
    </w:p>
    <w:p>
      <w:r>
        <w:t>With a collaborative spirit and a commitment to excellence, our team transforms complex challenges into intelligent, practical solutions. fusionAIx is not just about technology—it's about empowering people, industries, and enterprises to thrive in a digital-first world.</w:t>
      </w:r>
    </w:p>
    <w:p>
      <w:r>
        <w:t>We are proud to be officially recognized as a Great Place To Work® Certified Company for 2025–26, reflecting our commitment to a culture built on trust, innovation, and people-first values.</w:t>
      </w:r>
    </w:p>
    <w:p>
      <w:r>
        <w:t>fusionAIx delivers tailored solutions that blend AI and automation to drive measurable results across industries. We are a niche Pega partner with 20+ successful Pega Constellation implementations across the globe. As Constellation migration experts, we focus on pattern-based development with Constellation, enabling faster project go-lives than traditional implementation approaches.</w:t>
      </w:r>
    </w:p>
    <w:p>
      <w:r>
        <w:t>Our proven capabilities span three core technology platforms: Pega Constellation, Microsoft Power Platform, and ServiceNow. Through these platforms, we provide comprehensive services including Low Code/No Code development, Digital Process Transformation, and AI &amp; Data solutions.</w:t>
      </w:r>
    </w:p>
    <w:p>
      <w:r>
        <w:t>To accelerate time-to-value, fusionAIx offers proprietary accelerators and solution components including fxAgentSDK, fxAIStudio, fxMockUpToView, and fxSmartDCO. These tools enable rapid development, intelligent automation, and streamlined project delivery.</w:t>
      </w:r>
    </w:p>
    <w:p>
      <w:r>
        <w:t>We support clients across diverse industries including Insurance, Banking &amp; Finance, Government &amp; Public Sector, Automotive &amp; Fleet Management, and Travel &amp; Tourism, combining platform expertise with structured knowledge transfer to help customers build sustainable, future-ready capabilities.</w:t>
      </w:r>
    </w:p>
    <w:p>
      <w:r>
        <w:br w:type="page"/>
      </w:r>
    </w:p>
    <w:p>
      <w:pPr>
        <w:pStyle w:val="Heading1"/>
      </w:pPr>
      <w:r>
        <w:t>Ministry of Trade and Industry (MTI)</w:t>
      </w:r>
    </w:p>
    <w:p>
      <w:pPr>
        <w:pStyle w:val="Heading2"/>
      </w:pPr>
      <w:r>
        <w:t>Unified Business Process Management (BPM) Platform Implementation</w:t>
      </w:r>
    </w:p>
    <w:p>
      <w:pPr>
        <w:pStyle w:val="Heading3"/>
      </w:pPr>
      <w:r>
        <w:t>Proposal by fusionAIx</w:t>
      </w:r>
    </w:p>
    <w:p>
      <w:r>
        <w:t>Date: 21 December 2025</w:t>
      </w:r>
    </w:p>
    <w:p/>
    <w:p>
      <w:pPr>
        <w:pStyle w:val="Heading2"/>
      </w:pPr>
      <w:r>
        <w:t>1. Executive Summary</w:t>
      </w:r>
    </w:p>
    <w:p/>
    <w:p>
      <w:r>
        <w:t>FusionAIx is pleased to submit this comprehensive proposal to the Ministry of Trade and Industry (MTI) for the supply, implementation, and support of a unified Business Process Management (BPM) platform. Our proposed solution is designed to orchestrate, automate, and continuously improve MTI’s core business processes, including business licensing and renewals, incentive and grant applications, and other mission-critical workflows.</w:t>
      </w:r>
    </w:p>
    <w:p/>
    <w:p>
      <w:r>
        <w:t>At fusionAIx, we believe that the future of digital transformation lies in the seamless blend of low-code platforms and artificial intelligence. Our approach combines a proven enterprise-grade BPM suite with intelligent automation, analytics, and a low-code configuration model to deliver rapid value realization and sustainable process excellence.</w:t>
      </w:r>
    </w:p>
    <w:p/>
    <w:p>
      <w:r>
        <w:t>We propose to implement the Pega Constellation BPM platform, an enterprise-grade, low-code, model-driven solution that supports both straight-through and human-centric workflows, dynamic case management, centralized rules management, and responsive web-based user interfaces.</w:t>
      </w:r>
    </w:p>
    <w:p/>
    <w:p>
      <w:r>
        <w:t>Our solution will enable MTI to:</w:t>
      </w:r>
    </w:p>
    <w:p>
      <w:pPr>
        <w:pStyle w:val="ListBullet"/>
      </w:pPr>
      <w:r>
        <w:t>Digitally orchestrate end-to-end processes across departments and stakeholders.</w:t>
      </w:r>
    </w:p>
    <w:p>
      <w:pPr>
        <w:pStyle w:val="ListBullet"/>
      </w:pPr>
      <w:r>
        <w:t>Provide a unified case management capability supporting ad-hoc tasks, attachments, and notes.</w:t>
      </w:r>
    </w:p>
    <w:p>
      <w:pPr>
        <w:pStyle w:val="ListBullet"/>
      </w:pPr>
      <w:r>
        <w:t>Deliver dashboards and reports for real-time monitoring of case volumes, SLA performance, and workload distribution.</w:t>
      </w:r>
    </w:p>
    <w:p>
      <w:pPr>
        <w:pStyle w:val="ListBullet"/>
      </w:pPr>
      <w:r>
        <w:t>Empower business users to configure and optimize processes without deep technical intervention.</w:t>
      </w:r>
    </w:p>
    <w:p>
      <w:pPr>
        <w:pStyle w:val="ListBullet"/>
      </w:pPr>
      <w:r>
        <w:t>Ensure compliance, auditability, and security aligned with national standards.</w:t>
      </w:r>
    </w:p>
    <w:p/>
    <w:p>
      <w:r>
        <w:t>FusionAIx brings over two decades of combined experience in BPM and low-code transformation, with 20+ successful Pega Constellation implementations globally. We are a niche Pega partner recognized for our Constellation migration expertise and pattern-based development accelerators that reduce time-to-value.</w:t>
      </w:r>
    </w:p>
    <w:p/>
    <w:p>
      <w:r>
        <w:t>Our implementation approach emphasizes collaboration, transparency, and agility. We will work closely with MTI stakeholders through structured discovery, iterative configuration, and continuous validation. The project will be delivered in phases, with the first go-live targeted within 22 weeks from project initiation, as detailed in our project plan.</w:t>
      </w:r>
    </w:p>
    <w:p/>
    <w:p>
      <w:r>
        <w:t>Post go-live, fusionAIx will provide three years of comprehensive support and maintenance, including patching, upgrades, and incident resolution under defined SLAs.</w:t>
      </w:r>
    </w:p>
    <w:p/>
    <w:p>
      <w:r>
        <w:t>This proposal demonstrates our commitment to delivering a secure, scalable, and future-ready BPM platform that empowers MTI to achieve operational excellence, transparency, and citizen-centric service delivery.</w:t>
      </w:r>
    </w:p>
    <w:p/>
    <w:p>
      <w:pPr>
        <w:pStyle w:val="Heading2"/>
      </w:pPr>
      <w:r>
        <w:t>2. Understanding of MTI’s Objectives and Context</w:t>
      </w:r>
    </w:p>
    <w:p/>
    <w:p>
      <w:r>
        <w:t>The Ministry of Trade and Industry (MTI) seeks to implement a unified BPM platform to streamline and manage its core business processes. The Ministry’s objectives are centered on improving efficiency, transparency, and service quality across its licensing, grants, and internal administrative processes.</w:t>
      </w:r>
    </w:p>
    <w:p/>
    <w:p>
      <w:r>
        <w:t>FusionAIx understands that MTI’s current environment includes multiple systems—ERP, CRM, document management, and identity management platforms—that operate in silos. This fragmentation leads to manual interventions, inconsistent data, and limited visibility into process performance.</w:t>
      </w:r>
    </w:p>
    <w:p/>
    <w:p>
      <w:r>
        <w:t>The BPM platform must therefore serve as a unifying layer that orchestrates workflows across these systems, providing a single pane of glass for process execution, monitoring, and optimization.</w:t>
      </w:r>
    </w:p>
    <w:p/>
    <w:p>
      <w:r>
        <w:t>Key objectives as we understand them include:</w:t>
      </w:r>
    </w:p>
    <w:p>
      <w:pPr>
        <w:pStyle w:val="ListBullet"/>
      </w:pPr>
      <w:r>
        <w:rPr>
          <w:b/>
        </w:rPr>
        <w:t>Process Unification:</w:t>
      </w:r>
      <w:r>
        <w:t xml:space="preserve"> Establish a single BPM platform to manage all core MTI processes, ensuring consistency and standardization.</w:t>
      </w:r>
    </w:p>
    <w:p>
      <w:pPr>
        <w:pStyle w:val="ListBullet"/>
      </w:pPr>
      <w:r>
        <w:rPr>
          <w:b/>
        </w:rPr>
        <w:t>Configurable Case Management:</w:t>
      </w:r>
      <w:r>
        <w:t xml:space="preserve"> Enable dynamic case handling with ad-hoc tasks, attachments, and notes to support complex, non-linear workflows.</w:t>
      </w:r>
    </w:p>
    <w:p>
      <w:pPr>
        <w:pStyle w:val="ListBullet"/>
      </w:pPr>
      <w:r>
        <w:rPr>
          <w:b/>
        </w:rPr>
        <w:t>Operational Transparency:</w:t>
      </w:r>
      <w:r>
        <w:t xml:space="preserve"> Provide dashboards and analytics for real-time visibility into process performance, SLA adherence, and workload distribution.</w:t>
      </w:r>
    </w:p>
    <w:p>
      <w:pPr>
        <w:pStyle w:val="ListBullet"/>
      </w:pPr>
      <w:r>
        <w:rPr>
          <w:b/>
        </w:rPr>
        <w:t>Empowered Business Users:</w:t>
      </w:r>
      <w:r>
        <w:t xml:space="preserve"> Allow business users to model, configure, and optimize processes through a low-code interface.</w:t>
      </w:r>
    </w:p>
    <w:p>
      <w:pPr>
        <w:pStyle w:val="ListBullet"/>
      </w:pPr>
      <w:r>
        <w:rPr>
          <w:b/>
        </w:rPr>
        <w:t>Compliance and Auditability:</w:t>
      </w:r>
      <w:r>
        <w:t xml:space="preserve"> Ensure full audit trails, role-based access control, and adherence to national data protection and security standards.</w:t>
      </w:r>
    </w:p>
    <w:p>
      <w:pPr>
        <w:pStyle w:val="ListBullet"/>
      </w:pPr>
      <w:r>
        <w:rPr>
          <w:b/>
        </w:rPr>
        <w:t>Integration and Interoperability:</w:t>
      </w:r>
      <w:r>
        <w:t xml:space="preserve"> Seamlessly integrate with existing MTI systems using secure, standardized mechanisms.</w:t>
      </w:r>
    </w:p>
    <w:p>
      <w:pPr>
        <w:pStyle w:val="ListBullet"/>
      </w:pPr>
      <w:r>
        <w:rPr>
          <w:b/>
        </w:rPr>
        <w:t>Sustainability and Continuous Improvement:</w:t>
      </w:r>
      <w:r>
        <w:t xml:space="preserve"> Establish a foundation for ongoing process optimization through analytics and feedback loops.</w:t>
      </w:r>
    </w:p>
    <w:p/>
    <w:p>
      <w:r>
        <w:t>FusionAIx’s understanding of MTI’s context is informed by our extensive experience in government and regulated sectors. We recognize that MTI’s transformation journey is not just about technology—it is about enabling a culture of continuous improvement, data-driven decision-making, and citizen-centric service delivery.</w:t>
      </w:r>
    </w:p>
    <w:p/>
    <w:p>
      <w:r>
        <w:t>Our previous government BPM implementation for permits and grant approvals demonstrated measurable outcomes:</w:t>
      </w:r>
    </w:p>
    <w:p>
      <w:r>
        <w:t>&gt; “FusionAIx delivered BPM for permits and grant approvals in government. Audit trails improved compliance, and dashboards increased transparency across teams. SLA breaches fell about 25%, and average cycle time dropped 30%.”</w:t>
      </w:r>
    </w:p>
    <w:p/>
    <w:p>
      <w:r>
        <w:t>This experience directly aligns with MTI’s goals of improving transparency, compliance, and service delivery outcomes.</w:t>
      </w:r>
    </w:p>
    <w:p/>
    <w:p>
      <w:pPr>
        <w:pStyle w:val="Heading2"/>
      </w:pPr>
      <w:r>
        <w:t>3. Proposed Solution Overview</w:t>
      </w:r>
    </w:p>
    <w:p/>
    <w:p>
      <w:pPr>
        <w:pStyle w:val="Heading3"/>
      </w:pPr>
      <w:r>
        <w:t>3.1 Solution Architecture</w:t>
      </w:r>
    </w:p>
    <w:p/>
    <w:p>
      <w:r>
        <w:t>FusionAIx proposes the Pega Constellation BPM platform as the foundation for MTI’s unified BPM solution. The architecture is modular, scalable, and cloud-ready, supporting both on-premise and hybrid deployments.</w:t>
      </w:r>
    </w:p>
    <w:p/>
    <w:p>
      <w:r>
        <w:t>Core Components:</w:t>
      </w:r>
    </w:p>
    <w:p>
      <w:pPr>
        <w:pStyle w:val="ListBullet"/>
      </w:pPr>
      <w:r>
        <w:rPr>
          <w:b/>
        </w:rPr>
        <w:t>Process Orchestration Engine:</w:t>
      </w:r>
      <w:r>
        <w:t xml:space="preserve"> Manages straight-through and human-centric workflows, ensuring seamless task routing and SLA tracking.</w:t>
      </w:r>
    </w:p>
    <w:p>
      <w:pPr>
        <w:pStyle w:val="ListBullet"/>
      </w:pPr>
      <w:r>
        <w:rPr>
          <w:b/>
        </w:rPr>
        <w:t>Dynamic Case Management:</w:t>
      </w:r>
      <w:r>
        <w:t xml:space="preserve"> Supports ad-hoc tasks, attachments, notes, and contextual collaboration.</w:t>
      </w:r>
    </w:p>
    <w:p>
      <w:pPr>
        <w:pStyle w:val="ListBullet"/>
      </w:pPr>
      <w:r>
        <w:rPr>
          <w:b/>
        </w:rPr>
        <w:t>Centralized Rules Engine:</w:t>
      </w:r>
      <w:r>
        <w:t xml:space="preserve"> Externalizes business policies from application code, enabling versioning, testing, and controlled deployment of rules.</w:t>
      </w:r>
    </w:p>
    <w:p>
      <w:pPr>
        <w:pStyle w:val="ListBullet"/>
      </w:pPr>
      <w:r>
        <w:rPr>
          <w:b/>
        </w:rPr>
        <w:t>Integration Layer:</w:t>
      </w:r>
      <w:r>
        <w:t xml:space="preserve"> Provides REST APIs, message queues, and event-based integration for interoperability with MTI’s ERP, CRM, and document management systems.</w:t>
      </w:r>
    </w:p>
    <w:p>
      <w:pPr>
        <w:pStyle w:val="ListBullet"/>
      </w:pPr>
      <w:r>
        <w:rPr>
          <w:b/>
        </w:rPr>
        <w:t>User Experience Layer:</w:t>
      </w:r>
      <w:r>
        <w:t xml:space="preserve"> Delivers responsive, web-based interfaces accessible via standard browsers, with guided steps and contextual help.</w:t>
      </w:r>
    </w:p>
    <w:p>
      <w:pPr>
        <w:pStyle w:val="ListBullet"/>
      </w:pPr>
      <w:r>
        <w:rPr>
          <w:b/>
        </w:rPr>
        <w:t>Analytics and Reporting:</w:t>
      </w:r>
      <w:r>
        <w:t xml:space="preserve"> Offers real-time dashboards for monitoring case volumes, SLA performance, and workload distribution.</w:t>
      </w:r>
    </w:p>
    <w:p>
      <w:pPr>
        <w:pStyle w:val="ListBullet"/>
      </w:pPr>
      <w:r>
        <w:rPr>
          <w:b/>
        </w:rPr>
        <w:t>Security and Compliance:</w:t>
      </w:r>
      <w:r>
        <w:t xml:space="preserve"> Implements role-based access control, full audit logging, and compliance with national cybersecurity standards.</w:t>
      </w:r>
    </w:p>
    <w:p/>
    <w:p>
      <w:pPr>
        <w:pStyle w:val="Heading3"/>
      </w:pPr>
      <w:r>
        <w:t>3.2 Integration Approach</w:t>
      </w:r>
    </w:p>
    <w:p/>
    <w:p>
      <w:r>
        <w:t>FusionAIx will ensure seamless integration of the proposed BPM platform with MTI’s existing systems using the following approach:</w:t>
      </w:r>
    </w:p>
    <w:p/>
    <w:p>
      <w:r>
        <w:t>&gt; “We integrate using REST APIs, event messaging, and standard enterprise connectors. API gateway enforces throttling, versioning, and schema validation. Security uses SSO, least-privilege service accounts, TLS, and full auditing.”</w:t>
      </w:r>
    </w:p>
    <w:p/>
    <w:p>
      <w:r>
        <w:t>This integration strategy ensures secure, reliable, and scalable connectivity across MTI’s digital ecosystem.</w:t>
      </w:r>
    </w:p>
    <w:p/>
    <w:p>
      <w:pPr>
        <w:pStyle w:val="Heading3"/>
      </w:pPr>
      <w:r>
        <w:t>3.3 Key Differentiators</w:t>
      </w:r>
    </w:p>
    <w:p/>
    <w:p>
      <w:pPr>
        <w:pStyle w:val="ListBullet"/>
      </w:pPr>
      <w:r>
        <w:rPr>
          <w:b/>
        </w:rPr>
        <w:t>Low-Code Agility:</w:t>
      </w:r>
      <w:r>
        <w:t xml:space="preserve"> Model-driven configuration minimizes custom code, accelerating delivery and simplifying maintenance.</w:t>
      </w:r>
    </w:p>
    <w:p>
      <w:pPr>
        <w:pStyle w:val="ListBullet"/>
      </w:pPr>
      <w:r>
        <w:rPr>
          <w:b/>
        </w:rPr>
        <w:t>AI-Driven Insights:</w:t>
      </w:r>
      <w:r>
        <w:t xml:space="preserve"> Built-in analytics and machine learning capabilities enable predictive SLA management and process optimization.</w:t>
      </w:r>
    </w:p>
    <w:p>
      <w:pPr>
        <w:pStyle w:val="ListBullet"/>
      </w:pPr>
      <w:r>
        <w:rPr>
          <w:b/>
        </w:rPr>
        <w:t>Proprietary Accelerators:</w:t>
      </w:r>
      <w:r>
        <w:t xml:space="preserve"> fusionAIx’s fxAgentSDK, fxAIStudio, fxMockUpToView, and fxSmartDCO accelerators reduce configuration time and enhance quality.</w:t>
      </w:r>
    </w:p>
    <w:p>
      <w:pPr>
        <w:pStyle w:val="ListBullet"/>
      </w:pPr>
      <w:r>
        <w:rPr>
          <w:b/>
        </w:rPr>
        <w:t>Proven Government Experience:</w:t>
      </w:r>
      <w:r>
        <w:t xml:space="preserve"> Demonstrated success in public sector BPM implementations with measurable efficiency gains.</w:t>
      </w:r>
    </w:p>
    <w:p>
      <w:pPr>
        <w:pStyle w:val="ListBullet"/>
      </w:pPr>
      <w:r>
        <w:rPr>
          <w:b/>
        </w:rPr>
        <w:t>Continuous Improvement Framework:</w:t>
      </w:r>
      <w:r>
        <w:t xml:space="preserve"> Embedded feedback loops and KPI tracking ensure sustained process optimization.</w:t>
      </w:r>
    </w:p>
    <w:p/>
    <w:p>
      <w:pPr>
        <w:pStyle w:val="Heading3"/>
      </w:pPr>
      <w:r>
        <w:t>3.4 Continuous Improvement and Analytics</w:t>
      </w:r>
    </w:p>
    <w:p/>
    <w:p>
      <w:r>
        <w:t>FusionAIx will measure and demonstrate continuous process improvement after implementation as follows:</w:t>
      </w:r>
    </w:p>
    <w:p/>
    <w:p>
      <w:r>
        <w:t>&gt; “We baseline cycle time, SLA compliance, backlog aging, and rework rates. Dashboards track trends, bottlenecks, throughput, and straight-through processing. Feedback uses user pulses, audits, and a prioritized continuous-improvement backlog.”</w:t>
      </w:r>
    </w:p>
    <w:p/>
    <w:p>
      <w:r>
        <w:t>This ensures that MTI’s BPM platform evolves continuously to meet changing business needs and performance targets.</w:t>
      </w:r>
    </w:p>
    <w:p/>
    <w:p>
      <w:pPr>
        <w:pStyle w:val="Heading2"/>
      </w:pPr>
      <w:r>
        <w:t>4. Implementation Approach and Methodology</w:t>
      </w:r>
    </w:p>
    <w:p/>
    <w:p>
      <w:r>
        <w:t>FusionAIx follows a structured, agile implementation methodology that emphasizes collaboration, transparency, and iterative delivery.</w:t>
      </w:r>
    </w:p>
    <w:p/>
    <w:p>
      <w:pPr>
        <w:pStyle w:val="Heading3"/>
      </w:pPr>
      <w:r>
        <w:t>4.1 Phased Delivery Approach</w:t>
      </w:r>
    </w:p>
    <w:p/>
    <w:p>
      <w:r>
        <w:t>Our approach includes the following phases:</w:t>
      </w:r>
    </w:p>
    <w:p/>
    <w:p>
      <w:pPr>
        <w:pStyle w:val="ListNumber"/>
      </w:pPr>
      <w:r>
        <w:rPr>
          <w:b/>
        </w:rPr>
        <w:t>Discovery and Requirements Refinement (Weeks 1–6):</w:t>
      </w:r>
    </w:p>
    <w:p>
      <w:pPr>
        <w:pStyle w:val="ListBullet"/>
      </w:pPr>
      <w:r>
        <w:t>Conduct workshops with MTI stakeholders to gather and refine requirements.</w:t>
      </w:r>
    </w:p>
    <w:p>
      <w:pPr>
        <w:pStyle w:val="ListBullet"/>
      </w:pPr>
      <w:r>
        <w:t>Model target processes using fxSmartDCO for rapid visualization.</w:t>
      </w:r>
    </w:p>
    <w:p>
      <w:pPr>
        <w:pStyle w:val="ListBullet"/>
      </w:pPr>
      <w:r>
        <w:t>Define prioritized backlog and target architecture.</w:t>
      </w:r>
    </w:p>
    <w:p/>
    <w:p>
      <w:pPr>
        <w:pStyle w:val="ListNumber"/>
      </w:pPr>
      <w:r>
        <w:rPr>
          <w:b/>
        </w:rPr>
        <w:t>Configuration and Integration (Weeks 7–16):</w:t>
      </w:r>
    </w:p>
    <w:p>
      <w:pPr>
        <w:pStyle w:val="ListBullet"/>
      </w:pPr>
      <w:r>
        <w:t>Configure workflows, case types, and rules using Pega Constellation.</w:t>
      </w:r>
    </w:p>
    <w:p>
      <w:pPr>
        <w:pStyle w:val="ListBullet"/>
      </w:pPr>
      <w:r>
        <w:t>Integrate with MTI’s ERP, CRM, and document management systems using REST APIs and event messaging.</w:t>
      </w:r>
    </w:p>
    <w:p>
      <w:pPr>
        <w:pStyle w:val="ListBullet"/>
      </w:pPr>
      <w:r>
        <w:t>Conduct sprint demos for stakeholder validation.</w:t>
      </w:r>
    </w:p>
    <w:p/>
    <w:p>
      <w:pPr>
        <w:pStyle w:val="ListNumber"/>
      </w:pPr>
      <w:r>
        <w:rPr>
          <w:b/>
        </w:rPr>
        <w:t>Testing, UAT, and Training (Weeks 17–22):</w:t>
      </w:r>
    </w:p>
    <w:p>
      <w:pPr>
        <w:pStyle w:val="ListBullet"/>
      </w:pPr>
      <w:r>
        <w:t>Execute system, integration, and performance testing.</w:t>
      </w:r>
    </w:p>
    <w:p>
      <w:pPr>
        <w:pStyle w:val="ListBullet"/>
      </w:pPr>
      <w:r>
        <w:t>Support UAT with defect triage and resolution.</w:t>
      </w:r>
    </w:p>
    <w:p>
      <w:pPr>
        <w:pStyle w:val="ListBullet"/>
      </w:pPr>
      <w:r>
        <w:t>Deliver training for administrators, power users, and end users.</w:t>
      </w:r>
    </w:p>
    <w:p/>
    <w:p>
      <w:pPr>
        <w:pStyle w:val="ListNumber"/>
      </w:pPr>
      <w:r>
        <w:rPr>
          <w:b/>
        </w:rPr>
        <w:t>Go-Live and Hypercare:</w:t>
      </w:r>
    </w:p>
    <w:p>
      <w:pPr>
        <w:pStyle w:val="ListBullet"/>
      </w:pPr>
      <w:r>
        <w:t>Execute cutover and stabilization.</w:t>
      </w:r>
    </w:p>
    <w:p>
      <w:pPr>
        <w:pStyle w:val="ListBullet"/>
      </w:pPr>
      <w:r>
        <w:t>Monitor performance and address post-go-live issues.</w:t>
      </w:r>
    </w:p>
    <w:p>
      <w:pPr>
        <w:pStyle w:val="ListBullet"/>
      </w:pPr>
      <w:r>
        <w:t>Transition to steady-state support.</w:t>
      </w:r>
    </w:p>
    <w:p/>
    <w:p>
      <w:pPr>
        <w:pStyle w:val="Heading3"/>
      </w:pPr>
      <w:r>
        <w:t>4.2 Training and Change Enablement</w:t>
      </w:r>
    </w:p>
    <w:p/>
    <w:p>
      <w:r>
        <w:t>FusionAIx will deliver comprehensive training for system administrators, business power users, and end users. Training materials and user guides will be provided, and change management support will be aligned with MTI’s internal communication and adoption strategy.</w:t>
      </w:r>
    </w:p>
    <w:p/>
    <w:p>
      <w:pPr>
        <w:pStyle w:val="Heading3"/>
      </w:pPr>
      <w:r>
        <w:t>4.3 Quality Assurance</w:t>
      </w:r>
    </w:p>
    <w:p/>
    <w:p>
      <w:r>
        <w:t>Our QA framework includes:</w:t>
      </w:r>
    </w:p>
    <w:p>
      <w:pPr>
        <w:pStyle w:val="ListBullet"/>
      </w:pPr>
      <w:r>
        <w:t>Automated testing for workflows and rules.</w:t>
      </w:r>
    </w:p>
    <w:p>
      <w:pPr>
        <w:pStyle w:val="ListBullet"/>
      </w:pPr>
      <w:r>
        <w:t>Peer reviews and configuration audits.</w:t>
      </w:r>
    </w:p>
    <w:p>
      <w:pPr>
        <w:pStyle w:val="ListBullet"/>
      </w:pPr>
      <w:r>
        <w:t>Performance and security testing prior to go-live.</w:t>
      </w:r>
    </w:p>
    <w:p/>
    <w:p>
      <w:pPr>
        <w:pStyle w:val="Heading2"/>
      </w:pPr>
      <w:r>
        <w:t>5. Project Plan and Timelines</w:t>
      </w:r>
    </w:p>
    <w:p/>
    <w:p>
      <w:r>
        <w:t>FusionAIx proposes the following baseline timeline for the initial implementation phase:</w:t>
      </w:r>
    </w:p>
    <w:p/>
    <w:p>
      <w:r>
        <w:t>&gt; “Weeks 1–6: discovery, target design, and prioritized backlog approved.</w:t>
      </w:r>
    </w:p>
    <w:p>
      <w:r>
        <w:t>&gt; Weeks 7–16: configuration, integrations, and sprint demos per milestone.</w:t>
      </w:r>
    </w:p>
    <w:p>
      <w:r>
        <w:t>&gt; Weeks 17–22: testing, UAT, training, cutover, and go-live.”</w:t>
      </w:r>
    </w:p>
    <w:p/>
    <w:p>
      <w:pPr>
        <w:pStyle w:val="Heading3"/>
      </w:pPr>
      <w:r>
        <w:t>5.1 Major Milestones</w:t>
      </w:r>
    </w:p>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Milestone</w:t>
            </w:r>
          </w:p>
        </w:tc>
        <w:tc>
          <w:tcPr>
            <w:tcW w:type="dxa" w:w="3120"/>
            <w:shd w:fill="1a5490" w:val="clear"/>
            <w:vAlign w:val="top"/>
            <w:tcMar>
              <w:top w:w="80" w:type="dxa"/>
              <w:right w:w="80" w:type="dxa"/>
              <w:bottom w:w="80" w:type="dxa"/>
              <w:left w:w="80" w:type="dxa"/>
            </w:tcMar>
          </w:tcPr>
          <w:p>
            <w:r>
              <w:rPr>
                <w:b/>
                <w:color w:val="FFFFFF"/>
              </w:rPr>
              <w:t>Duration</w:t>
            </w:r>
          </w:p>
        </w:tc>
        <w:tc>
          <w:tcPr>
            <w:tcW w:type="dxa" w:w="3120"/>
            <w:shd w:fill="1a5490" w:val="clear"/>
            <w:vAlign w:val="top"/>
            <w:tcMar>
              <w:top w:w="80" w:type="dxa"/>
              <w:right w:w="80" w:type="dxa"/>
              <w:bottom w:w="80" w:type="dxa"/>
              <w:left w:w="80" w:type="dxa"/>
            </w:tcMar>
          </w:tcPr>
          <w:p>
            <w:r>
              <w:rPr>
                <w:b/>
                <w:color w:val="FFFFFF"/>
              </w:rPr>
              <w:t>Key Deliverables</w:t>
            </w:r>
          </w:p>
        </w:tc>
      </w:tr>
      <w:tr>
        <w:tc>
          <w:tcPr>
            <w:tcW w:type="dxa" w:w="3120"/>
            <w:vAlign w:val="top"/>
            <w:tcMar>
              <w:top w:w="80" w:type="dxa"/>
              <w:right w:w="80" w:type="dxa"/>
              <w:bottom w:w="80" w:type="dxa"/>
              <w:left w:w="80" w:type="dxa"/>
            </w:tcMar>
          </w:tcPr>
          <w:p>
            <w:r>
              <w:t>Project Initiation &amp; Discovery</w:t>
            </w:r>
          </w:p>
        </w:tc>
        <w:tc>
          <w:tcPr>
            <w:tcW w:type="dxa" w:w="3120"/>
            <w:vAlign w:val="top"/>
            <w:tcMar>
              <w:top w:w="80" w:type="dxa"/>
              <w:right w:w="80" w:type="dxa"/>
              <w:bottom w:w="80" w:type="dxa"/>
              <w:left w:w="80" w:type="dxa"/>
            </w:tcMar>
          </w:tcPr>
          <w:p>
            <w:r>
              <w:t>Weeks 1–6</w:t>
            </w:r>
          </w:p>
        </w:tc>
        <w:tc>
          <w:tcPr>
            <w:tcW w:type="dxa" w:w="3120"/>
            <w:vAlign w:val="top"/>
            <w:tcMar>
              <w:top w:w="80" w:type="dxa"/>
              <w:right w:w="80" w:type="dxa"/>
              <w:bottom w:w="80" w:type="dxa"/>
              <w:left w:w="80" w:type="dxa"/>
            </w:tcMar>
          </w:tcPr>
          <w:p>
            <w:r>
              <w:t>Requirements, process models, backlog</w:t>
            </w:r>
          </w:p>
        </w:tc>
      </w:tr>
      <w:tr>
        <w:tc>
          <w:tcPr>
            <w:tcW w:type="dxa" w:w="3120"/>
            <w:vAlign w:val="top"/>
            <w:tcMar>
              <w:top w:w="80" w:type="dxa"/>
              <w:right w:w="80" w:type="dxa"/>
              <w:bottom w:w="80" w:type="dxa"/>
              <w:left w:w="80" w:type="dxa"/>
            </w:tcMar>
          </w:tcPr>
          <w:p>
            <w:r>
              <w:t>Configuration &amp; Integration</w:t>
            </w:r>
          </w:p>
        </w:tc>
        <w:tc>
          <w:tcPr>
            <w:tcW w:type="dxa" w:w="3120"/>
            <w:vAlign w:val="top"/>
            <w:tcMar>
              <w:top w:w="80" w:type="dxa"/>
              <w:right w:w="80" w:type="dxa"/>
              <w:bottom w:w="80" w:type="dxa"/>
              <w:left w:w="80" w:type="dxa"/>
            </w:tcMar>
          </w:tcPr>
          <w:p>
            <w:r>
              <w:t>Weeks 7–16</w:t>
            </w:r>
          </w:p>
        </w:tc>
        <w:tc>
          <w:tcPr>
            <w:tcW w:type="dxa" w:w="3120"/>
            <w:vAlign w:val="top"/>
            <w:tcMar>
              <w:top w:w="80" w:type="dxa"/>
              <w:right w:w="80" w:type="dxa"/>
              <w:bottom w:w="80" w:type="dxa"/>
              <w:left w:w="80" w:type="dxa"/>
            </w:tcMar>
          </w:tcPr>
          <w:p>
            <w:r>
              <w:t>Configured workflows, integrations, sprint demos</w:t>
            </w:r>
          </w:p>
        </w:tc>
      </w:tr>
      <w:tr>
        <w:tc>
          <w:tcPr>
            <w:tcW w:type="dxa" w:w="3120"/>
            <w:vAlign w:val="top"/>
            <w:tcMar>
              <w:top w:w="80" w:type="dxa"/>
              <w:right w:w="80" w:type="dxa"/>
              <w:bottom w:w="80" w:type="dxa"/>
              <w:left w:w="80" w:type="dxa"/>
            </w:tcMar>
          </w:tcPr>
          <w:p>
            <w:r>
              <w:t>Testing &amp; UAT</w:t>
            </w:r>
          </w:p>
        </w:tc>
        <w:tc>
          <w:tcPr>
            <w:tcW w:type="dxa" w:w="3120"/>
            <w:vAlign w:val="top"/>
            <w:tcMar>
              <w:top w:w="80" w:type="dxa"/>
              <w:right w:w="80" w:type="dxa"/>
              <w:bottom w:w="80" w:type="dxa"/>
              <w:left w:w="80" w:type="dxa"/>
            </w:tcMar>
          </w:tcPr>
          <w:p>
            <w:r>
              <w:t>Weeks 17–20</w:t>
            </w:r>
          </w:p>
        </w:tc>
        <w:tc>
          <w:tcPr>
            <w:tcW w:type="dxa" w:w="3120"/>
            <w:vAlign w:val="top"/>
            <w:tcMar>
              <w:top w:w="80" w:type="dxa"/>
              <w:right w:w="80" w:type="dxa"/>
              <w:bottom w:w="80" w:type="dxa"/>
              <w:left w:w="80" w:type="dxa"/>
            </w:tcMar>
          </w:tcPr>
          <w:p>
            <w:r>
              <w:t>SIT, UAT sign-off</w:t>
            </w:r>
          </w:p>
        </w:tc>
      </w:tr>
      <w:tr>
        <w:tc>
          <w:tcPr>
            <w:tcW w:type="dxa" w:w="3120"/>
            <w:vAlign w:val="top"/>
            <w:tcMar>
              <w:top w:w="80" w:type="dxa"/>
              <w:right w:w="80" w:type="dxa"/>
              <w:bottom w:w="80" w:type="dxa"/>
              <w:left w:w="80" w:type="dxa"/>
            </w:tcMar>
          </w:tcPr>
          <w:p>
            <w:r>
              <w:t>Training &amp; Go-Live</w:t>
            </w:r>
          </w:p>
        </w:tc>
        <w:tc>
          <w:tcPr>
            <w:tcW w:type="dxa" w:w="3120"/>
            <w:vAlign w:val="top"/>
            <w:tcMar>
              <w:top w:w="80" w:type="dxa"/>
              <w:right w:w="80" w:type="dxa"/>
              <w:bottom w:w="80" w:type="dxa"/>
              <w:left w:w="80" w:type="dxa"/>
            </w:tcMar>
          </w:tcPr>
          <w:p>
            <w:r>
              <w:t>Weeks 21–22</w:t>
            </w:r>
          </w:p>
        </w:tc>
        <w:tc>
          <w:tcPr>
            <w:tcW w:type="dxa" w:w="3120"/>
            <w:vAlign w:val="top"/>
            <w:tcMar>
              <w:top w:w="80" w:type="dxa"/>
              <w:right w:w="80" w:type="dxa"/>
              <w:bottom w:w="80" w:type="dxa"/>
              <w:left w:w="80" w:type="dxa"/>
            </w:tcMar>
          </w:tcPr>
          <w:p>
            <w:r>
              <w:t>Training completion, production cutover</w:t>
            </w:r>
          </w:p>
        </w:tc>
      </w:tr>
      <w:tr>
        <w:tc>
          <w:tcPr>
            <w:tcW w:type="dxa" w:w="3120"/>
            <w:vAlign w:val="top"/>
            <w:tcMar>
              <w:top w:w="80" w:type="dxa"/>
              <w:right w:w="80" w:type="dxa"/>
              <w:bottom w:w="80" w:type="dxa"/>
              <w:left w:w="80" w:type="dxa"/>
            </w:tcMar>
          </w:tcPr>
          <w:p>
            <w:r>
              <w:t>Hypercare &amp; Transition</w:t>
            </w:r>
          </w:p>
        </w:tc>
        <w:tc>
          <w:tcPr>
            <w:tcW w:type="dxa" w:w="3120"/>
            <w:vAlign w:val="top"/>
            <w:tcMar>
              <w:top w:w="80" w:type="dxa"/>
              <w:right w:w="80" w:type="dxa"/>
              <w:bottom w:w="80" w:type="dxa"/>
              <w:left w:w="80" w:type="dxa"/>
            </w:tcMar>
          </w:tcPr>
          <w:p>
            <w:r>
              <w:t>Post Go-Live</w:t>
            </w:r>
          </w:p>
        </w:tc>
        <w:tc>
          <w:tcPr>
            <w:tcW w:type="dxa" w:w="3120"/>
            <w:vAlign w:val="top"/>
            <w:tcMar>
              <w:top w:w="80" w:type="dxa"/>
              <w:right w:w="80" w:type="dxa"/>
              <w:bottom w:w="80" w:type="dxa"/>
              <w:left w:w="80" w:type="dxa"/>
            </w:tcMar>
          </w:tcPr>
          <w:p>
            <w:r>
              <w:t>Stabilization, support handover</w:t>
            </w:r>
          </w:p>
        </w:tc>
      </w:tr>
    </w:tbl>
    <w:p/>
    <w:p>
      <w:pPr>
        <w:pStyle w:val="Heading2"/>
      </w:pPr>
      <w:r>
        <w:t>6. Proposed Team Structure</w:t>
      </w:r>
    </w:p>
    <w:p/>
    <w:p>
      <w:r>
        <w:t>FusionAIx will deploy a multidisciplinary team comprising BPM architects, business analysts, integration specialists, and change management experts.</w:t>
      </w:r>
    </w:p>
    <w:p/>
    <w:p>
      <w:r>
        <w:t>Key Roles:</w:t>
      </w:r>
    </w:p>
    <w:p>
      <w:pPr>
        <w:pStyle w:val="ListBullet"/>
      </w:pPr>
      <w:r>
        <w:rPr>
          <w:b/>
        </w:rPr>
        <w:t>Project Manager:</w:t>
      </w:r>
      <w:r>
        <w:t xml:space="preserve"> Overall delivery governance and stakeholder communication.</w:t>
      </w:r>
    </w:p>
    <w:p>
      <w:pPr>
        <w:pStyle w:val="ListBullet"/>
      </w:pPr>
      <w:r>
        <w:rPr>
          <w:b/>
        </w:rPr>
        <w:t>Lead BPM Architect:</w:t>
      </w:r>
      <w:r>
        <w:t xml:space="preserve"> Solution design, configuration oversight, and quality assurance.</w:t>
      </w:r>
    </w:p>
    <w:p>
      <w:pPr>
        <w:pStyle w:val="ListBullet"/>
      </w:pPr>
      <w:r>
        <w:rPr>
          <w:b/>
        </w:rPr>
        <w:t>Business Analyst:</w:t>
      </w:r>
      <w:r>
        <w:t xml:space="preserve"> Requirements gathering, process modeling, and user validation.</w:t>
      </w:r>
    </w:p>
    <w:p>
      <w:pPr>
        <w:pStyle w:val="ListBullet"/>
      </w:pPr>
      <w:r>
        <w:rPr>
          <w:b/>
        </w:rPr>
        <w:t>Integration Specialist:</w:t>
      </w:r>
      <w:r>
        <w:t xml:space="preserve"> API and system integration design and implementation.</w:t>
      </w:r>
    </w:p>
    <w:p>
      <w:pPr>
        <w:pStyle w:val="ListBullet"/>
      </w:pPr>
      <w:r>
        <w:rPr>
          <w:b/>
        </w:rPr>
        <w:t>QA Lead:</w:t>
      </w:r>
      <w:r>
        <w:t xml:space="preserve"> Testing strategy, execution, and defect management.</w:t>
      </w:r>
    </w:p>
    <w:p>
      <w:pPr>
        <w:pStyle w:val="ListBullet"/>
      </w:pPr>
      <w:r>
        <w:rPr>
          <w:b/>
        </w:rPr>
        <w:t>Training Lead:</w:t>
      </w:r>
      <w:r>
        <w:t xml:space="preserve"> Development and delivery of training materials.</w:t>
      </w:r>
    </w:p>
    <w:p/>
    <w:p>
      <w:r>
        <w:t>CVs of key personnel will be provided in the final submission package.</w:t>
      </w:r>
    </w:p>
    <w:p/>
    <w:p>
      <w:pPr>
        <w:pStyle w:val="Heading2"/>
      </w:pPr>
      <w:r>
        <w:t>7. Functional and Technical Compliance Matrix</w:t>
      </w:r>
    </w:p>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fill="1a5490" w:val="clear"/>
            <w:vAlign w:val="top"/>
            <w:tcMar>
              <w:top w:w="80" w:type="dxa"/>
              <w:right w:w="80" w:type="dxa"/>
              <w:bottom w:w="80" w:type="dxa"/>
              <w:left w:w="80" w:type="dxa"/>
            </w:tcMar>
          </w:tcPr>
          <w:p>
            <w:r>
              <w:rPr>
                <w:b/>
                <w:color w:val="FFFFFF"/>
              </w:rPr>
              <w:t>ID</w:t>
            </w:r>
          </w:p>
        </w:tc>
        <w:tc>
          <w:tcPr>
            <w:tcW w:type="dxa" w:w="2340"/>
            <w:shd w:fill="1a5490" w:val="clear"/>
            <w:vAlign w:val="top"/>
            <w:tcMar>
              <w:top w:w="80" w:type="dxa"/>
              <w:right w:w="80" w:type="dxa"/>
              <w:bottom w:w="80" w:type="dxa"/>
              <w:left w:w="80" w:type="dxa"/>
            </w:tcMar>
          </w:tcPr>
          <w:p>
            <w:r>
              <w:rPr>
                <w:b/>
                <w:color w:val="FFFFFF"/>
              </w:rPr>
              <w:t>Requirement</w:t>
            </w:r>
          </w:p>
        </w:tc>
        <w:tc>
          <w:tcPr>
            <w:tcW w:type="dxa" w:w="2340"/>
            <w:shd w:fill="1a5490" w:val="clear"/>
            <w:vAlign w:val="top"/>
            <w:tcMar>
              <w:top w:w="80" w:type="dxa"/>
              <w:right w:w="80" w:type="dxa"/>
              <w:bottom w:w="80" w:type="dxa"/>
              <w:left w:w="80" w:type="dxa"/>
            </w:tcMar>
          </w:tcPr>
          <w:p>
            <w:r>
              <w:rPr>
                <w:b/>
                <w:color w:val="FFFFFF"/>
              </w:rPr>
              <w:t>Compliance</w:t>
            </w:r>
          </w:p>
        </w:tc>
        <w:tc>
          <w:tcPr>
            <w:tcW w:type="dxa" w:w="2340"/>
            <w:shd w:fill="1a5490" w:val="clear"/>
            <w:vAlign w:val="top"/>
            <w:tcMar>
              <w:top w:w="80" w:type="dxa"/>
              <w:right w:w="80" w:type="dxa"/>
              <w:bottom w:w="80" w:type="dxa"/>
              <w:left w:w="80" w:type="dxa"/>
            </w:tcMar>
          </w:tcPr>
          <w:p>
            <w:r>
              <w:rPr>
                <w:b/>
                <w:color w:val="FFFFFF"/>
              </w:rPr>
              <w:t>Response / How We Meet It</w:t>
            </w:r>
          </w:p>
        </w:tc>
      </w:tr>
      <w:tr>
        <w:tc>
          <w:tcPr>
            <w:tcW w:type="dxa" w:w="2340"/>
            <w:vAlign w:val="top"/>
            <w:tcMar>
              <w:top w:w="80" w:type="dxa"/>
              <w:right w:w="80" w:type="dxa"/>
              <w:bottom w:w="80" w:type="dxa"/>
              <w:left w:w="80" w:type="dxa"/>
            </w:tcMar>
          </w:tcPr>
          <w:p>
            <w:r>
              <w:t>5.1.a</w:t>
            </w:r>
          </w:p>
        </w:tc>
        <w:tc>
          <w:tcPr>
            <w:tcW w:type="dxa" w:w="2340"/>
            <w:vAlign w:val="top"/>
            <w:tcMar>
              <w:top w:w="80" w:type="dxa"/>
              <w:right w:w="80" w:type="dxa"/>
              <w:bottom w:w="80" w:type="dxa"/>
              <w:left w:w="80" w:type="dxa"/>
            </w:tcMar>
          </w:tcPr>
          <w:p>
            <w:r>
              <w:t>Straight-through + human-centric workflows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Workflow engine supports automated steps (validations, integrations, rules) and human tasks (review/approve) in one end-to-end process.</w:t>
            </w:r>
          </w:p>
        </w:tc>
      </w:tr>
      <w:tr>
        <w:tc>
          <w:tcPr>
            <w:tcW w:type="dxa" w:w="2340"/>
            <w:vAlign w:val="top"/>
            <w:tcMar>
              <w:top w:w="80" w:type="dxa"/>
              <w:right w:w="80" w:type="dxa"/>
              <w:bottom w:w="80" w:type="dxa"/>
              <w:left w:w="80" w:type="dxa"/>
            </w:tcMar>
          </w:tcPr>
          <w:p>
            <w:r>
              <w:t>5.1.b</w:t>
            </w:r>
          </w:p>
        </w:tc>
        <w:tc>
          <w:tcPr>
            <w:tcW w:type="dxa" w:w="2340"/>
            <w:vAlign w:val="top"/>
            <w:tcMar>
              <w:top w:w="80" w:type="dxa"/>
              <w:right w:w="80" w:type="dxa"/>
              <w:bottom w:w="80" w:type="dxa"/>
              <w:left w:w="80" w:type="dxa"/>
            </w:tcMar>
          </w:tcPr>
          <w:p>
            <w:r>
              <w:t>Dynamic case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Supports ad-hoc tasks, attachments, notes, and contextual collaboration.</w:t>
            </w:r>
          </w:p>
        </w:tc>
      </w:tr>
      <w:tr>
        <w:tc>
          <w:tcPr>
            <w:tcW w:type="dxa" w:w="2340"/>
            <w:vAlign w:val="top"/>
            <w:tcMar>
              <w:top w:w="80" w:type="dxa"/>
              <w:right w:w="80" w:type="dxa"/>
              <w:bottom w:w="80" w:type="dxa"/>
              <w:left w:w="80" w:type="dxa"/>
            </w:tcMar>
          </w:tcPr>
          <w:p>
            <w:r>
              <w:t>5.1.c</w:t>
            </w:r>
          </w:p>
        </w:tc>
        <w:tc>
          <w:tcPr>
            <w:tcW w:type="dxa" w:w="2340"/>
            <w:vAlign w:val="top"/>
            <w:tcMar>
              <w:top w:w="80" w:type="dxa"/>
              <w:right w:w="80" w:type="dxa"/>
              <w:bottom w:w="80" w:type="dxa"/>
              <w:left w:w="80" w:type="dxa"/>
            </w:tcMar>
          </w:tcPr>
          <w:p>
            <w:r>
              <w:t>Centralized rules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Rules externalized from code, versioned, tested, and deployed via governance.</w:t>
            </w:r>
          </w:p>
        </w:tc>
      </w:tr>
      <w:tr>
        <w:tc>
          <w:tcPr>
            <w:tcW w:type="dxa" w:w="2340"/>
            <w:vAlign w:val="top"/>
            <w:tcMar>
              <w:top w:w="80" w:type="dxa"/>
              <w:right w:w="80" w:type="dxa"/>
              <w:bottom w:w="80" w:type="dxa"/>
              <w:left w:w="80" w:type="dxa"/>
            </w:tcMar>
          </w:tcPr>
          <w:p>
            <w:r>
              <w:t>5.1.d</w:t>
            </w:r>
          </w:p>
        </w:tc>
        <w:tc>
          <w:tcPr>
            <w:tcW w:type="dxa" w:w="2340"/>
            <w:vAlign w:val="top"/>
            <w:tcMar>
              <w:top w:w="80" w:type="dxa"/>
              <w:right w:w="80" w:type="dxa"/>
              <w:bottom w:w="80" w:type="dxa"/>
              <w:left w:w="80" w:type="dxa"/>
            </w:tcMar>
          </w:tcPr>
          <w:p>
            <w:r>
              <w:t>Web-based responsive UI</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Accessible via standard browsers with guided steps and contextual help.</w:t>
            </w:r>
          </w:p>
        </w:tc>
      </w:tr>
      <w:tr>
        <w:tc>
          <w:tcPr>
            <w:tcW w:type="dxa" w:w="2340"/>
            <w:vAlign w:val="top"/>
            <w:tcMar>
              <w:top w:w="80" w:type="dxa"/>
              <w:right w:w="80" w:type="dxa"/>
              <w:bottom w:w="80" w:type="dxa"/>
              <w:left w:w="80" w:type="dxa"/>
            </w:tcMar>
          </w:tcPr>
          <w:p>
            <w:r>
              <w:t>5.1.e</w:t>
            </w:r>
          </w:p>
        </w:tc>
        <w:tc>
          <w:tcPr>
            <w:tcW w:type="dxa" w:w="2340"/>
            <w:vAlign w:val="top"/>
            <w:tcMar>
              <w:top w:w="80" w:type="dxa"/>
              <w:right w:w="80" w:type="dxa"/>
              <w:bottom w:w="80" w:type="dxa"/>
              <w:left w:w="80" w:type="dxa"/>
            </w:tcMar>
          </w:tcPr>
          <w:p>
            <w:r>
              <w:t>Dashboards and reports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Real-time dashboards for SLA, workload, and bottleneck monitoring.</w:t>
            </w:r>
          </w:p>
        </w:tc>
      </w:tr>
      <w:tr>
        <w:tc>
          <w:tcPr>
            <w:tcW w:type="dxa" w:w="2340"/>
            <w:vAlign w:val="top"/>
            <w:tcMar>
              <w:top w:w="80" w:type="dxa"/>
              <w:right w:w="80" w:type="dxa"/>
              <w:bottom w:w="80" w:type="dxa"/>
              <w:left w:w="80" w:type="dxa"/>
            </w:tcMar>
          </w:tcPr>
          <w:p>
            <w:r>
              <w:t>5.1.f</w:t>
            </w:r>
          </w:p>
        </w:tc>
        <w:tc>
          <w:tcPr>
            <w:tcW w:type="dxa" w:w="2340"/>
            <w:vAlign w:val="top"/>
            <w:tcMar>
              <w:top w:w="80" w:type="dxa"/>
              <w:right w:w="80" w:type="dxa"/>
              <w:bottom w:w="80" w:type="dxa"/>
              <w:left w:w="80" w:type="dxa"/>
            </w:tcMar>
          </w:tcPr>
          <w:p>
            <w:r>
              <w:t>Integration</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REST APIs, event messaging, and standard connectors with secure SSO.</w:t>
            </w:r>
          </w:p>
        </w:tc>
      </w:tr>
      <w:tr>
        <w:tc>
          <w:tcPr>
            <w:tcW w:type="dxa" w:w="2340"/>
            <w:vAlign w:val="top"/>
            <w:tcMar>
              <w:top w:w="80" w:type="dxa"/>
              <w:right w:w="80" w:type="dxa"/>
              <w:bottom w:w="80" w:type="dxa"/>
              <w:left w:w="80" w:type="dxa"/>
            </w:tcMar>
          </w:tcPr>
          <w:p>
            <w:r>
              <w:t>5.1.g</w:t>
            </w:r>
          </w:p>
        </w:tc>
        <w:tc>
          <w:tcPr>
            <w:tcW w:type="dxa" w:w="2340"/>
            <w:vAlign w:val="top"/>
            <w:tcMar>
              <w:top w:w="80" w:type="dxa"/>
              <w:right w:w="80" w:type="dxa"/>
              <w:bottom w:w="80" w:type="dxa"/>
              <w:left w:w="80" w:type="dxa"/>
            </w:tcMar>
          </w:tcPr>
          <w:p>
            <w:r>
              <w:t>Security and audit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Role-based access, least-privilege accounts, TLS, and full audit logging.</w:t>
            </w:r>
          </w:p>
        </w:tc>
      </w:tr>
      <w:tr>
        <w:tc>
          <w:tcPr>
            <w:tcW w:type="dxa" w:w="2340"/>
            <w:vAlign w:val="top"/>
            <w:tcMar>
              <w:top w:w="80" w:type="dxa"/>
              <w:right w:w="80" w:type="dxa"/>
              <w:bottom w:w="80" w:type="dxa"/>
              <w:left w:w="80" w:type="dxa"/>
            </w:tcMar>
          </w:tcPr>
          <w:p>
            <w:r>
              <w:t>5.1.h</w:t>
            </w:r>
          </w:p>
        </w:tc>
        <w:tc>
          <w:tcPr>
            <w:tcW w:type="dxa" w:w="2340"/>
            <w:vAlign w:val="top"/>
            <w:tcMar>
              <w:top w:w="80" w:type="dxa"/>
              <w:right w:w="80" w:type="dxa"/>
              <w:bottom w:w="80" w:type="dxa"/>
              <w:left w:w="80" w:type="dxa"/>
            </w:tcMar>
          </w:tcPr>
          <w:p>
            <w:r>
              <w:t>Training and change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Comprehensive training and user enablement program.</w:t>
            </w:r>
          </w:p>
        </w:tc>
      </w:tr>
      <w:tr>
        <w:tc>
          <w:tcPr>
            <w:tcW w:type="dxa" w:w="2340"/>
            <w:vAlign w:val="top"/>
            <w:tcMar>
              <w:top w:w="80" w:type="dxa"/>
              <w:right w:w="80" w:type="dxa"/>
              <w:bottom w:w="80" w:type="dxa"/>
              <w:left w:w="80" w:type="dxa"/>
            </w:tcMar>
          </w:tcPr>
          <w:p>
            <w:r>
              <w:t>5.1.i</w:t>
            </w:r>
          </w:p>
        </w:tc>
        <w:tc>
          <w:tcPr>
            <w:tcW w:type="dxa" w:w="2340"/>
            <w:vAlign w:val="top"/>
            <w:tcMar>
              <w:top w:w="80" w:type="dxa"/>
              <w:right w:w="80" w:type="dxa"/>
              <w:bottom w:w="80" w:type="dxa"/>
              <w:left w:w="80" w:type="dxa"/>
            </w:tcMar>
          </w:tcPr>
          <w:p>
            <w:r>
              <w:t>Support and maintenance</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Three years of post go-live support with defined SLAs.</w:t>
            </w:r>
          </w:p>
        </w:tc>
      </w:tr>
    </w:tbl>
    <w:p/>
    <w:p>
      <w:pPr>
        <w:pStyle w:val="Heading2"/>
      </w:pPr>
      <w:r>
        <w:t>8. Assumptions, Dependencies, and Risks</w:t>
      </w:r>
    </w:p>
    <w:p/>
    <w:p>
      <w:pPr>
        <w:pStyle w:val="Heading3"/>
      </w:pPr>
      <w:r>
        <w:t>8.1 Assumptions</w:t>
      </w:r>
    </w:p>
    <w:p>
      <w:pPr>
        <w:pStyle w:val="ListBullet"/>
      </w:pPr>
      <w:r>
        <w:t>MTI will provide timely access to stakeholders and existing system documentation.</w:t>
      </w:r>
    </w:p>
    <w:p>
      <w:pPr>
        <w:pStyle w:val="ListBullet"/>
      </w:pPr>
      <w:r>
        <w:t>Required infrastructure and network connectivity will be available prior to configuration.</w:t>
      </w:r>
    </w:p>
    <w:p>
      <w:pPr>
        <w:pStyle w:val="ListBullet"/>
      </w:pPr>
      <w:r>
        <w:t>MTI will designate process owners for each functional area.</w:t>
      </w:r>
    </w:p>
    <w:p/>
    <w:p>
      <w:pPr>
        <w:pStyle w:val="Heading3"/>
      </w:pPr>
      <w:r>
        <w:t>8.2 Dependencies</w:t>
      </w:r>
    </w:p>
    <w:p>
      <w:pPr>
        <w:pStyle w:val="ListBullet"/>
      </w:pPr>
      <w:r>
        <w:t>Integration with MTI’s ERP, CRM, and identity management systems.</w:t>
      </w:r>
    </w:p>
    <w:p>
      <w:pPr>
        <w:pStyle w:val="ListBullet"/>
      </w:pPr>
      <w:r>
        <w:t>Availability of test data and environments.</w:t>
      </w:r>
    </w:p>
    <w:p/>
    <w:p>
      <w:pPr>
        <w:pStyle w:val="Heading3"/>
      </w:pPr>
      <w:r>
        <w:t>8.3 Risks and Mitigation</w:t>
      </w:r>
    </w:p>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Risk</w:t>
            </w:r>
          </w:p>
        </w:tc>
        <w:tc>
          <w:tcPr>
            <w:tcW w:type="dxa" w:w="3120"/>
            <w:shd w:fill="1a5490" w:val="clear"/>
            <w:vAlign w:val="top"/>
            <w:tcMar>
              <w:top w:w="80" w:type="dxa"/>
              <w:right w:w="80" w:type="dxa"/>
              <w:bottom w:w="80" w:type="dxa"/>
              <w:left w:w="80" w:type="dxa"/>
            </w:tcMar>
          </w:tcPr>
          <w:p>
            <w:r>
              <w:rPr>
                <w:b/>
                <w:color w:val="FFFFFF"/>
              </w:rPr>
              <w:t>Impact</w:t>
            </w:r>
          </w:p>
        </w:tc>
        <w:tc>
          <w:tcPr>
            <w:tcW w:type="dxa" w:w="3120"/>
            <w:shd w:fill="1a5490" w:val="clear"/>
            <w:vAlign w:val="top"/>
            <w:tcMar>
              <w:top w:w="80" w:type="dxa"/>
              <w:right w:w="80" w:type="dxa"/>
              <w:bottom w:w="80" w:type="dxa"/>
              <w:left w:w="80" w:type="dxa"/>
            </w:tcMar>
          </w:tcPr>
          <w:p>
            <w:r>
              <w:rPr>
                <w:b/>
                <w:color w:val="FFFFFF"/>
              </w:rPr>
              <w:t>Mitigation</w:t>
            </w:r>
          </w:p>
        </w:tc>
      </w:tr>
      <w:tr>
        <w:tc>
          <w:tcPr>
            <w:tcW w:type="dxa" w:w="3120"/>
            <w:vAlign w:val="top"/>
            <w:tcMar>
              <w:top w:w="80" w:type="dxa"/>
              <w:right w:w="80" w:type="dxa"/>
              <w:bottom w:w="80" w:type="dxa"/>
              <w:left w:w="80" w:type="dxa"/>
            </w:tcMar>
          </w:tcPr>
          <w:p>
            <w:r>
              <w:t>Delayed stakeholder inputs</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Early engagement and weekly governance meetings.</w:t>
            </w:r>
          </w:p>
        </w:tc>
      </w:tr>
      <w:tr>
        <w:tc>
          <w:tcPr>
            <w:tcW w:type="dxa" w:w="3120"/>
            <w:vAlign w:val="top"/>
            <w:tcMar>
              <w:top w:w="80" w:type="dxa"/>
              <w:right w:w="80" w:type="dxa"/>
              <w:bottom w:w="80" w:type="dxa"/>
              <w:left w:w="80" w:type="dxa"/>
            </w:tcMar>
          </w:tcPr>
          <w:p>
            <w:r>
              <w:t>Integration complexity</w:t>
            </w:r>
          </w:p>
        </w:tc>
        <w:tc>
          <w:tcPr>
            <w:tcW w:type="dxa" w:w="3120"/>
            <w:vAlign w:val="top"/>
            <w:tcMar>
              <w:top w:w="80" w:type="dxa"/>
              <w:right w:w="80" w:type="dxa"/>
              <w:bottom w:w="80" w:type="dxa"/>
              <w:left w:w="80" w:type="dxa"/>
            </w:tcMar>
          </w:tcPr>
          <w:p>
            <w:r>
              <w:t>High</w:t>
            </w:r>
          </w:p>
        </w:tc>
        <w:tc>
          <w:tcPr>
            <w:tcW w:type="dxa" w:w="3120"/>
            <w:vAlign w:val="top"/>
            <w:tcMar>
              <w:top w:w="80" w:type="dxa"/>
              <w:right w:w="80" w:type="dxa"/>
              <w:bottom w:w="80" w:type="dxa"/>
              <w:left w:w="80" w:type="dxa"/>
            </w:tcMar>
          </w:tcPr>
          <w:p>
            <w:r>
              <w:t>Use of standard REST APIs and event messaging with schema validation.</w:t>
            </w:r>
          </w:p>
        </w:tc>
      </w:tr>
      <w:tr>
        <w:tc>
          <w:tcPr>
            <w:tcW w:type="dxa" w:w="3120"/>
            <w:vAlign w:val="top"/>
            <w:tcMar>
              <w:top w:w="80" w:type="dxa"/>
              <w:right w:w="80" w:type="dxa"/>
              <w:bottom w:w="80" w:type="dxa"/>
              <w:left w:w="80" w:type="dxa"/>
            </w:tcMar>
          </w:tcPr>
          <w:p>
            <w:r>
              <w:t>Change resistance</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Structured change management and user training.</w:t>
            </w:r>
          </w:p>
        </w:tc>
      </w:tr>
    </w:tbl>
    <w:p/>
    <w:p>
      <w:pPr>
        <w:pStyle w:val="Heading2"/>
      </w:pPr>
      <w:r>
        <w:t>9. Support and Maintenance Model</w:t>
      </w:r>
    </w:p>
    <w:p/>
    <w:p>
      <w:r>
        <w:t>FusionAIx will provide a minimum of three (3) years of post go-live support and maintenance, including patching, upgrades, and incident resolution.</w:t>
      </w:r>
    </w:p>
    <w:p/>
    <w:p>
      <w:pPr>
        <w:pStyle w:val="Heading3"/>
      </w:pPr>
      <w:r>
        <w:t>9.1 Support Tiers</w:t>
      </w:r>
    </w:p>
    <w:p>
      <w:pPr>
        <w:pStyle w:val="ListBullet"/>
      </w:pPr>
      <w:r>
        <w:rPr>
          <w:b/>
        </w:rPr>
        <w:t>L1 (Helpdesk):</w:t>
      </w:r>
      <w:r>
        <w:t xml:space="preserve"> User access, configuration queries, minor fixes.</w:t>
      </w:r>
    </w:p>
    <w:p>
      <w:pPr>
        <w:pStyle w:val="ListBullet"/>
      </w:pPr>
      <w:r>
        <w:rPr>
          <w:b/>
        </w:rPr>
        <w:t>L2 (Application Support):</w:t>
      </w:r>
      <w:r>
        <w:t xml:space="preserve"> Workflow issues, integration troubleshooting, performance tuning.</w:t>
      </w:r>
    </w:p>
    <w:p>
      <w:pPr>
        <w:pStyle w:val="ListBullet"/>
      </w:pPr>
      <w:r>
        <w:rPr>
          <w:b/>
        </w:rPr>
        <w:t>L3 (Engineering/Product):</w:t>
      </w:r>
      <w:r>
        <w:t xml:space="preserve"> Complex defects, upgrades, and enhancements.</w:t>
      </w:r>
    </w:p>
    <w:p/>
    <w:p>
      <w:pPr>
        <w:pStyle w:val="Heading3"/>
      </w:pPr>
      <w:r>
        <w:t>9.2 SLA Targets</w:t>
      </w:r>
    </w:p>
    <w:p>
      <w:pPr>
        <w:pStyle w:val="ListBullet"/>
      </w:pPr>
      <w:r>
        <w:rPr>
          <w:b/>
        </w:rPr>
        <w:t>Severity 1:</w:t>
      </w:r>
      <w:r>
        <w:t xml:space="preserve"> Response within 1 hour, resolution within 4 hours.</w:t>
      </w:r>
    </w:p>
    <w:p>
      <w:pPr>
        <w:pStyle w:val="ListBullet"/>
      </w:pPr>
      <w:r>
        <w:rPr>
          <w:b/>
        </w:rPr>
        <w:t>Severity 2:</w:t>
      </w:r>
      <w:r>
        <w:t xml:space="preserve"> Response within 2 hours, resolution within 8 hours.</w:t>
      </w:r>
    </w:p>
    <w:p>
      <w:pPr>
        <w:pStyle w:val="ListBullet"/>
      </w:pPr>
      <w:r>
        <w:rPr>
          <w:b/>
        </w:rPr>
        <w:t>Severity 3:</w:t>
      </w:r>
      <w:r>
        <w:t xml:space="preserve"> Response within 4 hours, resolution within 24 hours.</w:t>
      </w:r>
    </w:p>
    <w:p/>
    <w:p>
      <w:pPr>
        <w:pStyle w:val="Heading3"/>
      </w:pPr>
      <w:r>
        <w:t>9.3 Governance and Escalation</w:t>
      </w:r>
    </w:p>
    <w:p>
      <w:r>
        <w:t>Incident manager assigned for Sev 1/2 issues.</w:t>
      </w:r>
    </w:p>
    <w:p>
      <w:r>
        <w:t>Escalation ladder: Support Lead → Program Manager → Executive Sponsor.</w:t>
      </w:r>
    </w:p>
    <w:p>
      <w:r>
        <w:t>Monthly service reviews will cover SLA performance, root causes, and continuous improvement actions.</w:t>
      </w:r>
    </w:p>
    <w:p/>
    <w:p>
      <w:pPr>
        <w:pStyle w:val="Heading2"/>
      </w:pPr>
      <w:r>
        <w:t>10. Commercial Proposal</w:t>
      </w:r>
    </w:p>
    <w:p/>
    <w:p>
      <w:r>
        <w:t>The commercial response will be provided in the final submission package and will include a 5-year total cost of ownership (TCO) view, with costs broken down by:</w:t>
      </w:r>
    </w:p>
    <w:p>
      <w:pPr>
        <w:pStyle w:val="ListBullet"/>
      </w:pPr>
      <w:r>
        <w:rPr>
          <w:b/>
        </w:rPr>
        <w:t>Licensing:</w:t>
      </w:r>
      <w:r>
        <w:t xml:space="preserve"> Internal and external user models.</w:t>
      </w:r>
    </w:p>
    <w:p>
      <w:pPr>
        <w:pStyle w:val="ListBullet"/>
      </w:pPr>
      <w:r>
        <w:rPr>
          <w:b/>
        </w:rPr>
        <w:t>Implementation Services:</w:t>
      </w:r>
      <w:r>
        <w:t xml:space="preserve"> Discovery, design, configuration, integration, testing, and training.</w:t>
      </w:r>
    </w:p>
    <w:p>
      <w:pPr>
        <w:pStyle w:val="ListBullet"/>
      </w:pPr>
      <w:r>
        <w:rPr>
          <w:b/>
        </w:rPr>
        <w:t>Support and Maintenance:</w:t>
      </w:r>
      <w:r>
        <w:t xml:space="preserve"> Three years of post go-live support.</w:t>
      </w:r>
    </w:p>
    <w:p>
      <w:pPr>
        <w:pStyle w:val="ListBullet"/>
      </w:pPr>
      <w:r>
        <w:rPr>
          <w:b/>
        </w:rPr>
        <w:t>Optional Components:</w:t>
      </w:r>
      <w:r>
        <w:t xml:space="preserve"> Advanced analytics, additional environments, AI-assisted features.</w:t>
      </w:r>
    </w:p>
    <w:p/>
    <w:p>
      <w:r>
        <w:t>All pricing will be presented in local currency, exclusive of applicable taxes, and aligned with MTI’s commercial terms.</w:t>
      </w:r>
    </w:p>
    <w:p/>
    <w:p>
      <w:r>
        <w:t>FusionAIx appreciates the opportunity to partner with MTI in this transformative initiative. Our proposed BPM platform and delivery approach are designed to empower MTI with agility, transparency, and continuous improvement—delivering measurable outcomes for both internal stakeholders and the citizens it serves.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