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24,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pPr>
        <w:sectPr>
          <w:footerReference w:type="default" r:id="rId9"/>
          <w:pgSz w:w="12240" w:h="15840"/>
          <w:pgMar w:top="1440" w:right="1440" w:bottom="1440" w:left="1440" w:header="720" w:footer="720" w:gutter="0"/>
          <w:cols w:space="720"/>
          <w:docGrid w:linePitch="360"/>
        </w:sectPr>
      </w:pPr>
    </w:p>
    <w:p>
      <w:pPr>
        <w:pStyle w:val="Heading1"/>
      </w:pPr>
      <w:r>
        <w:t>Table of Contents</w:t>
      </w:r>
    </w:p>
    <w:p/>
    <w:p>
      <w:pPr/>
      <w:r>
        <w:rPr>
          <w:rFonts w:ascii="Calibri" w:hAnsi="Calibri"/>
          <w:sz w:val="22"/>
        </w:rPr>
        <w:t>1. Executive Summary</w:t>
      </w:r>
    </w:p>
    <w:p>
      <w:pPr/>
      <w:r>
        <w:rPr>
          <w:rFonts w:ascii="Calibri" w:hAnsi="Calibri"/>
          <w:sz w:val="22"/>
        </w:rPr>
        <w:t>2. Understanding of MTI’s Objectives and Context</w:t>
      </w:r>
    </w:p>
    <w:p>
      <w:pPr/>
      <w:r>
        <w:rPr>
          <w:rFonts w:ascii="Calibri" w:hAnsi="Calibri"/>
          <w:sz w:val="22"/>
        </w:rPr>
        <w:t>3. Proposed Solution Overview (architecture, major components, key differentiators)</w:t>
      </w:r>
    </w:p>
    <w:p>
      <w:pPr/>
      <w:r>
        <w:rPr>
          <w:rFonts w:ascii="Calibri" w:hAnsi="Calibri"/>
          <w:sz w:val="22"/>
        </w:rPr>
        <w:t>4. Implementation Approach and Methodology</w:t>
      </w:r>
    </w:p>
    <w:p>
      <w:pPr/>
      <w:r>
        <w:rPr>
          <w:rFonts w:ascii="Calibri" w:hAnsi="Calibri"/>
          <w:sz w:val="22"/>
        </w:rPr>
        <w:t>5. Project Plan and Timelines, including major milestones</w:t>
      </w:r>
    </w:p>
    <w:p>
      <w:pPr/>
      <w:r>
        <w:rPr>
          <w:rFonts w:ascii="Calibri" w:hAnsi="Calibri"/>
          <w:sz w:val="22"/>
        </w:rPr>
        <w:t>6. Proposed Team Structure, roles, and CVs of key personnel</w:t>
      </w:r>
    </w:p>
    <w:p>
      <w:pPr/>
      <w:r>
        <w:rPr>
          <w:rFonts w:ascii="Calibri" w:hAnsi="Calibri"/>
          <w:sz w:val="22"/>
        </w:rPr>
        <w:t>7. Functional and Technical Compliance Matrix responding to the requirements in Sections 5 and 6</w:t>
      </w:r>
    </w:p>
    <w:p>
      <w:pPr/>
      <w:r>
        <w:rPr>
          <w:rFonts w:ascii="Calibri" w:hAnsi="Calibri"/>
          <w:sz w:val="22"/>
        </w:rPr>
        <w:t>8. Assumptions, Dependencies, and Risks, with proposed mitigation strategies</w:t>
      </w:r>
    </w:p>
    <w:p>
      <w:pPr/>
      <w:r>
        <w:rPr>
          <w:rFonts w:ascii="Calibri" w:hAnsi="Calibri"/>
          <w:sz w:val="22"/>
        </w:rPr>
        <w:t>9. Support and Maintenance Model, including SLAs</w:t>
      </w:r>
    </w:p>
    <w:p>
      <w:pPr/>
      <w:r>
        <w:rPr>
          <w:rFonts w:ascii="Calibri" w:hAnsi="Calibri"/>
          <w:sz w:val="22"/>
        </w:rPr>
        <w:t>10. Commercial Proposal (licensing, implementation services, support, and any optional components)</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MTI BPM Platform Proposal</w:t>
      </w:r>
    </w:p>
    <w:p>
      <w:r>
        <w:t>Submitted by fusionAIx</w:t>
      </w:r>
    </w:p>
    <w:p>
      <w:r>
        <w:t>Date: 21 December 2025</w:t>
      </w:r>
    </w:p>
    <w:p>
      <w:pPr>
        <w:pStyle w:val="Heading2"/>
      </w:pPr>
      <w:r>
        <w:t>1. Executive Summary</w:t>
      </w:r>
    </w:p>
    <w:p>
      <w:r>
        <w:t>FusionAIx is pleased to submit this comprehensive proposal to the Ministry of Trade and Industry (MTI) for the implementation of an enterprise-grade Business Process Management (BPM) platform. Our proposed solution is designed to transform MTI’s core business processes—such as business licensing and renewals, incentive and grant applications, and other regulatory workflows—into a unified, intelligent, and agile digital ecosystem.</w:t>
      </w:r>
    </w:p>
    <w:p>
      <w:r>
        <w:t>At fusionAIx, we believe that the future of digital transformation lies in the seamless blend of low-code platforms and artificial intelligence. Our team brings together decades of implementation experience, domain expertise, and a passion for innovation. We partner with enterprises to reimagine processes, accelerate application delivery, and unlock new levels of efficiency.</w:t>
      </w:r>
    </w:p>
    <w:p>
      <w:r>
        <w:t>Our proposed BPM solution is built on Pega Constellation, a proven, enterprise-grade, low-code platform that supports both straight-through processing (STP) and human-centric workflows. It provides dynamic case management, centralized rules management, and responsive web-based interfaces accessible via standard browsers.</w:t>
      </w:r>
    </w:p>
    <w:p>
      <w:r>
        <w:t>Key highlights of our proposal include:</w:t>
      </w:r>
    </w:p>
    <w:p>
      <w:pPr>
        <w:spacing w:after="120"/>
        <w:ind w:left="360" w:hanging="360"/>
      </w:pPr>
      <w:r>
        <w:rPr>
          <w:rFonts w:ascii="Calibri" w:hAnsi="Calibri"/>
          <w:sz w:val="22"/>
        </w:rPr>
        <w:t xml:space="preserve">• </w:t>
      </w:r>
      <w:r>
        <w:rPr>
          <w:rFonts w:ascii="Calibri" w:hAnsi="Calibri"/>
          <w:b/>
          <w:sz w:val="22"/>
        </w:rPr>
        <w:t>Enterprise-grade BPM platform</w:t>
      </w:r>
      <w:r>
        <w:rPr>
          <w:rFonts w:ascii="Calibri" w:hAnsi="Calibri"/>
          <w:sz w:val="22"/>
        </w:rPr>
        <w:t xml:space="preserve"> licensed for MTI’s internal and external users, supporting both workbasket and worklist models.</w:t>
      </w:r>
    </w:p>
    <w:p>
      <w:pPr>
        <w:spacing w:after="120"/>
        <w:ind w:left="360" w:hanging="360"/>
      </w:pPr>
      <w:r>
        <w:rPr>
          <w:rFonts w:ascii="Calibri" w:hAnsi="Calibri"/>
          <w:sz w:val="22"/>
        </w:rPr>
        <w:t xml:space="preserve">• </w:t>
      </w:r>
      <w:r>
        <w:rPr>
          <w:rFonts w:ascii="Calibri" w:hAnsi="Calibri"/>
          <w:b/>
          <w:sz w:val="22"/>
        </w:rPr>
        <w:t>Low-code, model-driven configuration</w:t>
      </w:r>
      <w:r>
        <w:rPr>
          <w:rFonts w:ascii="Calibri" w:hAnsi="Calibri"/>
          <w:sz w:val="22"/>
        </w:rPr>
        <w:t xml:space="preserve"> to minimize custom development and accelerate time-to-value.</w:t>
      </w:r>
    </w:p>
    <w:p>
      <w:pPr>
        <w:spacing w:after="120"/>
        <w:ind w:left="360" w:hanging="360"/>
      </w:pPr>
      <w:r>
        <w:rPr>
          <w:rFonts w:ascii="Calibri" w:hAnsi="Calibri"/>
          <w:sz w:val="22"/>
        </w:rPr>
        <w:t xml:space="preserve">• </w:t>
      </w:r>
      <w:r>
        <w:rPr>
          <w:rFonts w:ascii="Calibri" w:hAnsi="Calibri"/>
          <w:b/>
          <w:sz w:val="22"/>
        </w:rPr>
        <w:t>Dynamic case management</w:t>
      </w:r>
      <w:r>
        <w:rPr>
          <w:rFonts w:ascii="Calibri" w:hAnsi="Calibri"/>
          <w:sz w:val="22"/>
        </w:rPr>
        <w:t xml:space="preserve"> with ad-hoc tasks, attachments, notes, and contextual collaboration.</w:t>
      </w:r>
    </w:p>
    <w:p>
      <w:pPr>
        <w:spacing w:after="120"/>
        <w:ind w:left="360" w:hanging="360"/>
      </w:pPr>
      <w:r>
        <w:rPr>
          <w:rFonts w:ascii="Calibri" w:hAnsi="Calibri"/>
          <w:sz w:val="22"/>
        </w:rPr>
        <w:t xml:space="preserve">• </w:t>
      </w:r>
      <w:r>
        <w:rPr>
          <w:rFonts w:ascii="Calibri" w:hAnsi="Calibri"/>
          <w:b/>
          <w:sz w:val="22"/>
        </w:rPr>
        <w:t>Centralized business rules management</w:t>
      </w:r>
      <w:r>
        <w:rPr>
          <w:rFonts w:ascii="Calibri" w:hAnsi="Calibri"/>
          <w:sz w:val="22"/>
        </w:rPr>
        <w:t xml:space="preserve"> with versioning, testing, and controlled deployment.</w:t>
      </w:r>
    </w:p>
    <w:p>
      <w:pPr>
        <w:spacing w:after="120"/>
        <w:ind w:left="360" w:hanging="360"/>
      </w:pPr>
      <w:r>
        <w:rPr>
          <w:rFonts w:ascii="Calibri" w:hAnsi="Calibri"/>
          <w:sz w:val="22"/>
        </w:rPr>
        <w:t xml:space="preserve">• </w:t>
      </w:r>
      <w:r>
        <w:rPr>
          <w:rFonts w:ascii="Calibri" w:hAnsi="Calibri"/>
          <w:b/>
          <w:sz w:val="22"/>
        </w:rPr>
        <w:t>Comprehensive dashboards and analytics</w:t>
      </w:r>
      <w:r>
        <w:rPr>
          <w:rFonts w:ascii="Calibri" w:hAnsi="Calibri"/>
          <w:sz w:val="22"/>
        </w:rPr>
        <w:t xml:space="preserve"> for SLA monitoring, workload distribution, and performance tracking.</w:t>
      </w:r>
    </w:p>
    <w:p>
      <w:pPr>
        <w:spacing w:after="120"/>
        <w:ind w:left="360" w:hanging="360"/>
      </w:pPr>
      <w:r>
        <w:rPr>
          <w:rFonts w:ascii="Calibri" w:hAnsi="Calibri"/>
          <w:sz w:val="22"/>
        </w:rPr>
        <w:t xml:space="preserve">• </w:t>
      </w:r>
      <w:r>
        <w:rPr>
          <w:rFonts w:ascii="Calibri" w:hAnsi="Calibri"/>
          <w:b/>
          <w:sz w:val="22"/>
        </w:rPr>
        <w:t>Secure integration</w:t>
      </w:r>
      <w:r>
        <w:rPr>
          <w:rFonts w:ascii="Calibri" w:hAnsi="Calibri"/>
          <w:sz w:val="22"/>
        </w:rPr>
        <w:t xml:space="preserve"> with MTI’s identity management and single sign-on (SSO) systems.</w:t>
      </w:r>
    </w:p>
    <w:p>
      <w:pPr>
        <w:spacing w:after="120"/>
        <w:ind w:left="360" w:hanging="360"/>
      </w:pPr>
      <w:r>
        <w:rPr>
          <w:rFonts w:ascii="Calibri" w:hAnsi="Calibri"/>
          <w:sz w:val="22"/>
        </w:rPr>
        <w:t xml:space="preserve">• </w:t>
      </w:r>
      <w:r>
        <w:rPr>
          <w:rFonts w:ascii="Calibri" w:hAnsi="Calibri"/>
          <w:b/>
          <w:sz w:val="22"/>
        </w:rPr>
        <w:t>Role-based access control (RBAC)</w:t>
      </w:r>
      <w:r>
        <w:rPr>
          <w:rFonts w:ascii="Calibri" w:hAnsi="Calibri"/>
          <w:sz w:val="22"/>
        </w:rPr>
        <w:t xml:space="preserve"> and full audit logging for compliance with national data protection and cybersecurity standards.</w:t>
      </w:r>
    </w:p>
    <w:p>
      <w:pPr>
        <w:spacing w:after="120"/>
        <w:ind w:left="360" w:hanging="360"/>
      </w:pPr>
      <w:r>
        <w:rPr>
          <w:rFonts w:ascii="Calibri" w:hAnsi="Calibri"/>
          <w:sz w:val="22"/>
        </w:rPr>
        <w:t xml:space="preserve">• </w:t>
      </w:r>
      <w:r>
        <w:rPr>
          <w:rFonts w:ascii="Calibri" w:hAnsi="Calibri"/>
          <w:b/>
          <w:sz w:val="22"/>
        </w:rPr>
        <w:t>Three years of post go-live support and maintenance</w:t>
      </w:r>
      <w:r>
        <w:rPr>
          <w:rFonts w:ascii="Calibri" w:hAnsi="Calibri"/>
          <w:sz w:val="22"/>
        </w:rPr>
        <w:t>, including patching, upgrades, and incident resolution under defined SLAs.</w:t>
      </w:r>
    </w:p>
    <w:p>
      <w:r>
        <w:t>FusionAIx is a Great Place To Work® Certified Company (2025–26) and a niche Pega partner with over 20 successful Pega Constellation implementations globally. Our proprietary accelerators—fxAgentSDK, fxAIStudio, fxMockUpToView, and fxSmartDCO—enable rapid development, intelligent automation, and streamlined project delivery.</w:t>
      </w:r>
    </w:p>
    <w:p>
      <w:r>
        <w:t>We are confident that our solution will empower MTI to achieve its digital transformation objectives, enhance citizen and business engagement, and deliver measurable improvements in operational efficiency, transparency, and service quality.</w:t>
      </w:r>
    </w:p>
    <w:p>
      <w:pPr>
        <w:pStyle w:val="Heading2"/>
      </w:pPr>
      <w:r>
        <w:t>2. Understanding of MTI’s Objectives and Context</w:t>
      </w:r>
    </w:p>
    <w:p>
      <w:r>
        <w:t>MTI’s strategic objective is to modernize and digitize its core business processes to improve service delivery, transparency, and efficiency. The Ministry’s current environment involves multiple manual and semi-automated workflows across departments, leading to process fragmentation, inconsistent service levels, and limited visibility into performance metrics.</w:t>
      </w:r>
    </w:p>
    <w:p>
      <w:r>
        <w:t>FusionAIx understands that MTI seeks a unified BPM platform that can:</w:t>
      </w:r>
    </w:p>
    <w:p>
      <w:pPr>
        <w:spacing w:after="120"/>
        <w:ind w:left="360" w:hanging="360"/>
      </w:pPr>
      <w:r>
        <w:rPr>
          <w:rFonts w:ascii="Calibri" w:hAnsi="Calibri"/>
          <w:sz w:val="22"/>
        </w:rPr>
        <w:t xml:space="preserve">• </w:t>
      </w:r>
      <w:r>
        <w:rPr>
          <w:rFonts w:ascii="Calibri" w:hAnsi="Calibri"/>
          <w:sz w:val="22"/>
        </w:rPr>
        <w:t>Automate and orchestrate end-to-end business processes across departments.</w:t>
      </w:r>
    </w:p>
    <w:p>
      <w:pPr>
        <w:spacing w:after="120"/>
        <w:ind w:left="360" w:hanging="360"/>
      </w:pPr>
      <w:r>
        <w:rPr>
          <w:rFonts w:ascii="Calibri" w:hAnsi="Calibri"/>
          <w:sz w:val="22"/>
        </w:rPr>
        <w:t xml:space="preserve">• </w:t>
      </w:r>
      <w:r>
        <w:rPr>
          <w:rFonts w:ascii="Calibri" w:hAnsi="Calibri"/>
          <w:sz w:val="22"/>
        </w:rPr>
        <w:t xml:space="preserve">Support both </w:t>
      </w:r>
      <w:r>
        <w:rPr>
          <w:rFonts w:ascii="Calibri" w:hAnsi="Calibri"/>
          <w:b/>
          <w:sz w:val="22"/>
        </w:rPr>
        <w:t>citizen-facing</w:t>
      </w:r>
      <w:r>
        <w:rPr>
          <w:rFonts w:ascii="Calibri" w:hAnsi="Calibri"/>
          <w:sz w:val="22"/>
        </w:rPr>
        <w:t xml:space="preserve"> and </w:t>
      </w:r>
      <w:r>
        <w:rPr>
          <w:rFonts w:ascii="Calibri" w:hAnsi="Calibri"/>
          <w:b/>
          <w:sz w:val="22"/>
        </w:rPr>
        <w:t>internal administrative</w:t>
      </w:r>
      <w:r>
        <w:rPr>
          <w:rFonts w:ascii="Calibri" w:hAnsi="Calibri"/>
          <w:sz w:val="22"/>
        </w:rPr>
        <w:t xml:space="preserve"> workflows.</w:t>
      </w:r>
    </w:p>
    <w:p>
      <w:pPr>
        <w:spacing w:after="120"/>
        <w:ind w:left="360" w:hanging="360"/>
      </w:pPr>
      <w:r>
        <w:rPr>
          <w:rFonts w:ascii="Calibri" w:hAnsi="Calibri"/>
          <w:sz w:val="22"/>
        </w:rPr>
        <w:t xml:space="preserve">• </w:t>
      </w:r>
      <w:r>
        <w:rPr>
          <w:rFonts w:ascii="Calibri" w:hAnsi="Calibri"/>
          <w:sz w:val="22"/>
        </w:rPr>
        <w:t xml:space="preserve">Enable </w:t>
      </w:r>
      <w:r>
        <w:rPr>
          <w:rFonts w:ascii="Calibri" w:hAnsi="Calibri"/>
          <w:b/>
          <w:sz w:val="22"/>
        </w:rPr>
        <w:t>dynamic case management</w:t>
      </w:r>
      <w:r>
        <w:rPr>
          <w:rFonts w:ascii="Calibri" w:hAnsi="Calibri"/>
          <w:sz w:val="22"/>
        </w:rPr>
        <w:t xml:space="preserve"> for complex, multi-step processes such as business licensing, renewals, and grant applications.</w:t>
      </w:r>
    </w:p>
    <w:p>
      <w:pPr>
        <w:spacing w:after="120"/>
        <w:ind w:left="360" w:hanging="360"/>
      </w:pPr>
      <w:r>
        <w:rPr>
          <w:rFonts w:ascii="Calibri" w:hAnsi="Calibri"/>
          <w:sz w:val="22"/>
        </w:rPr>
        <w:t xml:space="preserve">• </w:t>
      </w:r>
      <w:r>
        <w:rPr>
          <w:rFonts w:ascii="Calibri" w:hAnsi="Calibri"/>
          <w:sz w:val="22"/>
        </w:rPr>
        <w:t xml:space="preserve">Provide </w:t>
      </w:r>
      <w:r>
        <w:rPr>
          <w:rFonts w:ascii="Calibri" w:hAnsi="Calibri"/>
          <w:b/>
          <w:sz w:val="22"/>
        </w:rPr>
        <w:t>real-time dashboards and analytics</w:t>
      </w:r>
      <w:r>
        <w:rPr>
          <w:rFonts w:ascii="Calibri" w:hAnsi="Calibri"/>
          <w:sz w:val="22"/>
        </w:rPr>
        <w:t xml:space="preserve"> for monitoring case volumes, SLA performance, and bottlenecks.</w:t>
      </w:r>
    </w:p>
    <w:p>
      <w:pPr>
        <w:spacing w:after="120"/>
        <w:ind w:left="360" w:hanging="360"/>
      </w:pPr>
      <w:r>
        <w:rPr>
          <w:rFonts w:ascii="Calibri" w:hAnsi="Calibri"/>
          <w:sz w:val="22"/>
        </w:rPr>
        <w:t xml:space="preserve">• </w:t>
      </w:r>
      <w:r>
        <w:rPr>
          <w:rFonts w:ascii="Calibri" w:hAnsi="Calibri"/>
          <w:sz w:val="22"/>
        </w:rPr>
        <w:t xml:space="preserve">Empower business users to </w:t>
      </w:r>
      <w:r>
        <w:rPr>
          <w:rFonts w:ascii="Calibri" w:hAnsi="Calibri"/>
          <w:b/>
          <w:sz w:val="22"/>
        </w:rPr>
        <w:t>configure and modify processes</w:t>
      </w:r>
      <w:r>
        <w:rPr>
          <w:rFonts w:ascii="Calibri" w:hAnsi="Calibri"/>
          <w:sz w:val="22"/>
        </w:rPr>
        <w:t xml:space="preserve"> without deep technical expertise.</w:t>
      </w:r>
    </w:p>
    <w:p>
      <w:pPr>
        <w:spacing w:after="120"/>
        <w:ind w:left="360" w:hanging="360"/>
      </w:pPr>
      <w:r>
        <w:rPr>
          <w:rFonts w:ascii="Calibri" w:hAnsi="Calibri"/>
          <w:sz w:val="22"/>
        </w:rPr>
        <w:t xml:space="preserve">• </w:t>
      </w:r>
      <w:r>
        <w:rPr>
          <w:rFonts w:ascii="Calibri" w:hAnsi="Calibri"/>
          <w:sz w:val="22"/>
        </w:rPr>
        <w:t xml:space="preserve">Ensure </w:t>
      </w:r>
      <w:r>
        <w:rPr>
          <w:rFonts w:ascii="Calibri" w:hAnsi="Calibri"/>
          <w:b/>
          <w:sz w:val="22"/>
        </w:rPr>
        <w:t>compliance with national data protection, audit, and cybersecurity standards</w:t>
      </w:r>
      <w:r>
        <w:rPr>
          <w:rFonts w:ascii="Calibri" w:hAnsi="Calibri"/>
          <w:sz w:val="22"/>
        </w:rPr>
        <w:t>.</w:t>
      </w:r>
    </w:p>
    <w:p>
      <w:r>
        <w:t>We recognize that MTI’s initial implementation will focus on:</w:t>
      </w:r>
    </w:p>
    <w:p>
      <w:pPr>
        <w:pStyle w:val="ListNumber"/>
      </w:pPr>
      <w:r>
        <w:rPr>
          <w:b/>
        </w:rPr>
        <w:t>Business Licensing and Renewals</w:t>
      </w:r>
      <w:r>
        <w:t xml:space="preserve"> – Streamlining the end-to-end process from application submission to approval, including document verification, fee payment, and license issuance.</w:t>
      </w:r>
    </w:p>
    <w:p>
      <w:pPr>
        <w:pStyle w:val="ListNumber"/>
      </w:pPr>
      <w:r>
        <w:rPr>
          <w:b/>
        </w:rPr>
        <w:t>Incentive and Grants Application Management</w:t>
      </w:r>
      <w:r>
        <w:t xml:space="preserve"> – Automating the intake, evaluation, and disbursement processes for various incentive and grant programs.</w:t>
      </w:r>
    </w:p>
    <w:p>
      <w:pPr>
        <w:pStyle w:val="ListNumber"/>
      </w:pPr>
      <w:r>
        <w:rPr>
          <w:b/>
        </w:rPr>
        <w:t>Other Administrative and Regulatory Processes</w:t>
      </w:r>
      <w:r>
        <w:t xml:space="preserve"> – Enabling future expansion to additional workflows such as trade facilitation, internal approvals, and compliance monitoring.</w:t>
      </w:r>
    </w:p>
    <w:p>
      <w:r>
        <w:t>FusionAIx’s approach aligns with MTI’s vision of a citizen-centric, data-driven, and agile government. Our BPM solution will provide:</w:t>
      </w:r>
    </w:p>
    <w:p>
      <w:pPr>
        <w:spacing w:after="120"/>
        <w:ind w:left="360" w:hanging="360"/>
      </w:pPr>
      <w:r>
        <w:rPr>
          <w:rFonts w:ascii="Calibri" w:hAnsi="Calibri"/>
          <w:sz w:val="22"/>
        </w:rPr>
        <w:t xml:space="preserve">• </w:t>
      </w:r>
      <w:r>
        <w:rPr>
          <w:rFonts w:ascii="Calibri" w:hAnsi="Calibri"/>
          <w:b/>
          <w:sz w:val="22"/>
        </w:rPr>
        <w:t>Unified process orchestration</w:t>
      </w:r>
      <w:r>
        <w:rPr>
          <w:rFonts w:ascii="Calibri" w:hAnsi="Calibri"/>
          <w:sz w:val="22"/>
        </w:rPr>
        <w:t xml:space="preserve"> across departments and systems.</w:t>
      </w:r>
    </w:p>
    <w:p>
      <w:pPr>
        <w:spacing w:after="120"/>
        <w:ind w:left="360" w:hanging="360"/>
      </w:pPr>
      <w:r>
        <w:rPr>
          <w:rFonts w:ascii="Calibri" w:hAnsi="Calibri"/>
          <w:sz w:val="22"/>
        </w:rPr>
        <w:t xml:space="preserve">• </w:t>
      </w:r>
      <w:r>
        <w:rPr>
          <w:rFonts w:ascii="Calibri" w:hAnsi="Calibri"/>
          <w:b/>
          <w:sz w:val="22"/>
        </w:rPr>
        <w:t>Low-code configurability</w:t>
      </w:r>
      <w:r>
        <w:rPr>
          <w:rFonts w:ascii="Calibri" w:hAnsi="Calibri"/>
          <w:sz w:val="22"/>
        </w:rPr>
        <w:t xml:space="preserve"> to adapt quickly to policy or regulatory changes.</w:t>
      </w:r>
    </w:p>
    <w:p>
      <w:pPr>
        <w:spacing w:after="120"/>
        <w:ind w:left="360" w:hanging="360"/>
      </w:pPr>
      <w:r>
        <w:rPr>
          <w:rFonts w:ascii="Calibri" w:hAnsi="Calibri"/>
          <w:sz w:val="22"/>
        </w:rPr>
        <w:t xml:space="preserve">• </w:t>
      </w:r>
      <w:r>
        <w:rPr>
          <w:rFonts w:ascii="Calibri" w:hAnsi="Calibri"/>
          <w:b/>
          <w:sz w:val="22"/>
        </w:rPr>
        <w:t>AI-assisted decisioning</w:t>
      </w:r>
      <w:r>
        <w:rPr>
          <w:rFonts w:ascii="Calibri" w:hAnsi="Calibri"/>
          <w:sz w:val="22"/>
        </w:rPr>
        <w:t xml:space="preserve"> to enhance accuracy and reduce manual workload.</w:t>
      </w:r>
    </w:p>
    <w:p>
      <w:pPr>
        <w:spacing w:after="120"/>
        <w:ind w:left="360" w:hanging="360"/>
      </w:pPr>
      <w:r>
        <w:rPr>
          <w:rFonts w:ascii="Calibri" w:hAnsi="Calibri"/>
          <w:sz w:val="22"/>
        </w:rPr>
        <w:t xml:space="preserve">• </w:t>
      </w:r>
      <w:r>
        <w:rPr>
          <w:rFonts w:ascii="Calibri" w:hAnsi="Calibri"/>
          <w:b/>
          <w:sz w:val="22"/>
        </w:rPr>
        <w:t>Comprehensive audit trails</w:t>
      </w:r>
      <w:r>
        <w:rPr>
          <w:rFonts w:ascii="Calibri" w:hAnsi="Calibri"/>
          <w:sz w:val="22"/>
        </w:rPr>
        <w:t xml:space="preserve"> to ensure accountability and transparency.</w:t>
      </w:r>
    </w:p>
    <w:p>
      <w:r>
        <w:t>We also understand MTI’s emphasis on capacity building and change management. Our proposal includes structured training programs for system administrators, business power users, and end users, along with detailed user guides and training materials.</w:t>
      </w:r>
    </w:p>
    <w:p>
      <w:pPr>
        <w:pStyle w:val="Heading2"/>
      </w:pPr>
      <w:r>
        <w:t>3. Proposed Solution Overview</w:t>
      </w:r>
    </w:p>
    <w:p>
      <w:pPr>
        <w:pStyle w:val="Heading3"/>
      </w:pPr>
      <w:r>
        <w:t>3.1 Solution Architecture</w:t>
      </w:r>
    </w:p>
    <w:p>
      <w:r>
        <w:t>The proposed solution is based on Pega Constellation, an enterprise-grade BPM and case management platform that supports both straight-through and human-centric workflows. It provides a unified environment for process modeling, rules management, integration, and analytics.</w:t>
      </w:r>
    </w:p>
    <w:p>
      <w:r>
        <w:drawing>
          <wp:inline xmlns:a="http://schemas.openxmlformats.org/drawingml/2006/main" xmlns:pic="http://schemas.openxmlformats.org/drawingml/2006/picture">
            <wp:extent cx="4572000" cy="2540000"/>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2540000"/>
                    </a:xfrm>
                    <a:prstGeom prst="rect"/>
                  </pic:spPr>
                </pic:pic>
              </a:graphicData>
            </a:graphic>
          </wp:inline>
        </w:drawing>
      </w:r>
    </w:p>
    <w:p>
      <w:r>
        <w:t>Caption: High-level architecture of the proposed BPM solution for MTI.</w:t>
      </w:r>
    </w:p>
    <w:p>
      <w:pPr>
        <w:pStyle w:val="Heading3"/>
      </w:pPr>
      <w:r>
        <w:t>3.2 Major Components</w:t>
      </w:r>
    </w:p>
    <w:p>
      <w:pPr>
        <w:pStyle w:val="ListNumber"/>
      </w:pPr>
      <w:r>
        <w:rPr>
          <w:b/>
        </w:rPr>
        <w:t>Case Management Engine</w:t>
      </w:r>
      <w:r>
        <w:t xml:space="preserve"> – Supports dynamic case handling, ad-hoc tasks, attachments, and notes. Enables both structured and unstructured workflows.</w:t>
      </w:r>
    </w:p>
    <w:p>
      <w:pPr>
        <w:pStyle w:val="ListNumber"/>
      </w:pPr>
      <w:r>
        <w:rPr>
          <w:b/>
        </w:rPr>
        <w:t>Business Rules Engine</w:t>
      </w:r>
      <w:r>
        <w:t xml:space="preserve"> – Centralized rules management with versioning, testing, and controlled deployment. Allows business users to modify rules without code changes.</w:t>
      </w:r>
    </w:p>
    <w:p>
      <w:pPr>
        <w:pStyle w:val="ListNumber"/>
      </w:pPr>
      <w:r>
        <w:rPr>
          <w:b/>
        </w:rPr>
        <w:t>Integration Layer</w:t>
      </w:r>
      <w:r>
        <w:t xml:space="preserve"> – Provides standard integration mechanisms (REST APIs, message queues, event-based integration) for secure connectivity with MTI’s existing systems.</w:t>
      </w:r>
    </w:p>
    <w:p>
      <w:pPr>
        <w:pStyle w:val="ListNumber"/>
      </w:pPr>
      <w:r>
        <w:rPr>
          <w:b/>
        </w:rPr>
        <w:t>User Interface Layer</w:t>
      </w:r>
      <w:r>
        <w:t xml:space="preserve"> – Web-based, responsive interfaces accessible via standard browsers. Includes guided steps, contextual help, and self-service portals.</w:t>
      </w:r>
    </w:p>
    <w:p>
      <w:pPr>
        <w:pStyle w:val="ListNumber"/>
      </w:pPr>
      <w:r>
        <w:rPr>
          <w:b/>
        </w:rPr>
        <w:t>Analytics and Reporting</w:t>
      </w:r>
      <w:r>
        <w:t xml:space="preserve"> – Real-time dashboards for SLA monitoring, workload distribution, and performance tracking. Business users can create ad-hoc reports.</w:t>
      </w:r>
    </w:p>
    <w:p>
      <w:pPr>
        <w:pStyle w:val="ListNumber"/>
      </w:pPr>
      <w:r>
        <w:rPr>
          <w:b/>
        </w:rPr>
        <w:t>Security and Compliance</w:t>
      </w:r>
      <w:r>
        <w:t xml:space="preserve"> – Role-based access control, fine-grained permissions, and full audit logging. Compliant with national data protection and cybersecurity standards.</w:t>
      </w:r>
    </w:p>
    <w:p>
      <w:pPr>
        <w:pStyle w:val="Heading3"/>
      </w:pPr>
      <w:r>
        <w:t>3.3 Key Differentiators</w:t>
      </w:r>
    </w:p>
    <w:p>
      <w:pPr>
        <w:spacing w:after="120"/>
        <w:ind w:left="360" w:hanging="360"/>
      </w:pPr>
      <w:r>
        <w:rPr>
          <w:rFonts w:ascii="Calibri" w:hAnsi="Calibri"/>
          <w:sz w:val="22"/>
        </w:rPr>
        <w:t xml:space="preserve">• </w:t>
      </w:r>
      <w:r>
        <w:rPr>
          <w:rFonts w:ascii="Calibri" w:hAnsi="Calibri"/>
          <w:b/>
          <w:sz w:val="22"/>
        </w:rPr>
        <w:t>Low-Code / Model-Driven Development:</w:t>
      </w:r>
      <w:r>
        <w:rPr>
          <w:rFonts w:ascii="Calibri" w:hAnsi="Calibri"/>
          <w:sz w:val="22"/>
        </w:rPr>
        <w:t xml:space="preserve"> Enables rapid configuration and deployment of new processes.</w:t>
      </w:r>
    </w:p>
    <w:p>
      <w:pPr>
        <w:spacing w:after="120"/>
        <w:ind w:left="360" w:hanging="360"/>
      </w:pPr>
      <w:r>
        <w:rPr>
          <w:rFonts w:ascii="Calibri" w:hAnsi="Calibri"/>
          <w:sz w:val="22"/>
        </w:rPr>
        <w:t xml:space="preserve">• </w:t>
      </w:r>
      <w:r>
        <w:rPr>
          <w:rFonts w:ascii="Calibri" w:hAnsi="Calibri"/>
          <w:b/>
          <w:sz w:val="22"/>
        </w:rPr>
        <w:t>AI-Enhanced Automation:</w:t>
      </w:r>
      <w:r>
        <w:rPr>
          <w:rFonts w:ascii="Calibri" w:hAnsi="Calibri"/>
          <w:sz w:val="22"/>
        </w:rPr>
        <w:t xml:space="preserve"> Integration with fusionAIx’s </w:t>
      </w:r>
      <w:r>
        <w:rPr>
          <w:rFonts w:ascii="Calibri" w:hAnsi="Calibri"/>
          <w:b/>
          <w:sz w:val="22"/>
        </w:rPr>
        <w:t>fxAIStudio</w:t>
      </w:r>
      <w:r>
        <w:rPr>
          <w:rFonts w:ascii="Calibri" w:hAnsi="Calibri"/>
          <w:sz w:val="22"/>
        </w:rPr>
        <w:t xml:space="preserve"> for intelligent decisioning and predictive analytics.</w:t>
      </w:r>
    </w:p>
    <w:p>
      <w:pPr>
        <w:spacing w:after="120"/>
        <w:ind w:left="360" w:hanging="360"/>
      </w:pPr>
      <w:r>
        <w:rPr>
          <w:rFonts w:ascii="Calibri" w:hAnsi="Calibri"/>
          <w:sz w:val="22"/>
        </w:rPr>
        <w:t xml:space="preserve">• </w:t>
      </w:r>
      <w:r>
        <w:rPr>
          <w:rFonts w:ascii="Calibri" w:hAnsi="Calibri"/>
          <w:b/>
          <w:sz w:val="22"/>
        </w:rPr>
        <w:t>Accelerated Delivery:</w:t>
      </w:r>
      <w:r>
        <w:rPr>
          <w:rFonts w:ascii="Calibri" w:hAnsi="Calibri"/>
          <w:sz w:val="22"/>
        </w:rPr>
        <w:t xml:space="preserve"> Use of </w:t>
      </w:r>
      <w:r>
        <w:rPr>
          <w:rFonts w:ascii="Calibri" w:hAnsi="Calibri"/>
          <w:b/>
          <w:sz w:val="22"/>
        </w:rPr>
        <w:t>fxSmartDCO</w:t>
      </w:r>
      <w:r>
        <w:rPr>
          <w:rFonts w:ascii="Calibri" w:hAnsi="Calibri"/>
          <w:sz w:val="22"/>
        </w:rPr>
        <w:t xml:space="preserve"> for collaborative design and </w:t>
      </w:r>
      <w:r>
        <w:rPr>
          <w:rFonts w:ascii="Calibri" w:hAnsi="Calibri"/>
          <w:b/>
          <w:sz w:val="22"/>
        </w:rPr>
        <w:t>fxMockUpToView</w:t>
      </w:r>
      <w:r>
        <w:rPr>
          <w:rFonts w:ascii="Calibri" w:hAnsi="Calibri"/>
          <w:sz w:val="22"/>
        </w:rPr>
        <w:t xml:space="preserve"> for rapid UI prototyping.</w:t>
      </w:r>
    </w:p>
    <w:p>
      <w:pPr>
        <w:spacing w:after="120"/>
        <w:ind w:left="360" w:hanging="360"/>
      </w:pPr>
      <w:r>
        <w:rPr>
          <w:rFonts w:ascii="Calibri" w:hAnsi="Calibri"/>
          <w:sz w:val="22"/>
        </w:rPr>
        <w:t xml:space="preserve">• </w:t>
      </w:r>
      <w:r>
        <w:rPr>
          <w:rFonts w:ascii="Calibri" w:hAnsi="Calibri"/>
          <w:b/>
          <w:sz w:val="22"/>
        </w:rPr>
        <w:t>Proven Platform:</w:t>
      </w:r>
      <w:r>
        <w:rPr>
          <w:rFonts w:ascii="Calibri" w:hAnsi="Calibri"/>
          <w:sz w:val="22"/>
        </w:rPr>
        <w:t xml:space="preserve"> Pega Constellation is used by leading government and enterprise clients worldwide.</w:t>
      </w:r>
    </w:p>
    <w:p>
      <w:pPr>
        <w:spacing w:after="120"/>
        <w:ind w:left="360" w:hanging="360"/>
      </w:pPr>
      <w:r>
        <w:rPr>
          <w:rFonts w:ascii="Calibri" w:hAnsi="Calibri"/>
          <w:sz w:val="22"/>
        </w:rPr>
        <w:t xml:space="preserve">• </w:t>
      </w:r>
      <w:r>
        <w:rPr>
          <w:rFonts w:ascii="Calibri" w:hAnsi="Calibri"/>
          <w:b/>
          <w:sz w:val="22"/>
        </w:rPr>
        <w:t>Scalability and Flexibility:</w:t>
      </w:r>
      <w:r>
        <w:rPr>
          <w:rFonts w:ascii="Calibri" w:hAnsi="Calibri"/>
          <w:sz w:val="22"/>
        </w:rPr>
        <w:t xml:space="preserve"> Supports on-premises, cloud, or hybrid deployment models.</w:t>
      </w:r>
    </w:p>
    <w:p>
      <w:pPr>
        <w:pStyle w:val="Heading2"/>
      </w:pPr>
      <w:r>
        <w:t>4. Implementation Approach and Methodology</w:t>
      </w:r>
    </w:p>
    <w:p>
      <w:r>
        <w:t>FusionAIx follows a phased, agile implementation methodology that ensures rapid delivery, stakeholder alignment, and continuous improvement.</w:t>
      </w:r>
    </w:p>
    <w:p>
      <w:pPr>
        <w:pStyle w:val="Heading3"/>
      </w:pPr>
      <w:r>
        <w:t>4.1 Phase 1: Discovery and Requirements Refinement</w:t>
      </w:r>
    </w:p>
    <w:p>
      <w:pPr>
        <w:spacing w:after="120"/>
        <w:ind w:left="360" w:hanging="360"/>
      </w:pPr>
      <w:r>
        <w:rPr>
          <w:rFonts w:ascii="Calibri" w:hAnsi="Calibri"/>
          <w:sz w:val="22"/>
        </w:rPr>
        <w:t xml:space="preserve">• </w:t>
      </w:r>
      <w:r>
        <w:rPr>
          <w:rFonts w:ascii="Calibri" w:hAnsi="Calibri"/>
          <w:sz w:val="22"/>
        </w:rPr>
        <w:t>Conduct joint workshops with MTI stakeholders to refine business requirements.</w:t>
      </w:r>
    </w:p>
    <w:p>
      <w:pPr>
        <w:spacing w:after="120"/>
        <w:ind w:left="360" w:hanging="360"/>
      </w:pPr>
      <w:r>
        <w:rPr>
          <w:rFonts w:ascii="Calibri" w:hAnsi="Calibri"/>
          <w:sz w:val="22"/>
        </w:rPr>
        <w:t xml:space="preserve">• </w:t>
      </w:r>
      <w:r>
        <w:rPr>
          <w:rFonts w:ascii="Calibri" w:hAnsi="Calibri"/>
          <w:sz w:val="22"/>
        </w:rPr>
        <w:t xml:space="preserve">Use </w:t>
      </w:r>
      <w:r>
        <w:rPr>
          <w:rFonts w:ascii="Calibri" w:hAnsi="Calibri"/>
          <w:b/>
          <w:sz w:val="22"/>
        </w:rPr>
        <w:t>fxSmartDCO</w:t>
      </w:r>
      <w:r>
        <w:rPr>
          <w:rFonts w:ascii="Calibri" w:hAnsi="Calibri"/>
          <w:sz w:val="22"/>
        </w:rPr>
        <w:t xml:space="preserve"> to capture process flows, business rules, and user stories collaboratively.</w:t>
      </w:r>
    </w:p>
    <w:p>
      <w:pPr>
        <w:spacing w:after="120"/>
        <w:ind w:left="360" w:hanging="360"/>
      </w:pPr>
      <w:r>
        <w:rPr>
          <w:rFonts w:ascii="Calibri" w:hAnsi="Calibri"/>
          <w:sz w:val="22"/>
        </w:rPr>
        <w:t xml:space="preserve">• </w:t>
      </w:r>
      <w:r>
        <w:rPr>
          <w:rFonts w:ascii="Calibri" w:hAnsi="Calibri"/>
          <w:sz w:val="22"/>
        </w:rPr>
        <w:t>Define process KPIs, SLAs, and reporting needs.</w:t>
      </w:r>
    </w:p>
    <w:p>
      <w:pPr>
        <w:pStyle w:val="Heading3"/>
      </w:pPr>
      <w:r>
        <w:t>4.2 Phase 2: Solution Design and Configuration</w:t>
      </w:r>
    </w:p>
    <w:p>
      <w:pPr>
        <w:spacing w:after="120"/>
        <w:ind w:left="360" w:hanging="360"/>
      </w:pPr>
      <w:r>
        <w:rPr>
          <w:rFonts w:ascii="Calibri" w:hAnsi="Calibri"/>
          <w:sz w:val="22"/>
        </w:rPr>
        <w:t xml:space="preserve">• </w:t>
      </w:r>
      <w:r>
        <w:rPr>
          <w:rFonts w:ascii="Calibri" w:hAnsi="Calibri"/>
          <w:sz w:val="22"/>
        </w:rPr>
        <w:t>Model processes using Pega’s low-code designer.</w:t>
      </w:r>
    </w:p>
    <w:p>
      <w:pPr>
        <w:spacing w:after="120"/>
        <w:ind w:left="360" w:hanging="360"/>
      </w:pPr>
      <w:r>
        <w:rPr>
          <w:rFonts w:ascii="Calibri" w:hAnsi="Calibri"/>
          <w:sz w:val="22"/>
        </w:rPr>
        <w:t xml:space="preserve">• </w:t>
      </w:r>
      <w:r>
        <w:rPr>
          <w:rFonts w:ascii="Calibri" w:hAnsi="Calibri"/>
          <w:sz w:val="22"/>
        </w:rPr>
        <w:t>Configure case types, stages, and steps.</w:t>
      </w:r>
    </w:p>
    <w:p>
      <w:pPr>
        <w:spacing w:after="120"/>
        <w:ind w:left="360" w:hanging="360"/>
      </w:pPr>
      <w:r>
        <w:rPr>
          <w:rFonts w:ascii="Calibri" w:hAnsi="Calibri"/>
          <w:sz w:val="22"/>
        </w:rPr>
        <w:t xml:space="preserve">• </w:t>
      </w:r>
      <w:r>
        <w:rPr>
          <w:rFonts w:ascii="Calibri" w:hAnsi="Calibri"/>
          <w:sz w:val="22"/>
        </w:rPr>
        <w:t>Define business rules in the centralized rules engine.</w:t>
      </w:r>
    </w:p>
    <w:p>
      <w:pPr>
        <w:spacing w:after="120"/>
        <w:ind w:left="360" w:hanging="360"/>
      </w:pPr>
      <w:r>
        <w:rPr>
          <w:rFonts w:ascii="Calibri" w:hAnsi="Calibri"/>
          <w:sz w:val="22"/>
        </w:rPr>
        <w:t xml:space="preserve">• </w:t>
      </w:r>
      <w:r>
        <w:rPr>
          <w:rFonts w:ascii="Calibri" w:hAnsi="Calibri"/>
          <w:sz w:val="22"/>
        </w:rPr>
        <w:t xml:space="preserve">Design responsive user interfaces using </w:t>
      </w:r>
      <w:r>
        <w:rPr>
          <w:rFonts w:ascii="Calibri" w:hAnsi="Calibri"/>
          <w:b/>
          <w:sz w:val="22"/>
        </w:rPr>
        <w:t>fxMockUpToView</w:t>
      </w:r>
      <w:r>
        <w:rPr>
          <w:rFonts w:ascii="Calibri" w:hAnsi="Calibri"/>
          <w:sz w:val="22"/>
        </w:rPr>
        <w:t>.</w:t>
      </w:r>
    </w:p>
    <w:p>
      <w:pPr>
        <w:pStyle w:val="Heading3"/>
      </w:pPr>
      <w:r>
        <w:t>4.3 Phase 3: Integration and Testing</w:t>
      </w:r>
    </w:p>
    <w:p>
      <w:pPr>
        <w:spacing w:after="120"/>
        <w:ind w:left="360" w:hanging="360"/>
      </w:pPr>
      <w:r>
        <w:rPr>
          <w:rFonts w:ascii="Calibri" w:hAnsi="Calibri"/>
          <w:sz w:val="22"/>
        </w:rPr>
        <w:t xml:space="preserve">• </w:t>
      </w:r>
      <w:r>
        <w:rPr>
          <w:rFonts w:ascii="Calibri" w:hAnsi="Calibri"/>
          <w:sz w:val="22"/>
        </w:rPr>
        <w:t>Integrate with MTI’s identity management, payment, and document management systems.</w:t>
      </w:r>
    </w:p>
    <w:p>
      <w:pPr>
        <w:spacing w:after="120"/>
        <w:ind w:left="360" w:hanging="360"/>
      </w:pPr>
      <w:r>
        <w:rPr>
          <w:rFonts w:ascii="Calibri" w:hAnsi="Calibri"/>
          <w:sz w:val="22"/>
        </w:rPr>
        <w:t xml:space="preserve">• </w:t>
      </w:r>
      <w:r>
        <w:rPr>
          <w:rFonts w:ascii="Calibri" w:hAnsi="Calibri"/>
          <w:sz w:val="22"/>
        </w:rPr>
        <w:t>Conduct unit, system, and user acceptance testing (UAT).</w:t>
      </w:r>
    </w:p>
    <w:p>
      <w:pPr>
        <w:spacing w:after="120"/>
        <w:ind w:left="360" w:hanging="360"/>
      </w:pPr>
      <w:r>
        <w:rPr>
          <w:rFonts w:ascii="Calibri" w:hAnsi="Calibri"/>
          <w:sz w:val="22"/>
        </w:rPr>
        <w:t xml:space="preserve">• </w:t>
      </w:r>
      <w:r>
        <w:rPr>
          <w:rFonts w:ascii="Calibri" w:hAnsi="Calibri"/>
          <w:sz w:val="22"/>
        </w:rPr>
        <w:t>Validate performance, security, and compliance requirements.</w:t>
      </w:r>
    </w:p>
    <w:p>
      <w:pPr>
        <w:pStyle w:val="Heading3"/>
      </w:pPr>
      <w:r>
        <w:t>4.4 Phase 4: Training and Change Management</w:t>
      </w:r>
    </w:p>
    <w:p>
      <w:pPr>
        <w:spacing w:after="120"/>
        <w:ind w:left="360" w:hanging="360"/>
      </w:pPr>
      <w:r>
        <w:rPr>
          <w:rFonts w:ascii="Calibri" w:hAnsi="Calibri"/>
          <w:sz w:val="22"/>
        </w:rPr>
        <w:t xml:space="preserve">• </w:t>
      </w:r>
      <w:r>
        <w:rPr>
          <w:rFonts w:ascii="Calibri" w:hAnsi="Calibri"/>
          <w:sz w:val="22"/>
        </w:rPr>
        <w:t>Deliver training for administrators, business users, and end users.</w:t>
      </w:r>
    </w:p>
    <w:p>
      <w:pPr>
        <w:spacing w:after="120"/>
        <w:ind w:left="360" w:hanging="360"/>
      </w:pPr>
      <w:r>
        <w:rPr>
          <w:rFonts w:ascii="Calibri" w:hAnsi="Calibri"/>
          <w:sz w:val="22"/>
        </w:rPr>
        <w:t xml:space="preserve">• </w:t>
      </w:r>
      <w:r>
        <w:rPr>
          <w:rFonts w:ascii="Calibri" w:hAnsi="Calibri"/>
          <w:sz w:val="22"/>
        </w:rPr>
        <w:t>Provide training materials, user guides, and e-learning modules.</w:t>
      </w:r>
    </w:p>
    <w:p>
      <w:pPr>
        <w:spacing w:after="120"/>
        <w:ind w:left="360" w:hanging="360"/>
      </w:pPr>
      <w:r>
        <w:rPr>
          <w:rFonts w:ascii="Calibri" w:hAnsi="Calibri"/>
          <w:sz w:val="22"/>
        </w:rPr>
        <w:t xml:space="preserve">• </w:t>
      </w:r>
      <w:r>
        <w:rPr>
          <w:rFonts w:ascii="Calibri" w:hAnsi="Calibri"/>
          <w:sz w:val="22"/>
        </w:rPr>
        <w:t>Support MTI’s change management and communication plan.</w:t>
      </w:r>
    </w:p>
    <w:p>
      <w:pPr>
        <w:pStyle w:val="Heading3"/>
      </w:pPr>
      <w:r>
        <w:t>4.5 Phase 5: Go-Live and Support Transition</w:t>
      </w:r>
    </w:p>
    <w:p>
      <w:pPr>
        <w:spacing w:after="120"/>
        <w:ind w:left="360" w:hanging="360"/>
      </w:pPr>
      <w:r>
        <w:rPr>
          <w:rFonts w:ascii="Calibri" w:hAnsi="Calibri"/>
          <w:sz w:val="22"/>
        </w:rPr>
        <w:t xml:space="preserve">• </w:t>
      </w:r>
      <w:r>
        <w:rPr>
          <w:rFonts w:ascii="Calibri" w:hAnsi="Calibri"/>
          <w:sz w:val="22"/>
        </w:rPr>
        <w:t>Execute cutover and go-live activities.</w:t>
      </w:r>
    </w:p>
    <w:p>
      <w:pPr>
        <w:spacing w:after="120"/>
        <w:ind w:left="360" w:hanging="360"/>
      </w:pPr>
      <w:r>
        <w:rPr>
          <w:rFonts w:ascii="Calibri" w:hAnsi="Calibri"/>
          <w:sz w:val="22"/>
        </w:rPr>
        <w:t xml:space="preserve">• </w:t>
      </w:r>
      <w:r>
        <w:rPr>
          <w:rFonts w:ascii="Calibri" w:hAnsi="Calibri"/>
          <w:sz w:val="22"/>
        </w:rPr>
        <w:t>Transition to post-implementation support under defined SLAs.</w:t>
      </w:r>
    </w:p>
    <w:p>
      <w:pPr>
        <w:spacing w:after="120"/>
        <w:ind w:left="360" w:hanging="360"/>
      </w:pPr>
      <w:r>
        <w:rPr>
          <w:rFonts w:ascii="Calibri" w:hAnsi="Calibri"/>
          <w:sz w:val="22"/>
        </w:rPr>
        <w:t xml:space="preserve">• </w:t>
      </w:r>
      <w:r>
        <w:rPr>
          <w:rFonts w:ascii="Calibri" w:hAnsi="Calibri"/>
          <w:sz w:val="22"/>
        </w:rPr>
        <w:t>Conduct post-go-live review and continuous improvement planning.</w:t>
      </w:r>
    </w:p>
    <w:p>
      <w:pPr>
        <w:pStyle w:val="Heading2"/>
      </w:pPr>
      <w:r>
        <w:t>5. Project Plan and Timelines</w:t>
      </w:r>
    </w:p>
    <w:p>
      <w:r>
        <w:t>The indicative project timeline is structured over a 9–12 month period, depending on MTI’s final scope and resource availability.</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Phase</w:t>
            </w:r>
          </w:p>
        </w:tc>
        <w:tc>
          <w:tcPr>
            <w:tcW w:type="dxa" w:w="3120"/>
            <w:shd w:fill="1a5490" w:val="clear"/>
            <w:vAlign w:val="top"/>
            <w:tcMar>
              <w:top w:w="80" w:type="dxa"/>
              <w:right w:w="80" w:type="dxa"/>
              <w:bottom w:w="80" w:type="dxa"/>
              <w:left w:w="80" w:type="dxa"/>
            </w:tcMar>
          </w:tcPr>
          <w:p>
            <w:r>
              <w:rPr>
                <w:b/>
                <w:color w:val="FFFFFF"/>
              </w:rPr>
              <w:t>Duration</w:t>
            </w:r>
          </w:p>
        </w:tc>
        <w:tc>
          <w:tcPr>
            <w:tcW w:type="dxa" w:w="3120"/>
            <w:shd w:fill="1a5490" w:val="clear"/>
            <w:vAlign w:val="top"/>
            <w:tcMar>
              <w:top w:w="80" w:type="dxa"/>
              <w:right w:w="80" w:type="dxa"/>
              <w:bottom w:w="80" w:type="dxa"/>
              <w:left w:w="80" w:type="dxa"/>
            </w:tcMar>
          </w:tcPr>
          <w:p>
            <w:r>
              <w:rPr>
                <w:b/>
                <w:color w:val="FFFFFF"/>
              </w:rPr>
              <w:t>Key Deliverables</w:t>
            </w:r>
          </w:p>
        </w:tc>
      </w:tr>
      <w:tr>
        <w:tc>
          <w:tcPr>
            <w:tcW w:type="dxa" w:w="3120"/>
            <w:vAlign w:val="top"/>
            <w:tcMar>
              <w:top w:w="80" w:type="dxa"/>
              <w:right w:w="80" w:type="dxa"/>
              <w:bottom w:w="80" w:type="dxa"/>
              <w:left w:w="80" w:type="dxa"/>
            </w:tcMar>
          </w:tcPr>
          <w:p>
            <w:r>
              <w:t>Discovery &amp; Requirements</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Process models, requirements baseline</w:t>
            </w:r>
          </w:p>
        </w:tc>
      </w:tr>
      <w:tr>
        <w:tc>
          <w:tcPr>
            <w:tcW w:type="dxa" w:w="3120"/>
            <w:vAlign w:val="top"/>
            <w:tcMar>
              <w:top w:w="80" w:type="dxa"/>
              <w:right w:w="80" w:type="dxa"/>
              <w:bottom w:w="80" w:type="dxa"/>
              <w:left w:w="80" w:type="dxa"/>
            </w:tcMar>
          </w:tcPr>
          <w:p>
            <w:r>
              <w:t>Design &amp; Configuration</w:t>
            </w:r>
          </w:p>
        </w:tc>
        <w:tc>
          <w:tcPr>
            <w:tcW w:type="dxa" w:w="3120"/>
            <w:vAlign w:val="top"/>
            <w:tcMar>
              <w:top w:w="80" w:type="dxa"/>
              <w:right w:w="80" w:type="dxa"/>
              <w:bottom w:w="80" w:type="dxa"/>
              <w:left w:w="80" w:type="dxa"/>
            </w:tcMar>
          </w:tcPr>
          <w:p>
            <w:r>
              <w:t>8 weeks</w:t>
            </w:r>
          </w:p>
        </w:tc>
        <w:tc>
          <w:tcPr>
            <w:tcW w:type="dxa" w:w="3120"/>
            <w:vAlign w:val="top"/>
            <w:tcMar>
              <w:top w:w="80" w:type="dxa"/>
              <w:right w:w="80" w:type="dxa"/>
              <w:bottom w:w="80" w:type="dxa"/>
              <w:left w:w="80" w:type="dxa"/>
            </w:tcMar>
          </w:tcPr>
          <w:p>
            <w:r>
              <w:t>Configured case types, rules, and UI</w:t>
            </w:r>
          </w:p>
        </w:tc>
      </w:tr>
      <w:tr>
        <w:tc>
          <w:tcPr>
            <w:tcW w:type="dxa" w:w="3120"/>
            <w:vAlign w:val="top"/>
            <w:tcMar>
              <w:top w:w="80" w:type="dxa"/>
              <w:right w:w="80" w:type="dxa"/>
              <w:bottom w:w="80" w:type="dxa"/>
              <w:left w:w="80" w:type="dxa"/>
            </w:tcMar>
          </w:tcPr>
          <w:p>
            <w:r>
              <w:t>Integration &amp; Testing</w:t>
            </w:r>
          </w:p>
        </w:tc>
        <w:tc>
          <w:tcPr>
            <w:tcW w:type="dxa" w:w="3120"/>
            <w:vAlign w:val="top"/>
            <w:tcMar>
              <w:top w:w="80" w:type="dxa"/>
              <w:right w:w="80" w:type="dxa"/>
              <w:bottom w:w="80" w:type="dxa"/>
              <w:left w:w="80" w:type="dxa"/>
            </w:tcMar>
          </w:tcPr>
          <w:p>
            <w:r>
              <w:t>8 weeks</w:t>
            </w:r>
          </w:p>
        </w:tc>
        <w:tc>
          <w:tcPr>
            <w:tcW w:type="dxa" w:w="3120"/>
            <w:vAlign w:val="top"/>
            <w:tcMar>
              <w:top w:w="80" w:type="dxa"/>
              <w:right w:w="80" w:type="dxa"/>
              <w:bottom w:w="80" w:type="dxa"/>
              <w:left w:w="80" w:type="dxa"/>
            </w:tcMar>
          </w:tcPr>
          <w:p>
            <w:r>
              <w:t>Integrated solution, test results</w:t>
            </w:r>
          </w:p>
        </w:tc>
      </w:tr>
      <w:tr>
        <w:tc>
          <w:tcPr>
            <w:tcW w:type="dxa" w:w="3120"/>
            <w:vAlign w:val="top"/>
            <w:tcMar>
              <w:top w:w="80" w:type="dxa"/>
              <w:right w:w="80" w:type="dxa"/>
              <w:bottom w:w="80" w:type="dxa"/>
              <w:left w:w="80" w:type="dxa"/>
            </w:tcMar>
          </w:tcPr>
          <w:p>
            <w:r>
              <w:t>Training &amp; UAT</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Trained users, UAT sign-off</w:t>
            </w:r>
          </w:p>
        </w:tc>
      </w:tr>
      <w:tr>
        <w:tc>
          <w:tcPr>
            <w:tcW w:type="dxa" w:w="3120"/>
            <w:vAlign w:val="top"/>
            <w:tcMar>
              <w:top w:w="80" w:type="dxa"/>
              <w:right w:w="80" w:type="dxa"/>
              <w:bottom w:w="80" w:type="dxa"/>
              <w:left w:w="80" w:type="dxa"/>
            </w:tcMar>
          </w:tcPr>
          <w:p>
            <w:r>
              <w:t>Go-Live &amp; Support Transition</w:t>
            </w:r>
          </w:p>
        </w:tc>
        <w:tc>
          <w:tcPr>
            <w:tcW w:type="dxa" w:w="3120"/>
            <w:vAlign w:val="top"/>
            <w:tcMar>
              <w:top w:w="80" w:type="dxa"/>
              <w:right w:w="80" w:type="dxa"/>
              <w:bottom w:w="80" w:type="dxa"/>
              <w:left w:w="80" w:type="dxa"/>
            </w:tcMar>
          </w:tcPr>
          <w:p>
            <w:r>
              <w:t>2 weeks</w:t>
            </w:r>
          </w:p>
        </w:tc>
        <w:tc>
          <w:tcPr>
            <w:tcW w:type="dxa" w:w="3120"/>
            <w:vAlign w:val="top"/>
            <w:tcMar>
              <w:top w:w="80" w:type="dxa"/>
              <w:right w:w="80" w:type="dxa"/>
              <w:bottom w:w="80" w:type="dxa"/>
              <w:left w:w="80" w:type="dxa"/>
            </w:tcMar>
          </w:tcPr>
          <w:p>
            <w:r>
              <w:t>Production deployment, support handover</w:t>
            </w:r>
          </w:p>
        </w:tc>
      </w:tr>
    </w:tbl>
    <w:p>
      <w:r>
        <w:t>Major milestones include:</w:t>
      </w:r>
    </w:p>
    <w:p>
      <w:pPr>
        <w:spacing w:after="120"/>
        <w:ind w:left="360" w:hanging="360"/>
      </w:pPr>
      <w:r>
        <w:rPr>
          <w:rFonts w:ascii="Calibri" w:hAnsi="Calibri"/>
          <w:sz w:val="22"/>
        </w:rPr>
        <w:t xml:space="preserve">• </w:t>
      </w:r>
      <w:r>
        <w:rPr>
          <w:rFonts w:ascii="Calibri" w:hAnsi="Calibri"/>
          <w:b/>
          <w:sz w:val="22"/>
        </w:rPr>
        <w:t>M1:</w:t>
      </w:r>
      <w:r>
        <w:rPr>
          <w:rFonts w:ascii="Calibri" w:hAnsi="Calibri"/>
          <w:sz w:val="22"/>
        </w:rPr>
        <w:t xml:space="preserve"> Requirements sign-off</w:t>
      </w:r>
    </w:p>
    <w:p>
      <w:pPr>
        <w:spacing w:after="120"/>
        <w:ind w:left="360" w:hanging="360"/>
      </w:pPr>
      <w:r>
        <w:rPr>
          <w:rFonts w:ascii="Calibri" w:hAnsi="Calibri"/>
          <w:sz w:val="22"/>
        </w:rPr>
        <w:t xml:space="preserve">• </w:t>
      </w:r>
      <w:r>
        <w:rPr>
          <w:rFonts w:ascii="Calibri" w:hAnsi="Calibri"/>
          <w:b/>
          <w:sz w:val="22"/>
        </w:rPr>
        <w:t>M2:</w:t>
      </w:r>
      <w:r>
        <w:rPr>
          <w:rFonts w:ascii="Calibri" w:hAnsi="Calibri"/>
          <w:sz w:val="22"/>
        </w:rPr>
        <w:t xml:space="preserve"> Design completion</w:t>
      </w:r>
    </w:p>
    <w:p>
      <w:pPr>
        <w:spacing w:after="120"/>
        <w:ind w:left="360" w:hanging="360"/>
      </w:pPr>
      <w:r>
        <w:rPr>
          <w:rFonts w:ascii="Calibri" w:hAnsi="Calibri"/>
          <w:sz w:val="22"/>
        </w:rPr>
        <w:t xml:space="preserve">• </w:t>
      </w:r>
      <w:r>
        <w:rPr>
          <w:rFonts w:ascii="Calibri" w:hAnsi="Calibri"/>
          <w:b/>
          <w:sz w:val="22"/>
        </w:rPr>
        <w:t>M3:</w:t>
      </w:r>
      <w:r>
        <w:rPr>
          <w:rFonts w:ascii="Calibri" w:hAnsi="Calibri"/>
          <w:sz w:val="22"/>
        </w:rPr>
        <w:t xml:space="preserve"> UAT completion</w:t>
      </w:r>
    </w:p>
    <w:p>
      <w:pPr>
        <w:spacing w:after="120"/>
        <w:ind w:left="360" w:hanging="360"/>
      </w:pPr>
      <w:r>
        <w:rPr>
          <w:rFonts w:ascii="Calibri" w:hAnsi="Calibri"/>
          <w:sz w:val="22"/>
        </w:rPr>
        <w:t xml:space="preserve">• </w:t>
      </w:r>
      <w:r>
        <w:rPr>
          <w:rFonts w:ascii="Calibri" w:hAnsi="Calibri"/>
          <w:b/>
          <w:sz w:val="22"/>
        </w:rPr>
        <w:t>M4:</w:t>
      </w:r>
      <w:r>
        <w:rPr>
          <w:rFonts w:ascii="Calibri" w:hAnsi="Calibri"/>
          <w:sz w:val="22"/>
        </w:rPr>
        <w:t xml:space="preserve"> Go-live</w:t>
      </w:r>
    </w:p>
    <w:p>
      <w:pPr>
        <w:spacing w:after="120"/>
        <w:ind w:left="360" w:hanging="360"/>
      </w:pPr>
      <w:r>
        <w:rPr>
          <w:rFonts w:ascii="Calibri" w:hAnsi="Calibri"/>
          <w:sz w:val="22"/>
        </w:rPr>
        <w:t xml:space="preserve">• </w:t>
      </w:r>
      <w:r>
        <w:rPr>
          <w:rFonts w:ascii="Calibri" w:hAnsi="Calibri"/>
          <w:b/>
          <w:sz w:val="22"/>
        </w:rPr>
        <w:t>M5:</w:t>
      </w:r>
      <w:r>
        <w:rPr>
          <w:rFonts w:ascii="Calibri" w:hAnsi="Calibri"/>
          <w:sz w:val="22"/>
        </w:rPr>
        <w:t xml:space="preserve"> Post-implementation review</w:t>
      </w:r>
    </w:p>
    <w:p>
      <w:pPr>
        <w:pStyle w:val="Heading2"/>
      </w:pPr>
      <w:r>
        <w:t>6. Proposed Team Structure</w:t>
      </w:r>
    </w:p>
    <w:p>
      <w:r>
        <w:t>FusionAIx will deploy a multidisciplinary team with deep expertise in BPM, Pega Constellation, and government process transformation.</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fill="1a5490" w:val="clear"/>
            <w:vAlign w:val="top"/>
            <w:tcMar>
              <w:top w:w="80" w:type="dxa"/>
              <w:right w:w="80" w:type="dxa"/>
              <w:bottom w:w="80" w:type="dxa"/>
              <w:left w:w="80" w:type="dxa"/>
            </w:tcMar>
          </w:tcPr>
          <w:p>
            <w:r>
              <w:rPr>
                <w:b/>
                <w:color w:val="FFFFFF"/>
              </w:rPr>
              <w:t>Role</w:t>
            </w:r>
          </w:p>
        </w:tc>
        <w:tc>
          <w:tcPr>
            <w:tcW w:type="dxa" w:w="4680"/>
            <w:shd w:fill="1a5490" w:val="clear"/>
            <w:vAlign w:val="top"/>
            <w:tcMar>
              <w:top w:w="80" w:type="dxa"/>
              <w:right w:w="80" w:type="dxa"/>
              <w:bottom w:w="80" w:type="dxa"/>
              <w:left w:w="80" w:type="dxa"/>
            </w:tcMar>
          </w:tcPr>
          <w:p>
            <w:r>
              <w:rPr>
                <w:b/>
                <w:color w:val="FFFFFF"/>
              </w:rPr>
              <w:t>Responsibilities</w:t>
            </w:r>
          </w:p>
        </w:tc>
      </w:tr>
      <w:tr>
        <w:tc>
          <w:tcPr>
            <w:tcW w:type="dxa" w:w="4680"/>
            <w:vAlign w:val="top"/>
            <w:tcMar>
              <w:top w:w="80" w:type="dxa"/>
              <w:right w:w="80" w:type="dxa"/>
              <w:bottom w:w="80" w:type="dxa"/>
              <w:left w:w="80" w:type="dxa"/>
            </w:tcMar>
          </w:tcPr>
          <w:p>
            <w:r>
              <w:t>Project Manager</w:t>
            </w:r>
          </w:p>
        </w:tc>
        <w:tc>
          <w:tcPr>
            <w:tcW w:type="dxa" w:w="4680"/>
            <w:vAlign w:val="top"/>
            <w:tcMar>
              <w:top w:w="80" w:type="dxa"/>
              <w:right w:w="80" w:type="dxa"/>
              <w:bottom w:w="80" w:type="dxa"/>
              <w:left w:w="80" w:type="dxa"/>
            </w:tcMar>
          </w:tcPr>
          <w:p>
            <w:r>
              <w:t>Overall project governance, stakeholder management</w:t>
            </w:r>
          </w:p>
        </w:tc>
      </w:tr>
      <w:tr>
        <w:tc>
          <w:tcPr>
            <w:tcW w:type="dxa" w:w="4680"/>
            <w:vAlign w:val="top"/>
            <w:tcMar>
              <w:top w:w="80" w:type="dxa"/>
              <w:right w:w="80" w:type="dxa"/>
              <w:bottom w:w="80" w:type="dxa"/>
              <w:left w:w="80" w:type="dxa"/>
            </w:tcMar>
          </w:tcPr>
          <w:p>
            <w:r>
              <w:t>Solution Architect</w:t>
            </w:r>
          </w:p>
        </w:tc>
        <w:tc>
          <w:tcPr>
            <w:tcW w:type="dxa" w:w="4680"/>
            <w:vAlign w:val="top"/>
            <w:tcMar>
              <w:top w:w="80" w:type="dxa"/>
              <w:right w:w="80" w:type="dxa"/>
              <w:bottom w:w="80" w:type="dxa"/>
              <w:left w:w="80" w:type="dxa"/>
            </w:tcMar>
          </w:tcPr>
          <w:p>
            <w:r>
              <w:t>End-to-end solution design, architecture oversight</w:t>
            </w:r>
          </w:p>
        </w:tc>
      </w:tr>
      <w:tr>
        <w:tc>
          <w:tcPr>
            <w:tcW w:type="dxa" w:w="4680"/>
            <w:vAlign w:val="top"/>
            <w:tcMar>
              <w:top w:w="80" w:type="dxa"/>
              <w:right w:w="80" w:type="dxa"/>
              <w:bottom w:w="80" w:type="dxa"/>
              <w:left w:w="80" w:type="dxa"/>
            </w:tcMar>
          </w:tcPr>
          <w:p>
            <w:r>
              <w:t>Lead BPM Developer</w:t>
            </w:r>
          </w:p>
        </w:tc>
        <w:tc>
          <w:tcPr>
            <w:tcW w:type="dxa" w:w="4680"/>
            <w:vAlign w:val="top"/>
            <w:tcMar>
              <w:top w:w="80" w:type="dxa"/>
              <w:right w:w="80" w:type="dxa"/>
              <w:bottom w:w="80" w:type="dxa"/>
              <w:left w:w="80" w:type="dxa"/>
            </w:tcMar>
          </w:tcPr>
          <w:p>
            <w:r>
              <w:t>Process modeling, configuration, and integration</w:t>
            </w:r>
          </w:p>
        </w:tc>
      </w:tr>
      <w:tr>
        <w:tc>
          <w:tcPr>
            <w:tcW w:type="dxa" w:w="4680"/>
            <w:vAlign w:val="top"/>
            <w:tcMar>
              <w:top w:w="80" w:type="dxa"/>
              <w:right w:w="80" w:type="dxa"/>
              <w:bottom w:w="80" w:type="dxa"/>
              <w:left w:w="80" w:type="dxa"/>
            </w:tcMar>
          </w:tcPr>
          <w:p>
            <w:r>
              <w:t>Business Analyst</w:t>
            </w:r>
          </w:p>
        </w:tc>
        <w:tc>
          <w:tcPr>
            <w:tcW w:type="dxa" w:w="4680"/>
            <w:vAlign w:val="top"/>
            <w:tcMar>
              <w:top w:w="80" w:type="dxa"/>
              <w:right w:w="80" w:type="dxa"/>
              <w:bottom w:w="80" w:type="dxa"/>
              <w:left w:w="80" w:type="dxa"/>
            </w:tcMar>
          </w:tcPr>
          <w:p>
            <w:r>
              <w:t>Requirements gathering, process documentation</w:t>
            </w:r>
          </w:p>
        </w:tc>
      </w:tr>
      <w:tr>
        <w:tc>
          <w:tcPr>
            <w:tcW w:type="dxa" w:w="4680"/>
            <w:vAlign w:val="top"/>
            <w:tcMar>
              <w:top w:w="80" w:type="dxa"/>
              <w:right w:w="80" w:type="dxa"/>
              <w:bottom w:w="80" w:type="dxa"/>
              <w:left w:w="80" w:type="dxa"/>
            </w:tcMar>
          </w:tcPr>
          <w:p>
            <w:r>
              <w:t>QA Lead</w:t>
            </w:r>
          </w:p>
        </w:tc>
        <w:tc>
          <w:tcPr>
            <w:tcW w:type="dxa" w:w="4680"/>
            <w:vAlign w:val="top"/>
            <w:tcMar>
              <w:top w:w="80" w:type="dxa"/>
              <w:right w:w="80" w:type="dxa"/>
              <w:bottom w:w="80" w:type="dxa"/>
              <w:left w:w="80" w:type="dxa"/>
            </w:tcMar>
          </w:tcPr>
          <w:p>
            <w:r>
              <w:t>Test planning, execution, and defect management</w:t>
            </w:r>
          </w:p>
        </w:tc>
      </w:tr>
      <w:tr>
        <w:tc>
          <w:tcPr>
            <w:tcW w:type="dxa" w:w="4680"/>
            <w:vAlign w:val="top"/>
            <w:tcMar>
              <w:top w:w="80" w:type="dxa"/>
              <w:right w:w="80" w:type="dxa"/>
              <w:bottom w:w="80" w:type="dxa"/>
              <w:left w:w="80" w:type="dxa"/>
            </w:tcMar>
          </w:tcPr>
          <w:p>
            <w:r>
              <w:t>Trainer / Change Manager</w:t>
            </w:r>
          </w:p>
        </w:tc>
        <w:tc>
          <w:tcPr>
            <w:tcW w:type="dxa" w:w="4680"/>
            <w:vAlign w:val="top"/>
            <w:tcMar>
              <w:top w:w="80" w:type="dxa"/>
              <w:right w:w="80" w:type="dxa"/>
              <w:bottom w:w="80" w:type="dxa"/>
              <w:left w:w="80" w:type="dxa"/>
            </w:tcMar>
          </w:tcPr>
          <w:p>
            <w:r>
              <w:t>Training delivery, change management support</w:t>
            </w:r>
          </w:p>
        </w:tc>
      </w:tr>
      <w:tr>
        <w:tc>
          <w:tcPr>
            <w:tcW w:type="dxa" w:w="4680"/>
            <w:vAlign w:val="top"/>
            <w:tcMar>
              <w:top w:w="80" w:type="dxa"/>
              <w:right w:w="80" w:type="dxa"/>
              <w:bottom w:w="80" w:type="dxa"/>
              <w:left w:w="80" w:type="dxa"/>
            </w:tcMar>
          </w:tcPr>
          <w:p>
            <w:r>
              <w:t>Support Lead</w:t>
            </w:r>
          </w:p>
        </w:tc>
        <w:tc>
          <w:tcPr>
            <w:tcW w:type="dxa" w:w="4680"/>
            <w:vAlign w:val="top"/>
            <w:tcMar>
              <w:top w:w="80" w:type="dxa"/>
              <w:right w:w="80" w:type="dxa"/>
              <w:bottom w:w="80" w:type="dxa"/>
              <w:left w:w="80" w:type="dxa"/>
            </w:tcMar>
          </w:tcPr>
          <w:p>
            <w:r>
              <w:t>Post-go-live support and SLA management</w:t>
            </w:r>
          </w:p>
        </w:tc>
      </w:tr>
    </w:tbl>
    <w:p>
      <w:r>
        <w:t>CVs of key personnel will be provided in the final submission package, including certifications and relevant project experience.</w:t>
      </w:r>
    </w:p>
    <w:p>
      <w:pPr>
        <w:pStyle w:val="Heading2"/>
      </w:pPr>
      <w:r>
        <w:t>7. Functional and Technical Compliance Matrix</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Workflow engine supports automated steps (validations, integrations, rules) and human tasks (review/approve) in one end-to-end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notes, and contextual collaboration.</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Business rules externalized from code, versioned, and deployed via governance.</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Web-based responsive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Accessible via standard browsers, supports guided steps and contextual help.</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Configurable SLAs per process and case type, with automated escalations and notifications.</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 mechanisms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and event-based integration supported.</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Security and audit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RBAC, fine-grained permissions, and full audit logging.</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Training and change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Comprehensive training and change management support included.</w:t>
            </w:r>
          </w:p>
        </w:tc>
      </w:tr>
      <w:tr>
        <w:tc>
          <w:tcPr>
            <w:tcW w:type="dxa" w:w="2340"/>
            <w:vAlign w:val="top"/>
            <w:tcMar>
              <w:top w:w="80" w:type="dxa"/>
              <w:right w:w="80" w:type="dxa"/>
              <w:bottom w:w="80" w:type="dxa"/>
              <w:left w:w="80" w:type="dxa"/>
            </w:tcMar>
          </w:tcPr>
          <w:p>
            <w:r>
              <w:t>5.1.i</w:t>
            </w:r>
          </w:p>
        </w:tc>
        <w:tc>
          <w:tcPr>
            <w:tcW w:type="dxa" w:w="2340"/>
            <w:vAlign w:val="top"/>
            <w:tcMar>
              <w:top w:w="80" w:type="dxa"/>
              <w:right w:w="80" w:type="dxa"/>
              <w:bottom w:w="80" w:type="dxa"/>
              <w:left w:w="80" w:type="dxa"/>
            </w:tcMar>
          </w:tcPr>
          <w:p>
            <w:r>
              <w:t>Support and maintenance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3 years of post go-live support with defined SLAs.</w:t>
            </w:r>
          </w:p>
        </w:tc>
      </w:tr>
    </w:tbl>
    <w:p>
      <w:pPr>
        <w:pStyle w:val="Heading2"/>
      </w:pPr>
      <w:r>
        <w:t>8. Assumptions, Dependencies, and Risks</w:t>
      </w:r>
    </w:p>
    <w:p>
      <w:pPr>
        <w:pStyle w:val="Heading3"/>
      </w:pPr>
      <w:r>
        <w:t>8.1 Assumptions</w:t>
      </w:r>
    </w:p>
    <w:p>
      <w:pPr>
        <w:spacing w:after="120"/>
        <w:ind w:left="360" w:hanging="360"/>
      </w:pPr>
      <w:r>
        <w:rPr>
          <w:rFonts w:ascii="Calibri" w:hAnsi="Calibri"/>
          <w:sz w:val="22"/>
        </w:rPr>
        <w:t xml:space="preserve">• </w:t>
      </w:r>
      <w:r>
        <w:rPr>
          <w:rFonts w:ascii="Calibri" w:hAnsi="Calibri"/>
          <w:sz w:val="22"/>
        </w:rPr>
        <w:t>MTI will provide timely access to stakeholders and existing systems.</w:t>
      </w:r>
    </w:p>
    <w:p>
      <w:pPr>
        <w:spacing w:after="120"/>
        <w:ind w:left="360" w:hanging="360"/>
      </w:pPr>
      <w:r>
        <w:rPr>
          <w:rFonts w:ascii="Calibri" w:hAnsi="Calibri"/>
          <w:sz w:val="22"/>
        </w:rPr>
        <w:t xml:space="preserve">• </w:t>
      </w:r>
      <w:r>
        <w:rPr>
          <w:rFonts w:ascii="Calibri" w:hAnsi="Calibri"/>
          <w:sz w:val="22"/>
        </w:rPr>
        <w:t>Required infrastructure (servers, network, security) will be provisioned by MTI.</w:t>
      </w:r>
    </w:p>
    <w:p>
      <w:pPr>
        <w:spacing w:after="120"/>
        <w:ind w:left="360" w:hanging="360"/>
      </w:pPr>
      <w:r>
        <w:rPr>
          <w:rFonts w:ascii="Calibri" w:hAnsi="Calibri"/>
          <w:sz w:val="22"/>
        </w:rPr>
        <w:t xml:space="preserve">• </w:t>
      </w:r>
      <w:r>
        <w:rPr>
          <w:rFonts w:ascii="Calibri" w:hAnsi="Calibri"/>
          <w:sz w:val="22"/>
        </w:rPr>
        <w:t>MTI will designate process owners for each business area.</w:t>
      </w:r>
    </w:p>
    <w:p>
      <w:pPr>
        <w:pStyle w:val="Heading3"/>
      </w:pPr>
      <w:r>
        <w:t>8.2 Dependencies</w:t>
      </w:r>
    </w:p>
    <w:p>
      <w:pPr>
        <w:spacing w:after="120"/>
        <w:ind w:left="360" w:hanging="360"/>
      </w:pPr>
      <w:r>
        <w:rPr>
          <w:rFonts w:ascii="Calibri" w:hAnsi="Calibri"/>
          <w:sz w:val="22"/>
        </w:rPr>
        <w:t xml:space="preserve">• </w:t>
      </w:r>
      <w:r>
        <w:rPr>
          <w:rFonts w:ascii="Calibri" w:hAnsi="Calibri"/>
          <w:sz w:val="22"/>
        </w:rPr>
        <w:t>Integration with external systems (e.g., identity management, payment gateways) depends on API availability.</w:t>
      </w:r>
    </w:p>
    <w:p>
      <w:pPr>
        <w:spacing w:after="120"/>
        <w:ind w:left="360" w:hanging="360"/>
      </w:pPr>
      <w:r>
        <w:rPr>
          <w:rFonts w:ascii="Calibri" w:hAnsi="Calibri"/>
          <w:sz w:val="22"/>
        </w:rPr>
        <w:t xml:space="preserve">• </w:t>
      </w:r>
      <w:r>
        <w:rPr>
          <w:rFonts w:ascii="Calibri" w:hAnsi="Calibri"/>
          <w:sz w:val="22"/>
        </w:rPr>
        <w:t>Timely feedback during UAT and design reviews.</w:t>
      </w:r>
    </w:p>
    <w:p>
      <w:pPr>
        <w:pStyle w:val="Heading3"/>
      </w:pPr>
      <w:r>
        <w:t>8.3 Risks and Mitigation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Delays in requirements finalization</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Conduct early workshops and iterative validation.</w:t>
            </w:r>
          </w:p>
        </w:tc>
      </w:tr>
      <w:tr>
        <w:tc>
          <w:tcPr>
            <w:tcW w:type="dxa" w:w="3120"/>
            <w:vAlign w:val="top"/>
            <w:tcMar>
              <w:top w:w="80" w:type="dxa"/>
              <w:right w:w="80" w:type="dxa"/>
              <w:bottom w:w="80" w:type="dxa"/>
              <w:left w:w="80" w:type="dxa"/>
            </w:tcMar>
          </w:tcPr>
          <w:p>
            <w:r>
              <w:t>Integration challenges</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Use proven integration patterns and early testing.</w:t>
            </w:r>
          </w:p>
        </w:tc>
      </w:tr>
      <w:tr>
        <w:tc>
          <w:tcPr>
            <w:tcW w:type="dxa" w:w="3120"/>
            <w:vAlign w:val="top"/>
            <w:tcMar>
              <w:top w:w="80" w:type="dxa"/>
              <w:right w:w="80" w:type="dxa"/>
              <w:bottom w:w="80" w:type="dxa"/>
              <w:left w:w="80" w:type="dxa"/>
            </w:tcMar>
          </w:tcPr>
          <w:p>
            <w:r>
              <w:t>User adoption resistance</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Implement structured change management and training.</w:t>
            </w:r>
          </w:p>
        </w:tc>
      </w:tr>
      <w:tr>
        <w:tc>
          <w:tcPr>
            <w:tcW w:type="dxa" w:w="3120"/>
            <w:vAlign w:val="top"/>
            <w:tcMar>
              <w:top w:w="80" w:type="dxa"/>
              <w:right w:w="80" w:type="dxa"/>
              <w:bottom w:w="80" w:type="dxa"/>
              <w:left w:w="80" w:type="dxa"/>
            </w:tcMar>
          </w:tcPr>
          <w:p>
            <w:r>
              <w:t>Scope creep</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Enforce change control and governance.</w:t>
            </w:r>
          </w:p>
        </w:tc>
      </w:tr>
    </w:tbl>
    <w:p>
      <w:pPr>
        <w:pStyle w:val="Heading2"/>
      </w:pPr>
      <w:r>
        <w:t>9. Support and Maintenance Model</w:t>
      </w:r>
    </w:p>
    <w:p>
      <w:r>
        <w:t>FusionAIx will provide three (3) years of post go-live support and maintenance, covering:</w:t>
      </w:r>
    </w:p>
    <w:p>
      <w:pPr>
        <w:spacing w:after="120"/>
        <w:ind w:left="360" w:hanging="360"/>
      </w:pPr>
      <w:r>
        <w:rPr>
          <w:rFonts w:ascii="Calibri" w:hAnsi="Calibri"/>
          <w:sz w:val="22"/>
        </w:rPr>
        <w:t xml:space="preserve">• </w:t>
      </w:r>
      <w:r>
        <w:rPr>
          <w:rFonts w:ascii="Calibri" w:hAnsi="Calibri"/>
          <w:b/>
          <w:sz w:val="22"/>
        </w:rPr>
        <w:t>Incident management</w:t>
      </w:r>
      <w:r>
        <w:rPr>
          <w:rFonts w:ascii="Calibri" w:hAnsi="Calibri"/>
          <w:sz w:val="22"/>
        </w:rPr>
        <w:t xml:space="preserve"> (L1–L3 support)</w:t>
      </w:r>
    </w:p>
    <w:p>
      <w:pPr>
        <w:spacing w:after="120"/>
        <w:ind w:left="360" w:hanging="360"/>
      </w:pPr>
      <w:r>
        <w:rPr>
          <w:rFonts w:ascii="Calibri" w:hAnsi="Calibri"/>
          <w:sz w:val="22"/>
        </w:rPr>
        <w:t xml:space="preserve">• </w:t>
      </w:r>
      <w:r>
        <w:rPr>
          <w:rFonts w:ascii="Calibri" w:hAnsi="Calibri"/>
          <w:b/>
          <w:sz w:val="22"/>
        </w:rPr>
        <w:t>Patching and upgrades</w:t>
      </w:r>
    </w:p>
    <w:p>
      <w:pPr>
        <w:spacing w:after="120"/>
        <w:ind w:left="360" w:hanging="360"/>
      </w:pPr>
      <w:r>
        <w:rPr>
          <w:rFonts w:ascii="Calibri" w:hAnsi="Calibri"/>
          <w:sz w:val="22"/>
        </w:rPr>
        <w:t xml:space="preserve">• </w:t>
      </w:r>
      <w:r>
        <w:rPr>
          <w:rFonts w:ascii="Calibri" w:hAnsi="Calibri"/>
          <w:b/>
          <w:sz w:val="22"/>
        </w:rPr>
        <w:t>Performance tuning and optimization</w:t>
      </w:r>
    </w:p>
    <w:p>
      <w:pPr>
        <w:spacing w:after="120"/>
        <w:ind w:left="360" w:hanging="360"/>
      </w:pPr>
      <w:r>
        <w:rPr>
          <w:rFonts w:ascii="Calibri" w:hAnsi="Calibri"/>
          <w:sz w:val="22"/>
        </w:rPr>
        <w:t xml:space="preserve">• </w:t>
      </w:r>
      <w:r>
        <w:rPr>
          <w:rFonts w:ascii="Calibri" w:hAnsi="Calibri"/>
          <w:b/>
          <w:sz w:val="22"/>
        </w:rPr>
        <w:t>Root cause analysis and continuous improvement</w:t>
      </w:r>
    </w:p>
    <w:p>
      <w:pPr>
        <w:pStyle w:val="Heading3"/>
      </w:pPr>
      <w:r>
        <w:t>9.1 Support Levels</w:t>
      </w:r>
    </w:p>
    <w:p>
      <w:pPr>
        <w:spacing w:after="120"/>
        <w:ind w:left="360" w:hanging="360"/>
      </w:pPr>
      <w:r>
        <w:rPr>
          <w:rFonts w:ascii="Calibri" w:hAnsi="Calibri"/>
          <w:sz w:val="22"/>
        </w:rPr>
        <w:t xml:space="preserve">• </w:t>
      </w:r>
      <w:r>
        <w:rPr>
          <w:rFonts w:ascii="Calibri" w:hAnsi="Calibri"/>
          <w:b/>
          <w:sz w:val="22"/>
        </w:rPr>
        <w:t>L1 (Helpdesk):</w:t>
      </w:r>
      <w:r>
        <w:rPr>
          <w:rFonts w:ascii="Calibri" w:hAnsi="Calibri"/>
          <w:sz w:val="22"/>
        </w:rPr>
        <w:t xml:space="preserve"> User queries, access issues, minor fixes.</w:t>
      </w:r>
    </w:p>
    <w:p>
      <w:pPr>
        <w:spacing w:after="120"/>
        <w:ind w:left="360" w:hanging="360"/>
      </w:pPr>
      <w:r>
        <w:rPr>
          <w:rFonts w:ascii="Calibri" w:hAnsi="Calibri"/>
          <w:sz w:val="22"/>
        </w:rPr>
        <w:t xml:space="preserve">• </w:t>
      </w:r>
      <w:r>
        <w:rPr>
          <w:rFonts w:ascii="Calibri" w:hAnsi="Calibri"/>
          <w:b/>
          <w:sz w:val="22"/>
        </w:rPr>
        <w:t>L2 (Application Support):</w:t>
      </w:r>
      <w:r>
        <w:rPr>
          <w:rFonts w:ascii="Calibri" w:hAnsi="Calibri"/>
          <w:sz w:val="22"/>
        </w:rPr>
        <w:t xml:space="preserve"> Configuration issues, workflow errors, integration troubleshooting.</w:t>
      </w:r>
    </w:p>
    <w:p>
      <w:pPr>
        <w:spacing w:after="120"/>
        <w:ind w:left="360" w:hanging="360"/>
      </w:pPr>
      <w:r>
        <w:rPr>
          <w:rFonts w:ascii="Calibri" w:hAnsi="Calibri"/>
          <w:sz w:val="22"/>
        </w:rPr>
        <w:t xml:space="preserve">• </w:t>
      </w:r>
      <w:r>
        <w:rPr>
          <w:rFonts w:ascii="Calibri" w:hAnsi="Calibri"/>
          <w:b/>
          <w:sz w:val="22"/>
        </w:rPr>
        <w:t>L3 (Engineering/Product):</w:t>
      </w:r>
      <w:r>
        <w:rPr>
          <w:rFonts w:ascii="Calibri" w:hAnsi="Calibri"/>
          <w:sz w:val="22"/>
        </w:rPr>
        <w:t xml:space="preserve"> Complex defects, performance tuning, upgrade support.</w:t>
      </w:r>
    </w:p>
    <w:p>
      <w:pPr>
        <w:pStyle w:val="Heading3"/>
      </w:pPr>
      <w:r>
        <w:t>9.2 SLA Targets</w:t>
      </w:r>
    </w:p>
    <w:p>
      <w:pPr>
        <w:spacing w:after="120"/>
        <w:ind w:left="360" w:hanging="360"/>
      </w:pPr>
      <w:r>
        <w:rPr>
          <w:rFonts w:ascii="Calibri" w:hAnsi="Calibri"/>
          <w:sz w:val="22"/>
        </w:rPr>
        <w:t xml:space="preserve">• </w:t>
      </w:r>
      <w:r>
        <w:rPr>
          <w:rFonts w:ascii="Calibri" w:hAnsi="Calibri"/>
          <w:b/>
          <w:sz w:val="22"/>
        </w:rPr>
        <w:t>Severity 1:</w:t>
      </w:r>
      <w:r>
        <w:rPr>
          <w:rFonts w:ascii="Calibri" w:hAnsi="Calibri"/>
          <w:sz w:val="22"/>
        </w:rPr>
        <w:t xml:space="preserve"> Response within 1 hour, resolution within 4 hours.</w:t>
      </w:r>
    </w:p>
    <w:p>
      <w:pPr>
        <w:spacing w:after="120"/>
        <w:ind w:left="360" w:hanging="360"/>
      </w:pPr>
      <w:r>
        <w:rPr>
          <w:rFonts w:ascii="Calibri" w:hAnsi="Calibri"/>
          <w:sz w:val="22"/>
        </w:rPr>
        <w:t xml:space="preserve">• </w:t>
      </w:r>
      <w:r>
        <w:rPr>
          <w:rFonts w:ascii="Calibri" w:hAnsi="Calibri"/>
          <w:b/>
          <w:sz w:val="22"/>
        </w:rPr>
        <w:t>Severity 2:</w:t>
      </w:r>
      <w:r>
        <w:rPr>
          <w:rFonts w:ascii="Calibri" w:hAnsi="Calibri"/>
          <w:sz w:val="22"/>
        </w:rPr>
        <w:t xml:space="preserve"> Response within 2 hours, resolution within 8 hours.</w:t>
      </w:r>
    </w:p>
    <w:p>
      <w:pPr>
        <w:spacing w:after="120"/>
        <w:ind w:left="360" w:hanging="360"/>
      </w:pPr>
      <w:r>
        <w:rPr>
          <w:rFonts w:ascii="Calibri" w:hAnsi="Calibri"/>
          <w:sz w:val="22"/>
        </w:rPr>
        <w:t xml:space="preserve">• </w:t>
      </w:r>
      <w:r>
        <w:rPr>
          <w:rFonts w:ascii="Calibri" w:hAnsi="Calibri"/>
          <w:b/>
          <w:sz w:val="22"/>
        </w:rPr>
        <w:t>Severity 3:</w:t>
      </w:r>
      <w:r>
        <w:rPr>
          <w:rFonts w:ascii="Calibri" w:hAnsi="Calibri"/>
          <w:sz w:val="22"/>
        </w:rPr>
        <w:t xml:space="preserve"> Response within 4 hours, resolution within 24 hours.</w:t>
      </w:r>
    </w:p>
    <w:p>
      <w:pPr>
        <w:pStyle w:val="Heading3"/>
      </w:pPr>
      <w:r>
        <w:t>9.3 Escalation and Governance</w:t>
      </w:r>
    </w:p>
    <w:p>
      <w:pPr>
        <w:spacing w:after="120"/>
        <w:ind w:left="360" w:hanging="360"/>
      </w:pPr>
      <w:r>
        <w:rPr>
          <w:rFonts w:ascii="Calibri" w:hAnsi="Calibri"/>
          <w:sz w:val="22"/>
        </w:rPr>
        <w:t xml:space="preserve">• </w:t>
      </w:r>
      <w:r>
        <w:rPr>
          <w:rFonts w:ascii="Calibri" w:hAnsi="Calibri"/>
          <w:sz w:val="22"/>
        </w:rPr>
        <w:t>Escalation ladder: Support Lead → Program Manager → Executive Sponsor.</w:t>
      </w:r>
    </w:p>
    <w:p>
      <w:pPr>
        <w:spacing w:after="120"/>
        <w:ind w:left="360" w:hanging="360"/>
      </w:pPr>
      <w:r>
        <w:rPr>
          <w:rFonts w:ascii="Calibri" w:hAnsi="Calibri"/>
          <w:sz w:val="22"/>
        </w:rPr>
        <w:t xml:space="preserve">• </w:t>
      </w:r>
      <w:r>
        <w:rPr>
          <w:rFonts w:ascii="Calibri" w:hAnsi="Calibri"/>
          <w:sz w:val="22"/>
        </w:rPr>
        <w:t>Monthly service reviews covering SLA performance, root causes, and improvement actions.</w:t>
      </w:r>
    </w:p>
    <w:p>
      <w:pPr>
        <w:pStyle w:val="Heading2"/>
      </w:pPr>
      <w:r>
        <w:t>10. Commercial Proposal</w:t>
      </w:r>
    </w:p>
    <w:p>
      <w:r>
        <w:t>The commercial proposal will be provided in the final submission package and will include a 5-year Total Cost of Ownership (TCO) view, with costs broken down by:</w:t>
      </w:r>
    </w:p>
    <w:p>
      <w:pPr>
        <w:spacing w:after="120"/>
        <w:ind w:left="360" w:hanging="360"/>
      </w:pPr>
      <w:r>
        <w:rPr>
          <w:rFonts w:ascii="Calibri" w:hAnsi="Calibri"/>
          <w:sz w:val="22"/>
        </w:rPr>
        <w:t xml:space="preserve">• </w:t>
      </w:r>
      <w:r>
        <w:rPr>
          <w:rFonts w:ascii="Calibri" w:hAnsi="Calibri"/>
          <w:b/>
          <w:sz w:val="22"/>
        </w:rPr>
        <w:t>Licensing:</w:t>
      </w:r>
      <w:r>
        <w:rPr>
          <w:rFonts w:ascii="Calibri" w:hAnsi="Calibri"/>
          <w:sz w:val="22"/>
        </w:rPr>
        <w:t xml:space="preserve"> Internal users and external portal usage model.</w:t>
      </w:r>
    </w:p>
    <w:p>
      <w:pPr>
        <w:spacing w:after="120"/>
        <w:ind w:left="360" w:hanging="360"/>
      </w:pPr>
      <w:r>
        <w:rPr>
          <w:rFonts w:ascii="Calibri" w:hAnsi="Calibri"/>
          <w:sz w:val="22"/>
        </w:rPr>
        <w:t xml:space="preserve">• </w:t>
      </w:r>
      <w:r>
        <w:rPr>
          <w:rFonts w:ascii="Calibri" w:hAnsi="Calibri"/>
          <w:b/>
          <w:sz w:val="22"/>
        </w:rPr>
        <w:t>Implementation Services:</w:t>
      </w:r>
      <w:r>
        <w:rPr>
          <w:rFonts w:ascii="Calibri" w:hAnsi="Calibri"/>
          <w:sz w:val="22"/>
        </w:rPr>
        <w:t xml:space="preserve"> Discovery, design, configuration, integration, testing, and training.</w:t>
      </w:r>
    </w:p>
    <w:p>
      <w:pPr>
        <w:spacing w:after="120"/>
        <w:ind w:left="360" w:hanging="360"/>
      </w:pPr>
      <w:r>
        <w:rPr>
          <w:rFonts w:ascii="Calibri" w:hAnsi="Calibri"/>
          <w:sz w:val="22"/>
        </w:rPr>
        <w:t xml:space="preserve">• </w:t>
      </w:r>
      <w:r>
        <w:rPr>
          <w:rFonts w:ascii="Calibri" w:hAnsi="Calibri"/>
          <w:b/>
          <w:sz w:val="22"/>
        </w:rPr>
        <w:t>Support and Maintenance:</w:t>
      </w:r>
      <w:r>
        <w:rPr>
          <w:rFonts w:ascii="Calibri" w:hAnsi="Calibri"/>
          <w:sz w:val="22"/>
        </w:rPr>
        <w:t xml:space="preserve"> Three years post go-live.</w:t>
      </w:r>
    </w:p>
    <w:p>
      <w:pPr>
        <w:spacing w:after="120"/>
        <w:ind w:left="360" w:hanging="360"/>
      </w:pPr>
      <w:r>
        <w:rPr>
          <w:rFonts w:ascii="Calibri" w:hAnsi="Calibri"/>
          <w:sz w:val="22"/>
        </w:rPr>
        <w:t xml:space="preserve">• </w:t>
      </w:r>
      <w:r>
        <w:rPr>
          <w:rFonts w:ascii="Calibri" w:hAnsi="Calibri"/>
          <w:b/>
          <w:sz w:val="22"/>
        </w:rPr>
        <w:t>Optional Components:</w:t>
      </w:r>
      <w:r>
        <w:rPr>
          <w:rFonts w:ascii="Calibri" w:hAnsi="Calibri"/>
          <w:sz w:val="22"/>
        </w:rPr>
        <w:t xml:space="preserve"> Advanced analytics, additional environments, disaster recovery enhancements, and AI-assisted features.</w:t>
      </w:r>
    </w:p>
    <w:p>
      <w:r>
        <w:t>FusionAIx is committed to delivering a cost-effective, scalable, and future-ready BPM solution that aligns with MTI’s strategic objectives and delivers measurable value from day one.</w:t>
      </w:r>
    </w:p>
    <w:p>
      <w:r>
        <w:t>End of Document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