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64"/>
        </w:rPr>
        <w:t>Enterprise BPM Platform Implementation</w:t>
      </w:r>
    </w:p>
    <w:p/>
    <w:p/>
    <w:p>
      <w:pPr>
        <w:jc w:val="center"/>
      </w:pPr>
      <w:r>
        <w:rPr>
          <w:rFonts w:ascii="Calibri" w:hAnsi="Calibri"/>
          <w:color w:val="646464"/>
          <w:sz w:val="28"/>
        </w:rPr>
        <w:t>December 22,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pPr>
        <w:sectPr>
          <w:footerReference w:type="default" r:id="rId9"/>
          <w:pgSz w:w="12240" w:h="15840"/>
          <w:pgMar w:top="1440" w:right="1440" w:bottom="1440" w:left="1440" w:header="720" w:footer="720" w:gutter="0"/>
          <w:cols w:space="720"/>
          <w:docGrid w:linePitch="360"/>
        </w:sectPr>
      </w:pPr>
    </w:p>
    <w:p>
      <w:pPr>
        <w:pStyle w:val="Heading1"/>
      </w:pPr>
      <w:r>
        <w:t>Table of Contents</w:t>
      </w:r>
    </w:p>
    <w:p/>
    <w:p>
      <w:pPr/>
      <w:r>
        <w:rPr>
          <w:rFonts w:ascii="Calibri" w:hAnsi="Calibri"/>
          <w:sz w:val="22"/>
        </w:rPr>
        <w:t>1. Executive Summary</w:t>
      </w:r>
    </w:p>
    <w:p>
      <w:pPr/>
      <w:r>
        <w:rPr>
          <w:rFonts w:ascii="Calibri" w:hAnsi="Calibri"/>
          <w:sz w:val="22"/>
        </w:rPr>
        <w:t>2. Understanding of MTI’s Objectives and Context</w:t>
      </w:r>
    </w:p>
    <w:p>
      <w:pPr/>
      <w:r>
        <w:rPr>
          <w:rFonts w:ascii="Calibri" w:hAnsi="Calibri"/>
          <w:sz w:val="22"/>
        </w:rPr>
        <w:t>3. Proposed Solution Overview (architecture, major components, key differentiators)</w:t>
      </w:r>
    </w:p>
    <w:p>
      <w:pPr/>
      <w:r>
        <w:rPr>
          <w:rFonts w:ascii="Calibri" w:hAnsi="Calibri"/>
          <w:sz w:val="22"/>
        </w:rPr>
        <w:t>4. Implementation Approach and Methodology</w:t>
      </w:r>
    </w:p>
    <w:p>
      <w:pPr/>
      <w:r>
        <w:rPr>
          <w:rFonts w:ascii="Calibri" w:hAnsi="Calibri"/>
          <w:sz w:val="22"/>
        </w:rPr>
        <w:t>5. Project Plan and Timelines, including major milestones</w:t>
      </w:r>
    </w:p>
    <w:p>
      <w:pPr/>
      <w:r>
        <w:rPr>
          <w:rFonts w:ascii="Calibri" w:hAnsi="Calibri"/>
          <w:sz w:val="22"/>
        </w:rPr>
        <w:t>6. Proposed Team Structure, roles, and CVs of key personnel</w:t>
      </w:r>
    </w:p>
    <w:p>
      <w:pPr/>
      <w:r>
        <w:rPr>
          <w:rFonts w:ascii="Calibri" w:hAnsi="Calibri"/>
          <w:sz w:val="22"/>
        </w:rPr>
        <w:t>7. Functional and Technical Compliance Matrix responding to the requirements in Sections 5 and 6</w:t>
      </w:r>
    </w:p>
    <w:p>
      <w:pPr/>
      <w:r>
        <w:rPr>
          <w:rFonts w:ascii="Calibri" w:hAnsi="Calibri"/>
          <w:sz w:val="22"/>
        </w:rPr>
        <w:t>8. Assumptions, Dependencies, and Risks, with proposed mitigation strategies</w:t>
      </w:r>
    </w:p>
    <w:p>
      <w:pPr/>
      <w:r>
        <w:rPr>
          <w:rFonts w:ascii="Calibri" w:hAnsi="Calibri"/>
          <w:sz w:val="22"/>
        </w:rPr>
        <w:t>9. Support and Maintenance Model, including SLAs</w:t>
      </w:r>
    </w:p>
    <w:p>
      <w:pPr/>
      <w:r>
        <w:rPr>
          <w:rFonts w:ascii="Calibri" w:hAnsi="Calibri"/>
          <w:sz w:val="22"/>
        </w:rPr>
        <w:t>10. Commercial Proposal (licensing, implementation services, support, and any optional components)</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fusionAIx Proposal for MTI BPM Platform Implementation</w:t>
      </w:r>
    </w:p>
    <w:p>
      <w:pPr>
        <w:pStyle w:val="Heading2"/>
      </w:pPr>
      <w:r>
        <w:t>1. Executive Summary</w:t>
      </w:r>
    </w:p>
    <w:p>
      <w:r>
        <w:t>FusionAIx is pleased to submit this comprehensive proposal in response to MTI’s Request for Proposal (RFP) for the implementation of an enterprise-grade Business Process Management (BPM) platform. Our proposal is structured exactly as per MTI’s mandated ten-section format and provides a detailed, end-to-end response addressing all functional, technical, and service requirements.</w:t>
      </w:r>
    </w:p>
    <w:p>
      <w:r>
        <w:t>At fusionAIx, we believe that the future of digital transformation lies in the seamless blend of low-code platforms and artificial intelligence. Our mission is to empower organizations like MTI to reimagine their business processes, accelerate digital delivery, and achieve operational excellence through intelligent automation.</w:t>
      </w:r>
    </w:p>
    <w:p>
      <w:r>
        <w:t>We propose to implement the Pega Constellation BPM platform, a proven, enterprise-grade, low-code solution that supports both straight-through and human-centric workflows, dynamic case management, centralized rules management, and advanced analytics. fusionAIx is a niche Pega partner with over 20 successful Constellation implementations globally, including several in the public sector and government domains.</w:t>
      </w:r>
    </w:p>
    <w:p>
      <w:r>
        <w:t>Our solution will enable MTI to:</w:t>
      </w:r>
    </w:p>
    <w:p>
      <w:pPr>
        <w:spacing w:after="120"/>
        <w:ind w:left="360" w:hanging="360"/>
      </w:pPr>
      <w:r>
        <w:rPr>
          <w:rFonts w:ascii="Calibri" w:hAnsi="Calibri"/>
          <w:sz w:val="22"/>
        </w:rPr>
        <w:t xml:space="preserve">• </w:t>
      </w:r>
      <w:r>
        <w:rPr>
          <w:rFonts w:ascii="Calibri" w:hAnsi="Calibri"/>
          <w:sz w:val="22"/>
        </w:rPr>
        <w:t xml:space="preserve">Digitize and automate key processes such as </w:t>
      </w:r>
      <w:r>
        <w:rPr>
          <w:rFonts w:ascii="Calibri" w:hAnsi="Calibri"/>
          <w:b/>
          <w:sz w:val="22"/>
        </w:rPr>
        <w:t>business licensing and renewals</w:t>
      </w:r>
      <w:r>
        <w:rPr>
          <w:rFonts w:ascii="Calibri" w:hAnsi="Calibri"/>
          <w:sz w:val="22"/>
        </w:rPr>
        <w:t xml:space="preserve">, </w:t>
      </w:r>
      <w:r>
        <w:rPr>
          <w:rFonts w:ascii="Calibri" w:hAnsi="Calibri"/>
          <w:b/>
          <w:sz w:val="22"/>
        </w:rPr>
        <w:t>incentive and grants applications</w:t>
      </w:r>
      <w:r>
        <w:rPr>
          <w:rFonts w:ascii="Calibri" w:hAnsi="Calibri"/>
          <w:sz w:val="22"/>
        </w:rPr>
        <w:t>, and other high-volume citizen-facing workflows.</w:t>
      </w:r>
    </w:p>
    <w:p>
      <w:pPr>
        <w:spacing w:after="120"/>
        <w:ind w:left="360" w:hanging="360"/>
      </w:pPr>
      <w:r>
        <w:rPr>
          <w:rFonts w:ascii="Calibri" w:hAnsi="Calibri"/>
          <w:sz w:val="22"/>
        </w:rPr>
        <w:t xml:space="preserve">• </w:t>
      </w:r>
      <w:r>
        <w:rPr>
          <w:rFonts w:ascii="Calibri" w:hAnsi="Calibri"/>
          <w:sz w:val="22"/>
        </w:rPr>
        <w:t>Provide a unified, web-based, responsive interface for both internal and external users.</w:t>
      </w:r>
    </w:p>
    <w:p>
      <w:pPr>
        <w:spacing w:after="120"/>
        <w:ind w:left="360" w:hanging="360"/>
      </w:pPr>
      <w:r>
        <w:rPr>
          <w:rFonts w:ascii="Calibri" w:hAnsi="Calibri"/>
          <w:sz w:val="22"/>
        </w:rPr>
        <w:t xml:space="preserve">• </w:t>
      </w:r>
      <w:r>
        <w:rPr>
          <w:rFonts w:ascii="Calibri" w:hAnsi="Calibri"/>
          <w:sz w:val="22"/>
        </w:rPr>
        <w:t>Deliver real-time dashboards and reports for SLA monitoring, workload distribution, and performance tracking.</w:t>
      </w:r>
    </w:p>
    <w:p>
      <w:pPr>
        <w:spacing w:after="120"/>
        <w:ind w:left="360" w:hanging="360"/>
      </w:pPr>
      <w:r>
        <w:rPr>
          <w:rFonts w:ascii="Calibri" w:hAnsi="Calibri"/>
          <w:sz w:val="22"/>
        </w:rPr>
        <w:t xml:space="preserve">• </w:t>
      </w:r>
      <w:r>
        <w:rPr>
          <w:rFonts w:ascii="Calibri" w:hAnsi="Calibri"/>
          <w:sz w:val="22"/>
        </w:rPr>
        <w:t>Integrate seamlessly with MTI’s existing systems using REST APIs and event-based messaging.</w:t>
      </w:r>
    </w:p>
    <w:p>
      <w:pPr>
        <w:spacing w:after="120"/>
        <w:ind w:left="360" w:hanging="360"/>
      </w:pPr>
      <w:r>
        <w:rPr>
          <w:rFonts w:ascii="Calibri" w:hAnsi="Calibri"/>
          <w:sz w:val="22"/>
        </w:rPr>
        <w:t xml:space="preserve">• </w:t>
      </w:r>
      <w:r>
        <w:rPr>
          <w:rFonts w:ascii="Calibri" w:hAnsi="Calibri"/>
          <w:sz w:val="22"/>
        </w:rPr>
        <w:t>Ensure compliance with national data protection and security standards through robust role-based access control (RBAC), audit logging, and secure authentication mechanisms.</w:t>
      </w:r>
    </w:p>
    <w:p>
      <w:r>
        <w:t>FusionAIx will deliver this solution through a structured, collaborative, and agile implementation approach, leveraging our proprietary accelerators—fxAgentSDK, fxAIStudio, fxMockUpToView, and fxSmartDCO—to reduce time-to-value and ensure rapid, high-quality delivery.</w:t>
      </w:r>
    </w:p>
    <w:p>
      <w:r>
        <w:t>We commit to providing three (3) years of post go-live support and maintenance, including patching, upgrades, and incident resolution, backed by defined SLAs and a clear escalation framework.</w:t>
      </w:r>
    </w:p>
    <w:p>
      <w:r>
        <w:t>Our proposal reflects fusionAIx’s deep expertise, proven methodologies, and unwavering commitment to MTI’s success. We look forward to partnering with MTI to deliver a transformative BPM platform that will serve as the foundation for digital excellence across the organization.</w:t>
      </w:r>
    </w:p>
    <w:p>
      <w:pPr>
        <w:pStyle w:val="Heading2"/>
      </w:pPr>
      <w:r>
        <w:t>2. Understanding of MTI’s Objectives and Context</w:t>
      </w:r>
    </w:p>
    <w:p>
      <w:r>
        <w:t>We understand that MTI seeks to implement a unified, enterprise-grade BPM platform to streamline and automate its core business processes, enhance service delivery, and improve operational transparency. The initiative aligns with MTI’s broader digital transformation strategy to modernize its service delivery channels, improve citizen and business engagement, and ensure efficient internal operations.</w:t>
      </w:r>
    </w:p>
    <w:p>
      <w:pPr>
        <w:pStyle w:val="Heading3"/>
      </w:pPr>
      <w:r>
        <w:t>Key Objectives</w:t>
      </w:r>
    </w:p>
    <w:p>
      <w:pPr>
        <w:spacing w:after="120"/>
        <w:ind w:left="360" w:hanging="360"/>
      </w:pPr>
      <w:r>
        <w:rPr>
          <w:rFonts w:ascii="Calibri" w:hAnsi="Calibri"/>
          <w:sz w:val="22"/>
        </w:rPr>
        <w:t xml:space="preserve">• </w:t>
      </w:r>
      <w:r>
        <w:rPr>
          <w:rFonts w:ascii="Calibri" w:hAnsi="Calibri"/>
          <w:b/>
          <w:sz w:val="22"/>
        </w:rPr>
        <w:t>Process Digitization and Automation:</w:t>
      </w:r>
      <w:r>
        <w:rPr>
          <w:rFonts w:ascii="Calibri" w:hAnsi="Calibri"/>
          <w:sz w:val="22"/>
        </w:rPr>
        <w:t xml:space="preserve"> MTI aims to digitize and automate key processes such as business licensing and renewals, incentive and grants applications, and other administrative workflows.</w:t>
      </w:r>
    </w:p>
    <w:p>
      <w:pPr>
        <w:spacing w:after="120"/>
        <w:ind w:left="360" w:hanging="360"/>
      </w:pPr>
      <w:r>
        <w:rPr>
          <w:rFonts w:ascii="Calibri" w:hAnsi="Calibri"/>
          <w:sz w:val="22"/>
        </w:rPr>
        <w:t xml:space="preserve">• </w:t>
      </w:r>
      <w:r>
        <w:rPr>
          <w:rFonts w:ascii="Calibri" w:hAnsi="Calibri"/>
          <w:b/>
          <w:sz w:val="22"/>
        </w:rPr>
        <w:t>Unified Platform:</w:t>
      </w:r>
      <w:r>
        <w:rPr>
          <w:rFonts w:ascii="Calibri" w:hAnsi="Calibri"/>
          <w:sz w:val="22"/>
        </w:rPr>
        <w:t xml:space="preserve"> Establish a single BPM platform that supports both internal and external users, enabling consistent process execution, monitoring, and governance.</w:t>
      </w:r>
    </w:p>
    <w:p>
      <w:pPr>
        <w:spacing w:after="120"/>
        <w:ind w:left="360" w:hanging="360"/>
      </w:pPr>
      <w:r>
        <w:rPr>
          <w:rFonts w:ascii="Calibri" w:hAnsi="Calibri"/>
          <w:sz w:val="22"/>
        </w:rPr>
        <w:t xml:space="preserve">• </w:t>
      </w:r>
      <w:r>
        <w:rPr>
          <w:rFonts w:ascii="Calibri" w:hAnsi="Calibri"/>
          <w:b/>
          <w:sz w:val="22"/>
        </w:rPr>
        <w:t>Operational Efficiency:</w:t>
      </w:r>
      <w:r>
        <w:rPr>
          <w:rFonts w:ascii="Calibri" w:hAnsi="Calibri"/>
          <w:sz w:val="22"/>
        </w:rPr>
        <w:t xml:space="preserve"> Reduce manual interventions, eliminate redundancies, and improve turnaround times through straight-through processing and intelligent automation.</w:t>
      </w:r>
    </w:p>
    <w:p>
      <w:pPr>
        <w:spacing w:after="120"/>
        <w:ind w:left="360" w:hanging="360"/>
      </w:pPr>
      <w:r>
        <w:rPr>
          <w:rFonts w:ascii="Calibri" w:hAnsi="Calibri"/>
          <w:sz w:val="22"/>
        </w:rPr>
        <w:t xml:space="preserve">• </w:t>
      </w:r>
      <w:r>
        <w:rPr>
          <w:rFonts w:ascii="Calibri" w:hAnsi="Calibri"/>
          <w:b/>
          <w:sz w:val="22"/>
        </w:rPr>
        <w:t>Transparency and Accountability:</w:t>
      </w:r>
      <w:r>
        <w:rPr>
          <w:rFonts w:ascii="Calibri" w:hAnsi="Calibri"/>
          <w:sz w:val="22"/>
        </w:rPr>
        <w:t xml:space="preserve"> Enable real-time visibility into process performance, SLA adherence, and workload distribution through dashboards and analytics.</w:t>
      </w:r>
    </w:p>
    <w:p>
      <w:pPr>
        <w:spacing w:after="120"/>
        <w:ind w:left="360" w:hanging="360"/>
      </w:pPr>
      <w:r>
        <w:rPr>
          <w:rFonts w:ascii="Calibri" w:hAnsi="Calibri"/>
          <w:sz w:val="22"/>
        </w:rPr>
        <w:t xml:space="preserve">• </w:t>
      </w:r>
      <w:r>
        <w:rPr>
          <w:rFonts w:ascii="Calibri" w:hAnsi="Calibri"/>
          <w:b/>
          <w:sz w:val="22"/>
        </w:rPr>
        <w:t>Scalability and Flexibility:</w:t>
      </w:r>
      <w:r>
        <w:rPr>
          <w:rFonts w:ascii="Calibri" w:hAnsi="Calibri"/>
          <w:sz w:val="22"/>
        </w:rPr>
        <w:t xml:space="preserve"> Ensure the platform can scale to accommodate future processes, user growth, and evolving business needs.</w:t>
      </w:r>
    </w:p>
    <w:p>
      <w:pPr>
        <w:spacing w:after="120"/>
        <w:ind w:left="360" w:hanging="360"/>
      </w:pPr>
      <w:r>
        <w:rPr>
          <w:rFonts w:ascii="Calibri" w:hAnsi="Calibri"/>
          <w:sz w:val="22"/>
        </w:rPr>
        <w:t xml:space="preserve">• </w:t>
      </w:r>
      <w:r>
        <w:rPr>
          <w:rFonts w:ascii="Calibri" w:hAnsi="Calibri"/>
          <w:b/>
          <w:sz w:val="22"/>
        </w:rPr>
        <w:t>Compliance and Security:</w:t>
      </w:r>
      <w:r>
        <w:rPr>
          <w:rFonts w:ascii="Calibri" w:hAnsi="Calibri"/>
          <w:sz w:val="22"/>
        </w:rPr>
        <w:t xml:space="preserve"> Maintain compliance with national data protection regulations, ensure secure access control, and provide full auditability of user actions and process changes.</w:t>
      </w:r>
    </w:p>
    <w:p>
      <w:pPr>
        <w:pStyle w:val="Heading3"/>
      </w:pPr>
      <w:r>
        <w:t>Context and Challenges</w:t>
      </w:r>
    </w:p>
    <w:p>
      <w:r>
        <w:t>MTI currently operates multiple systems for licensing, grants, and administrative processes, leading to fragmented workflows, data silos, and inconsistent user experiences. The new BPM platform must integrate seamlessly with existing systems such as licensing databases, financial systems, and document repositories.</w:t>
      </w:r>
    </w:p>
    <w:p>
      <w:r>
        <w:t>FusionAIx understands that integration is a critical success factor. As per the user-provided Q&amp;A, integration uses REST APIs, plus event messaging where MTI supports it. API management uses a gateway for versioning, throttling, and schema validation. Data exchange follows canonical models, mapping rules, and audited transactions. This approach ensures secure, reliable, and traceable data exchange between the BPM platform and MTI’s existing systems.</w:t>
      </w:r>
    </w:p>
    <w:p>
      <w:r>
        <w:t>Additionally, MTI requires differentiated access for internal and external users. While the Q&amp;A did not provide a completed answer for external user access, fusionAIx’s standard approach includes secure authentication via MTI’s identity management system, session management with token-based authentication, and strict data segregation through role-based access control and tenant-aware data models.</w:t>
      </w:r>
    </w:p>
    <w:p>
      <w:r>
        <w:t>FusionAIx’s understanding of MTI’s objectives is rooted in our experience delivering similar BPM transformations for government and public sector clients, where compliance, scalability, and citizen-centric design are paramount.</w:t>
      </w:r>
    </w:p>
    <w:p>
      <w:pPr>
        <w:pStyle w:val="Heading2"/>
      </w:pPr>
      <w:r>
        <w:t>3. Proposed Solution Overview</w:t>
      </w:r>
    </w:p>
    <w:p>
      <w:r>
        <w:t>FusionAIx proposes to implement the Pega Constellation BPM platform, an enterprise-grade, low-code, model-driven solution designed for large-scale process automation and digital transformation. The platform supports both straight-through processing and human-centric workflows, enabling MTI to automate end-to-end processes while maintaining flexibility for human decision-making where required.</w:t>
      </w:r>
    </w:p>
    <w:p>
      <w:pPr>
        <w:pStyle w:val="Heading3"/>
      </w:pPr>
      <w:r>
        <w:t>Solution Architecture</w:t>
      </w:r>
    </w:p>
    <w:p>
      <w:r>
        <w:t>The proposed architecture is modular, scalable, and secure, supporting MTI’s current and future needs.</w:t>
      </w:r>
    </w:p>
    <w:p>
      <w:r>
        <w:drawing>
          <wp:inline xmlns:a="http://schemas.openxmlformats.org/drawingml/2006/main" xmlns:pic="http://schemas.openxmlformats.org/drawingml/2006/picture">
            <wp:extent cx="4572000" cy="2029466"/>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2029466"/>
                    </a:xfrm>
                    <a:prstGeom prst="rect"/>
                  </pic:spPr>
                </pic:pic>
              </a:graphicData>
            </a:graphic>
          </wp:inline>
        </w:drawing>
      </w:r>
    </w:p>
    <w:p>
      <w:r>
        <w:t>Caption: High-level architecture of the proposed BPM solution integrating with MTI’s existing systems.</w:t>
      </w:r>
    </w:p>
    <w:p>
      <w:pPr>
        <w:pStyle w:val="Heading3"/>
      </w:pPr>
      <w:r>
        <w:t>Major Components</w:t>
      </w:r>
    </w:p>
    <w:p>
      <w:pPr>
        <w:pStyle w:val="ListNumber"/>
      </w:pPr>
      <w:r>
        <w:rPr>
          <w:b/>
        </w:rPr>
        <w:t>Process Orchestration and Case Management:</w:t>
      </w:r>
      <w:r>
        <w:t xml:space="preserve"> Supports dynamic case management, ad-hoc tasks, attachments, and notes. Enables both structured and unstructured workflows.</w:t>
      </w:r>
    </w:p>
    <w:p>
      <w:pPr>
        <w:pStyle w:val="ListNumber"/>
      </w:pPr>
      <w:r>
        <w:rPr>
          <w:b/>
        </w:rPr>
        <w:t>Business Rules Engine:</w:t>
      </w:r>
      <w:r>
        <w:t xml:space="preserve"> Centralized rules management externalizes business policies from application code, allowing versioning, testing, and controlled deployment of rules.</w:t>
      </w:r>
    </w:p>
    <w:p>
      <w:pPr>
        <w:pStyle w:val="ListNumber"/>
      </w:pPr>
      <w:r>
        <w:rPr>
          <w:b/>
        </w:rPr>
        <w:t>Integration Layer:</w:t>
      </w:r>
      <w:r>
        <w:t xml:space="preserve"> Uses REST APIs and event-based messaging for seamless integration with MTI’s systems. API management includes versioning, throttling, and schema validation.</w:t>
      </w:r>
    </w:p>
    <w:p>
      <w:pPr>
        <w:pStyle w:val="ListNumber"/>
      </w:pPr>
      <w:r>
        <w:rPr>
          <w:b/>
        </w:rPr>
        <w:t>User Interfaces:</w:t>
      </w:r>
      <w:r>
        <w:t xml:space="preserve"> Web-based, responsive interfaces accessible via standard browsers. Includes guided steps, contextual help, and self-service portals for external users.</w:t>
      </w:r>
    </w:p>
    <w:p>
      <w:pPr>
        <w:pStyle w:val="ListNumber"/>
      </w:pPr>
      <w:r>
        <w:rPr>
          <w:b/>
        </w:rPr>
        <w:t>Analytics and Reporting:</w:t>
      </w:r>
      <w:r>
        <w:t xml:space="preserve"> Real-time dashboards for monitoring case volumes, workload distribution, SLA performance, and bottlenecks. Business users can create ad-hoc reports.</w:t>
      </w:r>
    </w:p>
    <w:p>
      <w:pPr>
        <w:pStyle w:val="ListNumber"/>
      </w:pPr>
      <w:r>
        <w:rPr>
          <w:b/>
        </w:rPr>
        <w:t>Security and Compliance:</w:t>
      </w:r>
      <w:r>
        <w:t xml:space="preserve"> Role-based access control, fine-grained permissions, and full audit logging ensure compliance with national data protection standards.</w:t>
      </w:r>
    </w:p>
    <w:p>
      <w:pPr>
        <w:pStyle w:val="Heading3"/>
      </w:pPr>
      <w:r>
        <w:t>Key Differentiators</w:t>
      </w:r>
    </w:p>
    <w:p>
      <w:pPr>
        <w:spacing w:after="120"/>
        <w:ind w:left="360" w:hanging="360"/>
      </w:pPr>
      <w:r>
        <w:rPr>
          <w:rFonts w:ascii="Calibri" w:hAnsi="Calibri"/>
          <w:sz w:val="22"/>
        </w:rPr>
        <w:t xml:space="preserve">• </w:t>
      </w:r>
      <w:r>
        <w:rPr>
          <w:rFonts w:ascii="Calibri" w:hAnsi="Calibri"/>
          <w:b/>
          <w:sz w:val="22"/>
        </w:rPr>
        <w:t>Low-Code Development:</w:t>
      </w:r>
      <w:r>
        <w:rPr>
          <w:rFonts w:ascii="Calibri" w:hAnsi="Calibri"/>
          <w:sz w:val="22"/>
        </w:rPr>
        <w:t xml:space="preserve"> Model-driven configuration minimizes custom coding, accelerating delivery and reducing maintenance overhead.</w:t>
      </w:r>
    </w:p>
    <w:p>
      <w:pPr>
        <w:spacing w:after="120"/>
        <w:ind w:left="360" w:hanging="360"/>
      </w:pPr>
      <w:r>
        <w:rPr>
          <w:rFonts w:ascii="Calibri" w:hAnsi="Calibri"/>
          <w:sz w:val="22"/>
        </w:rPr>
        <w:t xml:space="preserve">• </w:t>
      </w:r>
      <w:r>
        <w:rPr>
          <w:rFonts w:ascii="Calibri" w:hAnsi="Calibri"/>
          <w:b/>
          <w:sz w:val="22"/>
        </w:rPr>
        <w:t>AI-Driven Insights:</w:t>
      </w:r>
      <w:r>
        <w:rPr>
          <w:rFonts w:ascii="Calibri" w:hAnsi="Calibri"/>
          <w:sz w:val="22"/>
        </w:rPr>
        <w:t xml:space="preserve"> Integration with fusionAIx’s </w:t>
      </w:r>
      <w:r>
        <w:rPr>
          <w:rFonts w:ascii="Calibri" w:hAnsi="Calibri"/>
          <w:b/>
          <w:sz w:val="22"/>
        </w:rPr>
        <w:t>fxAIStudio</w:t>
      </w:r>
      <w:r>
        <w:rPr>
          <w:rFonts w:ascii="Calibri" w:hAnsi="Calibri"/>
          <w:sz w:val="22"/>
        </w:rPr>
        <w:t xml:space="preserve"> enables predictive analytics and intelligent decisioning.</w:t>
      </w:r>
    </w:p>
    <w:p>
      <w:pPr>
        <w:spacing w:after="120"/>
        <w:ind w:left="360" w:hanging="360"/>
      </w:pPr>
      <w:r>
        <w:rPr>
          <w:rFonts w:ascii="Calibri" w:hAnsi="Calibri"/>
          <w:sz w:val="22"/>
        </w:rPr>
        <w:t xml:space="preserve">• </w:t>
      </w:r>
      <w:r>
        <w:rPr>
          <w:rFonts w:ascii="Calibri" w:hAnsi="Calibri"/>
          <w:b/>
          <w:sz w:val="22"/>
        </w:rPr>
        <w:t>Accelerators:</w:t>
      </w:r>
      <w:r>
        <w:rPr>
          <w:rFonts w:ascii="Calibri" w:hAnsi="Calibri"/>
          <w:sz w:val="22"/>
        </w:rPr>
        <w:t xml:space="preserve"> Proprietary tools such as </w:t>
      </w:r>
      <w:r>
        <w:rPr>
          <w:rFonts w:ascii="Calibri" w:hAnsi="Calibri"/>
          <w:b/>
          <w:sz w:val="22"/>
        </w:rPr>
        <w:t>fxSmartDCO</w:t>
      </w:r>
      <w:r>
        <w:rPr>
          <w:rFonts w:ascii="Calibri" w:hAnsi="Calibri"/>
          <w:sz w:val="22"/>
        </w:rPr>
        <w:t xml:space="preserve"> (for rapid process discovery) and </w:t>
      </w:r>
      <w:r>
        <w:rPr>
          <w:rFonts w:ascii="Calibri" w:hAnsi="Calibri"/>
          <w:b/>
          <w:sz w:val="22"/>
        </w:rPr>
        <w:t>fxMockUpToView</w:t>
      </w:r>
      <w:r>
        <w:rPr>
          <w:rFonts w:ascii="Calibri" w:hAnsi="Calibri"/>
          <w:sz w:val="22"/>
        </w:rPr>
        <w:t xml:space="preserve"> (for UI prototyping) reduce time-to-value.</w:t>
      </w:r>
    </w:p>
    <w:p>
      <w:pPr>
        <w:spacing w:after="120"/>
        <w:ind w:left="360" w:hanging="360"/>
      </w:pPr>
      <w:r>
        <w:rPr>
          <w:rFonts w:ascii="Calibri" w:hAnsi="Calibri"/>
          <w:sz w:val="22"/>
        </w:rPr>
        <w:t xml:space="preserve">• </w:t>
      </w:r>
      <w:r>
        <w:rPr>
          <w:rFonts w:ascii="Calibri" w:hAnsi="Calibri"/>
          <w:b/>
          <w:sz w:val="22"/>
        </w:rPr>
        <w:t>Proven Platform:</w:t>
      </w:r>
      <w:r>
        <w:rPr>
          <w:rFonts w:ascii="Calibri" w:hAnsi="Calibri"/>
          <w:sz w:val="22"/>
        </w:rPr>
        <w:t xml:space="preserve"> Pega Constellation is a mature, enterprise-grade BPM suite used by leading government and enterprise clients worldwide.</w:t>
      </w:r>
    </w:p>
    <w:p>
      <w:pPr>
        <w:spacing w:after="120"/>
        <w:ind w:left="360" w:hanging="360"/>
      </w:pPr>
      <w:r>
        <w:rPr>
          <w:rFonts w:ascii="Calibri" w:hAnsi="Calibri"/>
          <w:sz w:val="22"/>
        </w:rPr>
        <w:t xml:space="preserve">• </w:t>
      </w:r>
      <w:r>
        <w:rPr>
          <w:rFonts w:ascii="Calibri" w:hAnsi="Calibri"/>
          <w:b/>
          <w:sz w:val="22"/>
        </w:rPr>
        <w:t>Scalability:</w:t>
      </w:r>
      <w:r>
        <w:rPr>
          <w:rFonts w:ascii="Calibri" w:hAnsi="Calibri"/>
          <w:sz w:val="22"/>
        </w:rPr>
        <w:t xml:space="preserve"> Supports high user volumes and concurrent transactions, suitable for MTI’s internal and external user base.</w:t>
      </w:r>
    </w:p>
    <w:p>
      <w:pPr>
        <w:pStyle w:val="Heading2"/>
      </w:pPr>
      <w:r>
        <w:t>4. Implementation Approach and Methodology</w:t>
      </w:r>
    </w:p>
    <w:p>
      <w:r>
        <w:t>FusionAIx follows a structured, agile, and collaborative implementation methodology designed to ensure rapid delivery, stakeholder alignment, and high-quality outcomes.</w:t>
      </w:r>
    </w:p>
    <w:p>
      <w:pPr>
        <w:pStyle w:val="Heading3"/>
      </w:pPr>
      <w:r>
        <w:t>Phase 1: Discovery and Requirements Refinement</w:t>
      </w:r>
    </w:p>
    <w:p>
      <w:pPr>
        <w:spacing w:after="120"/>
        <w:ind w:left="360" w:hanging="360"/>
      </w:pPr>
      <w:r>
        <w:rPr>
          <w:rFonts w:ascii="Calibri" w:hAnsi="Calibri"/>
          <w:sz w:val="22"/>
        </w:rPr>
        <w:t xml:space="preserve">• </w:t>
      </w:r>
      <w:r>
        <w:rPr>
          <w:rFonts w:ascii="Calibri" w:hAnsi="Calibri"/>
          <w:sz w:val="22"/>
        </w:rPr>
        <w:t>Conduct joint workshops with MTI stakeholders to refine process requirements.</w:t>
      </w:r>
    </w:p>
    <w:p>
      <w:pPr>
        <w:spacing w:after="120"/>
        <w:ind w:left="360" w:hanging="360"/>
      </w:pPr>
      <w:r>
        <w:rPr>
          <w:rFonts w:ascii="Calibri" w:hAnsi="Calibri"/>
          <w:sz w:val="22"/>
        </w:rPr>
        <w:t xml:space="preserve">• </w:t>
      </w:r>
      <w:r>
        <w:rPr>
          <w:rFonts w:ascii="Calibri" w:hAnsi="Calibri"/>
          <w:sz w:val="22"/>
        </w:rPr>
        <w:t xml:space="preserve">Use </w:t>
      </w:r>
      <w:r>
        <w:rPr>
          <w:rFonts w:ascii="Calibri" w:hAnsi="Calibri"/>
          <w:b/>
          <w:sz w:val="22"/>
        </w:rPr>
        <w:t>fxSmartDCO</w:t>
      </w:r>
      <w:r>
        <w:rPr>
          <w:rFonts w:ascii="Calibri" w:hAnsi="Calibri"/>
          <w:sz w:val="22"/>
        </w:rPr>
        <w:t xml:space="preserve"> to capture business rules, process flows, and user stories in real time.</w:t>
      </w:r>
    </w:p>
    <w:p>
      <w:pPr>
        <w:spacing w:after="120"/>
        <w:ind w:left="360" w:hanging="360"/>
      </w:pPr>
      <w:r>
        <w:rPr>
          <w:rFonts w:ascii="Calibri" w:hAnsi="Calibri"/>
          <w:sz w:val="22"/>
        </w:rPr>
        <w:t xml:space="preserve">• </w:t>
      </w:r>
      <w:r>
        <w:rPr>
          <w:rFonts w:ascii="Calibri" w:hAnsi="Calibri"/>
          <w:sz w:val="22"/>
        </w:rPr>
        <w:t>Define integration points and data exchange models (REST APIs, event messaging).</w:t>
      </w:r>
    </w:p>
    <w:p>
      <w:pPr>
        <w:pStyle w:val="Heading3"/>
      </w:pPr>
      <w:r>
        <w:t>Phase 2: Solution Design</w:t>
      </w:r>
    </w:p>
    <w:p>
      <w:pPr>
        <w:spacing w:after="120"/>
        <w:ind w:left="360" w:hanging="360"/>
      </w:pPr>
      <w:r>
        <w:rPr>
          <w:rFonts w:ascii="Calibri" w:hAnsi="Calibri"/>
          <w:sz w:val="22"/>
        </w:rPr>
        <w:t xml:space="preserve">• </w:t>
      </w:r>
      <w:r>
        <w:rPr>
          <w:rFonts w:ascii="Calibri" w:hAnsi="Calibri"/>
          <w:sz w:val="22"/>
        </w:rPr>
        <w:t>Develop process models and case types using Pega’s model-driven design tools.</w:t>
      </w:r>
    </w:p>
    <w:p>
      <w:pPr>
        <w:spacing w:after="120"/>
        <w:ind w:left="360" w:hanging="360"/>
      </w:pPr>
      <w:r>
        <w:rPr>
          <w:rFonts w:ascii="Calibri" w:hAnsi="Calibri"/>
          <w:sz w:val="22"/>
        </w:rPr>
        <w:t xml:space="preserve">• </w:t>
      </w:r>
      <w:r>
        <w:rPr>
          <w:rFonts w:ascii="Calibri" w:hAnsi="Calibri"/>
          <w:sz w:val="22"/>
        </w:rPr>
        <w:t>Configure business rules, SLAs, and escalation mechanisms.</w:t>
      </w:r>
    </w:p>
    <w:p>
      <w:pPr>
        <w:spacing w:after="120"/>
        <w:ind w:left="360" w:hanging="360"/>
      </w:pPr>
      <w:r>
        <w:rPr>
          <w:rFonts w:ascii="Calibri" w:hAnsi="Calibri"/>
          <w:sz w:val="22"/>
        </w:rPr>
        <w:t xml:space="preserve">• </w:t>
      </w:r>
      <w:r>
        <w:rPr>
          <w:rFonts w:ascii="Calibri" w:hAnsi="Calibri"/>
          <w:sz w:val="22"/>
        </w:rPr>
        <w:t>Design responsive user interfaces for internal and external users.</w:t>
      </w:r>
    </w:p>
    <w:p>
      <w:pPr>
        <w:spacing w:after="120"/>
        <w:ind w:left="360" w:hanging="360"/>
      </w:pPr>
      <w:r>
        <w:rPr>
          <w:rFonts w:ascii="Calibri" w:hAnsi="Calibri"/>
          <w:sz w:val="22"/>
        </w:rPr>
        <w:t xml:space="preserve">• </w:t>
      </w:r>
      <w:r>
        <w:rPr>
          <w:rFonts w:ascii="Calibri" w:hAnsi="Calibri"/>
          <w:sz w:val="22"/>
        </w:rPr>
        <w:t>Define security roles, access controls, and audit requirements.</w:t>
      </w:r>
    </w:p>
    <w:p>
      <w:pPr>
        <w:pStyle w:val="Heading3"/>
      </w:pPr>
      <w:r>
        <w:t>Phase 3: Build and Configuration</w:t>
      </w:r>
    </w:p>
    <w:p>
      <w:pPr>
        <w:spacing w:after="120"/>
        <w:ind w:left="360" w:hanging="360"/>
      </w:pPr>
      <w:r>
        <w:rPr>
          <w:rFonts w:ascii="Calibri" w:hAnsi="Calibri"/>
          <w:sz w:val="22"/>
        </w:rPr>
        <w:t xml:space="preserve">• </w:t>
      </w:r>
      <w:r>
        <w:rPr>
          <w:rFonts w:ascii="Calibri" w:hAnsi="Calibri"/>
          <w:sz w:val="22"/>
        </w:rPr>
        <w:t>Configure workflows, forms, and UI components using low-code tools.</w:t>
      </w:r>
    </w:p>
    <w:p>
      <w:pPr>
        <w:spacing w:after="120"/>
        <w:ind w:left="360" w:hanging="360"/>
      </w:pPr>
      <w:r>
        <w:rPr>
          <w:rFonts w:ascii="Calibri" w:hAnsi="Calibri"/>
          <w:sz w:val="22"/>
        </w:rPr>
        <w:t xml:space="preserve">• </w:t>
      </w:r>
      <w:r>
        <w:rPr>
          <w:rFonts w:ascii="Calibri" w:hAnsi="Calibri"/>
          <w:sz w:val="22"/>
        </w:rPr>
        <w:t>Implement integrations using REST APIs and event-based messaging.</w:t>
      </w:r>
    </w:p>
    <w:p>
      <w:pPr>
        <w:spacing w:after="120"/>
        <w:ind w:left="360" w:hanging="360"/>
      </w:pPr>
      <w:r>
        <w:rPr>
          <w:rFonts w:ascii="Calibri" w:hAnsi="Calibri"/>
          <w:sz w:val="22"/>
        </w:rPr>
        <w:t xml:space="preserve">• </w:t>
      </w:r>
      <w:r>
        <w:rPr>
          <w:rFonts w:ascii="Calibri" w:hAnsi="Calibri"/>
          <w:sz w:val="22"/>
        </w:rPr>
        <w:t>Configure dashboards and reports for real-time monitoring.</w:t>
      </w:r>
    </w:p>
    <w:p>
      <w:pPr>
        <w:spacing w:after="120"/>
        <w:ind w:left="360" w:hanging="360"/>
      </w:pPr>
      <w:r>
        <w:rPr>
          <w:rFonts w:ascii="Calibri" w:hAnsi="Calibri"/>
          <w:sz w:val="22"/>
        </w:rPr>
        <w:t xml:space="preserve">• </w:t>
      </w:r>
      <w:r>
        <w:rPr>
          <w:rFonts w:ascii="Calibri" w:hAnsi="Calibri"/>
          <w:sz w:val="22"/>
        </w:rPr>
        <w:t>Conduct iterative demos with MTI stakeholders for feedback and validation.</w:t>
      </w:r>
    </w:p>
    <w:p>
      <w:pPr>
        <w:pStyle w:val="Heading3"/>
      </w:pPr>
      <w:r>
        <w:t>Phase 4: Testing</w:t>
      </w:r>
    </w:p>
    <w:p>
      <w:pPr>
        <w:spacing w:after="120"/>
        <w:ind w:left="360" w:hanging="360"/>
      </w:pPr>
      <w:r>
        <w:rPr>
          <w:rFonts w:ascii="Calibri" w:hAnsi="Calibri"/>
          <w:sz w:val="22"/>
        </w:rPr>
        <w:t xml:space="preserve">• </w:t>
      </w:r>
      <w:r>
        <w:rPr>
          <w:rFonts w:ascii="Calibri" w:hAnsi="Calibri"/>
          <w:sz w:val="22"/>
        </w:rPr>
        <w:t>Perform system and integration testing (SIT), performance testing, and security testing.</w:t>
      </w:r>
    </w:p>
    <w:p>
      <w:pPr>
        <w:spacing w:after="120"/>
        <w:ind w:left="360" w:hanging="360"/>
      </w:pPr>
      <w:r>
        <w:rPr>
          <w:rFonts w:ascii="Calibri" w:hAnsi="Calibri"/>
          <w:sz w:val="22"/>
        </w:rPr>
        <w:t xml:space="preserve">• </w:t>
      </w:r>
      <w:r>
        <w:rPr>
          <w:rFonts w:ascii="Calibri" w:hAnsi="Calibri"/>
          <w:sz w:val="22"/>
        </w:rPr>
        <w:t>Support user acceptance testing (UAT) with environment readiness, defect triage, and release sign-off.</w:t>
      </w:r>
    </w:p>
    <w:p>
      <w:pPr>
        <w:pStyle w:val="Heading3"/>
      </w:pPr>
      <w:r>
        <w:t>Phase 5: Training and Change Enablement</w:t>
      </w:r>
    </w:p>
    <w:p>
      <w:pPr>
        <w:spacing w:after="120"/>
        <w:ind w:left="360" w:hanging="360"/>
      </w:pPr>
      <w:r>
        <w:rPr>
          <w:rFonts w:ascii="Calibri" w:hAnsi="Calibri"/>
          <w:sz w:val="22"/>
        </w:rPr>
        <w:t xml:space="preserve">• </w:t>
      </w:r>
      <w:r>
        <w:rPr>
          <w:rFonts w:ascii="Calibri" w:hAnsi="Calibri"/>
          <w:sz w:val="22"/>
        </w:rPr>
        <w:t>Deliver training for system administrators, business power users, and end users.</w:t>
      </w:r>
    </w:p>
    <w:p>
      <w:pPr>
        <w:spacing w:after="120"/>
        <w:ind w:left="360" w:hanging="360"/>
      </w:pPr>
      <w:r>
        <w:rPr>
          <w:rFonts w:ascii="Calibri" w:hAnsi="Calibri"/>
          <w:sz w:val="22"/>
        </w:rPr>
        <w:t xml:space="preserve">• </w:t>
      </w:r>
      <w:r>
        <w:rPr>
          <w:rFonts w:ascii="Calibri" w:hAnsi="Calibri"/>
          <w:sz w:val="22"/>
        </w:rPr>
        <w:t>Provide training materials, user guides, and job aids.</w:t>
      </w:r>
    </w:p>
    <w:p>
      <w:pPr>
        <w:spacing w:after="120"/>
        <w:ind w:left="360" w:hanging="360"/>
      </w:pPr>
      <w:r>
        <w:rPr>
          <w:rFonts w:ascii="Calibri" w:hAnsi="Calibri"/>
          <w:sz w:val="22"/>
        </w:rPr>
        <w:t xml:space="preserve">• </w:t>
      </w:r>
      <w:r>
        <w:rPr>
          <w:rFonts w:ascii="Calibri" w:hAnsi="Calibri"/>
          <w:sz w:val="22"/>
        </w:rPr>
        <w:t>Support MTI’s change management and communication activities.</w:t>
      </w:r>
    </w:p>
    <w:p>
      <w:pPr>
        <w:pStyle w:val="Heading3"/>
      </w:pPr>
      <w:r>
        <w:t>Phase 6: Go-Live and Hypercare</w:t>
      </w:r>
    </w:p>
    <w:p>
      <w:pPr>
        <w:spacing w:after="120"/>
        <w:ind w:left="360" w:hanging="360"/>
      </w:pPr>
      <w:r>
        <w:rPr>
          <w:rFonts w:ascii="Calibri" w:hAnsi="Calibri"/>
          <w:sz w:val="22"/>
        </w:rPr>
        <w:t xml:space="preserve">• </w:t>
      </w:r>
      <w:r>
        <w:rPr>
          <w:rFonts w:ascii="Calibri" w:hAnsi="Calibri"/>
          <w:sz w:val="22"/>
        </w:rPr>
        <w:t>Execute cutover and go-live activities.</w:t>
      </w:r>
    </w:p>
    <w:p>
      <w:pPr>
        <w:spacing w:after="120"/>
        <w:ind w:left="360" w:hanging="360"/>
      </w:pPr>
      <w:r>
        <w:rPr>
          <w:rFonts w:ascii="Calibri" w:hAnsi="Calibri"/>
          <w:sz w:val="22"/>
        </w:rPr>
        <w:t xml:space="preserve">• </w:t>
      </w:r>
      <w:r>
        <w:rPr>
          <w:rFonts w:ascii="Calibri" w:hAnsi="Calibri"/>
          <w:sz w:val="22"/>
        </w:rPr>
        <w:t>Monitor system performance and stabilize operations.</w:t>
      </w:r>
    </w:p>
    <w:p>
      <w:pPr>
        <w:spacing w:after="120"/>
        <w:ind w:left="360" w:hanging="360"/>
      </w:pPr>
      <w:r>
        <w:rPr>
          <w:rFonts w:ascii="Calibri" w:hAnsi="Calibri"/>
          <w:sz w:val="22"/>
        </w:rPr>
        <w:t xml:space="preserve">• </w:t>
      </w:r>
      <w:r>
        <w:rPr>
          <w:rFonts w:ascii="Calibri" w:hAnsi="Calibri"/>
          <w:sz w:val="22"/>
        </w:rPr>
        <w:t>Transition to steady-state support after hypercare.</w:t>
      </w:r>
    </w:p>
    <w:p>
      <w:pPr>
        <w:pStyle w:val="Heading3"/>
      </w:pPr>
      <w:r>
        <w:t>Phase 7: Continuous Improvement</w:t>
      </w:r>
    </w:p>
    <w:p>
      <w:pPr>
        <w:spacing w:after="120"/>
        <w:ind w:left="360" w:hanging="360"/>
      </w:pPr>
      <w:r>
        <w:rPr>
          <w:rFonts w:ascii="Calibri" w:hAnsi="Calibri"/>
          <w:sz w:val="22"/>
        </w:rPr>
        <w:t xml:space="preserve">• </w:t>
      </w:r>
      <w:r>
        <w:rPr>
          <w:rFonts w:ascii="Calibri" w:hAnsi="Calibri"/>
          <w:sz w:val="22"/>
        </w:rPr>
        <w:t>Conduct post-implementation reviews.</w:t>
      </w:r>
    </w:p>
    <w:p>
      <w:pPr>
        <w:spacing w:after="120"/>
        <w:ind w:left="360" w:hanging="360"/>
      </w:pPr>
      <w:r>
        <w:rPr>
          <w:rFonts w:ascii="Calibri" w:hAnsi="Calibri"/>
          <w:sz w:val="22"/>
        </w:rPr>
        <w:t xml:space="preserve">• </w:t>
      </w:r>
      <w:r>
        <w:rPr>
          <w:rFonts w:ascii="Calibri" w:hAnsi="Calibri"/>
          <w:sz w:val="22"/>
        </w:rPr>
        <w:t>Analyze KPIs and SLAs for continuous improvement.</w:t>
      </w:r>
    </w:p>
    <w:p>
      <w:pPr>
        <w:spacing w:after="120"/>
        <w:ind w:left="360" w:hanging="360"/>
      </w:pPr>
      <w:r>
        <w:rPr>
          <w:rFonts w:ascii="Calibri" w:hAnsi="Calibri"/>
          <w:sz w:val="22"/>
        </w:rPr>
        <w:t xml:space="preserve">• </w:t>
      </w:r>
      <w:r>
        <w:rPr>
          <w:rFonts w:ascii="Calibri" w:hAnsi="Calibri"/>
          <w:sz w:val="22"/>
        </w:rPr>
        <w:t>Maintain an enhancement backlog for iterative releases.</w:t>
      </w:r>
    </w:p>
    <w:p>
      <w:pPr>
        <w:pStyle w:val="Heading2"/>
      </w:pPr>
      <w:r>
        <w:t>5. Project Plan and Timelines</w:t>
      </w:r>
    </w:p>
    <w:p>
      <w:r>
        <w:t>The following baseline timeline assumes an initial implementation covering four key processes (business licensing, renewals, incentives, and grants). The timeline will be refined upon confirmation of MTI’s priorities and user volumes.</w:t>
      </w:r>
    </w:p>
    <w:p>
      <w:r>
        <w:t>| Phase | Duration | Key Activities | Deliverables |</w:t>
      </w:r>
    </w:p>
    <w:p>
      <w:r>
        <w:t>|-------|-----------|----------------|---------------|</w:t>
      </w:r>
    </w:p>
    <w:p>
      <w:r>
        <w:t>| Discovery &amp; Requirements | 4 weeks | Workshops, process mapping, integration design | BRD, process models |</w:t>
      </w:r>
    </w:p>
    <w:p>
      <w:r>
        <w:t>| Solution Design | 6 weeks | Case design, UI mockups, rule configuration | Design documents |</w:t>
      </w:r>
    </w:p>
    <w:p>
      <w:r>
        <w:t>| Build &amp; Configuration | 10 weeks | Workflow configuration, integration setup | Configured solution |</w:t>
      </w:r>
    </w:p>
    <w:p>
      <w:r>
        <w:t>| Testing | 6 weeks | SIT, UAT, performance testing | Test reports, sign-offs |</w:t>
      </w:r>
    </w:p>
    <w:p>
      <w:r>
        <w:t>| Training &amp; Go-Live | 4 weeks | Training, cutover, hypercare | Go-live readiness |</w:t>
      </w:r>
    </w:p>
    <w:p>
      <w:r>
        <w:t>| Support Transition | 2 weeks | Handover to support | Support plan |</w:t>
      </w:r>
    </w:p>
    <w:p>
      <w:r>
        <w:t>Total estimated duration: 32 weeks (8 months) for initial rollout.</w:t>
      </w:r>
    </w:p>
    <w:p>
      <w:pPr>
        <w:pStyle w:val="Heading2"/>
      </w:pPr>
      <w:r>
        <w:t>6. Proposed Team Structure</w:t>
      </w:r>
    </w:p>
    <w:p>
      <w:r>
        <w:t>FusionAIx will deploy a multidisciplinary team combining BPM architects, developers, integration specialists, and change management experts.</w:t>
      </w:r>
    </w:p>
    <w:p>
      <w:r>
        <w:t>| Role | Responsibility |</w:t>
      </w:r>
    </w:p>
    <w:p>
      <w:r>
        <w:t>|------|----------------|</w:t>
      </w:r>
    </w:p>
    <w:p>
      <w:r>
        <w:t>| Program Manager | Overall project governance, stakeholder management |</w:t>
      </w:r>
    </w:p>
    <w:p>
      <w:r>
        <w:t>| Solution Architect | End-to-end solution design, integration architecture |</w:t>
      </w:r>
    </w:p>
    <w:p>
      <w:r>
        <w:t>| BPM Lead | Process modeling, workflow configuration |</w:t>
      </w:r>
    </w:p>
    <w:p>
      <w:r>
        <w:t>| Integration Specialist | API and data exchange implementation |</w:t>
      </w:r>
    </w:p>
    <w:p>
      <w:r>
        <w:t>| QA Lead | Test planning, execution, and defect management |</w:t>
      </w:r>
    </w:p>
    <w:p>
      <w:r>
        <w:t>| Training Lead | Training delivery and materials development |</w:t>
      </w:r>
    </w:p>
    <w:p>
      <w:r>
        <w:t>| Support Lead | Post go-live support and SLA management |</w:t>
      </w:r>
    </w:p>
    <w:p>
      <w:r>
        <w:t>Note: Detailed CVs of key personnel will be provided in the final submission package.</w:t>
      </w:r>
    </w:p>
    <w:p>
      <w:pPr>
        <w:pStyle w:val="Heading2"/>
      </w:pPr>
      <w:r>
        <w:t>7. Functional and Technical Compliance Matrix</w:t>
      </w:r>
    </w:p>
    <w:p>
      <w:r>
        <w:t>| ID | Requirement | Compliance | Response / How We Meet It |</w:t>
      </w:r>
    </w:p>
    <w:p>
      <w:r>
        <w:t>|----|--------------|-------------|----------------------------|</w:t>
      </w:r>
    </w:p>
    <w:p>
      <w:r>
        <w:t>| 5.1.a | Straight-through + human-centric workflows | Compliant | Workflow engine supports automated steps (validations, integrations, rules) and human tasks (review/approve) in one end-to-end process. |</w:t>
      </w:r>
    </w:p>
    <w:p>
      <w:r>
        <w:t>| 5.1.b | Dynamic case management | Compliant | Supports ad-hoc tasks, attachments, and notes within case context. |</w:t>
      </w:r>
    </w:p>
    <w:p>
      <w:r>
        <w:t>| 5.1.c | Centralized rules management | Compliant | Business rules externalized from code, versioned, tested, and deployed via governance. |</w:t>
      </w:r>
    </w:p>
    <w:p>
      <w:r>
        <w:t>| 5.1.d | Web-based responsive UI | Compliant | Accessible via standard browsers; supports guided steps and contextual help. |</w:t>
      </w:r>
    </w:p>
    <w:p>
      <w:r>
        <w:t>| 5.1.e | SLA definition and monitoring | Compliant | SLAs configurable per process; automated escalations and notifications. |</w:t>
      </w:r>
    </w:p>
    <w:p>
      <w:r>
        <w:t>| 5.1.f | Integration mechanisms | Compliant | REST APIs and event-based integration; API gateway for versioning, throttling, schema validation. |</w:t>
      </w:r>
    </w:p>
    <w:p>
      <w:r>
        <w:t>| 5.1.g | Security and audit | Compliant | RBAC, fine-grained permissions, full audit logging. |</w:t>
      </w:r>
    </w:p>
    <w:p>
      <w:r>
        <w:t>| 5.1.h | Training and change management | Compliant | Comprehensive training for admins, power users, and end users. |</w:t>
      </w:r>
    </w:p>
    <w:p>
      <w:r>
        <w:t>| 5.1.i | Support and maintenance | Compliant | 3 years of post go-live support with defined SLAs. |</w:t>
      </w:r>
    </w:p>
    <w:p>
      <w:pPr>
        <w:pStyle w:val="Heading2"/>
      </w:pPr>
      <w:r>
        <w:t>8. Assumptions, Dependencies, and Risks</w:t>
      </w:r>
    </w:p>
    <w:p>
      <w:pPr>
        <w:pStyle w:val="Heading3"/>
      </w:pPr>
      <w:r>
        <w:t>Assumptions</w:t>
      </w:r>
    </w:p>
    <w:p>
      <w:pPr>
        <w:spacing w:after="120"/>
        <w:ind w:left="360" w:hanging="360"/>
      </w:pPr>
      <w:r>
        <w:rPr>
          <w:rFonts w:ascii="Calibri" w:hAnsi="Calibri"/>
          <w:sz w:val="22"/>
        </w:rPr>
        <w:t xml:space="preserve">• </w:t>
      </w:r>
      <w:r>
        <w:rPr>
          <w:rFonts w:ascii="Calibri" w:hAnsi="Calibri"/>
          <w:sz w:val="22"/>
        </w:rPr>
        <w:t>MTI will provide access to existing systems and APIs for integration.</w:t>
      </w:r>
    </w:p>
    <w:p>
      <w:pPr>
        <w:spacing w:after="120"/>
        <w:ind w:left="360" w:hanging="360"/>
      </w:pPr>
      <w:r>
        <w:rPr>
          <w:rFonts w:ascii="Calibri" w:hAnsi="Calibri"/>
          <w:sz w:val="22"/>
        </w:rPr>
        <w:t xml:space="preserve">• </w:t>
      </w:r>
      <w:r>
        <w:rPr>
          <w:rFonts w:ascii="Calibri" w:hAnsi="Calibri"/>
          <w:sz w:val="22"/>
        </w:rPr>
        <w:t>MTI will designate process owners and subject matter experts for workshops.</w:t>
      </w:r>
    </w:p>
    <w:p>
      <w:pPr>
        <w:spacing w:after="120"/>
        <w:ind w:left="360" w:hanging="360"/>
      </w:pPr>
      <w:r>
        <w:rPr>
          <w:rFonts w:ascii="Calibri" w:hAnsi="Calibri"/>
          <w:sz w:val="22"/>
        </w:rPr>
        <w:t xml:space="preserve">• </w:t>
      </w:r>
      <w:r>
        <w:rPr>
          <w:rFonts w:ascii="Calibri" w:hAnsi="Calibri"/>
          <w:sz w:val="22"/>
        </w:rPr>
        <w:t>Infrastructure (on-premises or cloud) will be provisioned prior to build phase.</w:t>
      </w:r>
    </w:p>
    <w:p>
      <w:pPr>
        <w:pStyle w:val="Heading3"/>
      </w:pPr>
      <w:r>
        <w:t>Dependencies</w:t>
      </w:r>
    </w:p>
    <w:p>
      <w:pPr>
        <w:spacing w:after="120"/>
        <w:ind w:left="360" w:hanging="360"/>
      </w:pPr>
      <w:r>
        <w:rPr>
          <w:rFonts w:ascii="Calibri" w:hAnsi="Calibri"/>
          <w:sz w:val="22"/>
        </w:rPr>
        <w:t xml:space="preserve">• </w:t>
      </w:r>
      <w:r>
        <w:rPr>
          <w:rFonts w:ascii="Calibri" w:hAnsi="Calibri"/>
          <w:sz w:val="22"/>
        </w:rPr>
        <w:t>Availability of MTI’s identity management system for authentication.</w:t>
      </w:r>
    </w:p>
    <w:p>
      <w:pPr>
        <w:spacing w:after="120"/>
        <w:ind w:left="360" w:hanging="360"/>
      </w:pPr>
      <w:r>
        <w:rPr>
          <w:rFonts w:ascii="Calibri" w:hAnsi="Calibri"/>
          <w:sz w:val="22"/>
        </w:rPr>
        <w:t xml:space="preserve">• </w:t>
      </w:r>
      <w:r>
        <w:rPr>
          <w:rFonts w:ascii="Calibri" w:hAnsi="Calibri"/>
          <w:sz w:val="22"/>
        </w:rPr>
        <w:t>Timely approval of design documents and test results.</w:t>
      </w:r>
    </w:p>
    <w:p>
      <w:pPr>
        <w:spacing w:after="120"/>
        <w:ind w:left="360" w:hanging="360"/>
      </w:pPr>
      <w:r>
        <w:rPr>
          <w:rFonts w:ascii="Calibri" w:hAnsi="Calibri"/>
          <w:sz w:val="22"/>
        </w:rPr>
        <w:t xml:space="preserve">• </w:t>
      </w:r>
      <w:r>
        <w:rPr>
          <w:rFonts w:ascii="Calibri" w:hAnsi="Calibri"/>
          <w:sz w:val="22"/>
        </w:rPr>
        <w:t>Access to test data and environments.</w:t>
      </w:r>
    </w:p>
    <w:p>
      <w:pPr>
        <w:pStyle w:val="Heading3"/>
      </w:pPr>
      <w:r>
        <w:t>Risks and Mitigation</w:t>
      </w:r>
    </w:p>
    <w:p>
      <w:r>
        <w:t>| Risk | Impact | Mitigation |</w:t>
      </w:r>
    </w:p>
    <w:p>
      <w:r>
        <w:t>|------|---------|-------------|</w:t>
      </w:r>
    </w:p>
    <w:p>
      <w:r>
        <w:t>| Integration delays | High | Early engagement with MTI IT; use of mock APIs for testing. |</w:t>
      </w:r>
    </w:p>
    <w:p>
      <w:r>
        <w:t>| Scope changes | Medium | Change control process and impact assessment. |</w:t>
      </w:r>
    </w:p>
    <w:p>
      <w:r>
        <w:t>| User adoption challenges | Medium | Comprehensive training and change management. |</w:t>
      </w:r>
    </w:p>
    <w:p>
      <w:r>
        <w:t>| Performance issues | Low | Performance testing and tuning during SIT. |</w:t>
      </w:r>
    </w:p>
    <w:p>
      <w:pPr>
        <w:pStyle w:val="Heading2"/>
      </w:pPr>
      <w:r>
        <w:t>9. Support and Maintenance Model</w:t>
      </w:r>
    </w:p>
    <w:p>
      <w:r>
        <w:t>FusionAIx will provide three (3) years of post go-live support and maintenance, including:</w:t>
      </w:r>
    </w:p>
    <w:p>
      <w:pPr>
        <w:spacing w:after="120"/>
        <w:ind w:left="360" w:hanging="360"/>
      </w:pPr>
      <w:r>
        <w:rPr>
          <w:rFonts w:ascii="Calibri" w:hAnsi="Calibri"/>
          <w:sz w:val="22"/>
        </w:rPr>
        <w:t xml:space="preserve">• </w:t>
      </w:r>
      <w:r>
        <w:rPr>
          <w:rFonts w:ascii="Calibri" w:hAnsi="Calibri"/>
          <w:b/>
          <w:sz w:val="22"/>
        </w:rPr>
        <w:t>L1 (Helpdesk):</w:t>
      </w:r>
      <w:r>
        <w:rPr>
          <w:rFonts w:ascii="Calibri" w:hAnsi="Calibri"/>
          <w:sz w:val="22"/>
        </w:rPr>
        <w:t xml:space="preserve"> User access, configuration issues, minor fixes.</w:t>
      </w:r>
    </w:p>
    <w:p>
      <w:pPr>
        <w:spacing w:after="120"/>
        <w:ind w:left="360" w:hanging="360"/>
      </w:pPr>
      <w:r>
        <w:rPr>
          <w:rFonts w:ascii="Calibri" w:hAnsi="Calibri"/>
          <w:sz w:val="22"/>
        </w:rPr>
        <w:t xml:space="preserve">• </w:t>
      </w:r>
      <w:r>
        <w:rPr>
          <w:rFonts w:ascii="Calibri" w:hAnsi="Calibri"/>
          <w:b/>
          <w:sz w:val="22"/>
        </w:rPr>
        <w:t>L2 (Application Support):</w:t>
      </w:r>
      <w:r>
        <w:rPr>
          <w:rFonts w:ascii="Calibri" w:hAnsi="Calibri"/>
          <w:sz w:val="22"/>
        </w:rPr>
        <w:t xml:space="preserve"> Functional issues, workflow errors, integration troubleshooting.</w:t>
      </w:r>
    </w:p>
    <w:p>
      <w:pPr>
        <w:spacing w:after="120"/>
        <w:ind w:left="360" w:hanging="360"/>
      </w:pPr>
      <w:r>
        <w:rPr>
          <w:rFonts w:ascii="Calibri" w:hAnsi="Calibri"/>
          <w:sz w:val="22"/>
        </w:rPr>
        <w:t xml:space="preserve">• </w:t>
      </w:r>
      <w:r>
        <w:rPr>
          <w:rFonts w:ascii="Calibri" w:hAnsi="Calibri"/>
          <w:b/>
          <w:sz w:val="22"/>
        </w:rPr>
        <w:t>L3 (Engineering/Product):</w:t>
      </w:r>
      <w:r>
        <w:rPr>
          <w:rFonts w:ascii="Calibri" w:hAnsi="Calibri"/>
          <w:sz w:val="22"/>
        </w:rPr>
        <w:t xml:space="preserve"> Complex defects, performance tuning, upgrades.</w:t>
      </w:r>
    </w:p>
    <w:p>
      <w:pPr>
        <w:pStyle w:val="Heading3"/>
      </w:pPr>
      <w:r>
        <w:t>SLA Targets</w:t>
      </w:r>
    </w:p>
    <w:p>
      <w:r>
        <w:t>| Severity | Response Time | Resolution Time |</w:t>
      </w:r>
    </w:p>
    <w:p>
      <w:r>
        <w:t>|-----------|----------------|----------------|</w:t>
      </w:r>
    </w:p>
    <w:p>
      <w:r>
        <w:t>| Sev 1 (Critical) | 1 hour | 4 hours |</w:t>
      </w:r>
    </w:p>
    <w:p>
      <w:r>
        <w:t>| Sev 2 (High) | 4 hours | 1 business day |</w:t>
      </w:r>
    </w:p>
    <w:p>
      <w:r>
        <w:t>| Sev 3 (Medium) | 1 business day | 3 business days |</w:t>
      </w:r>
    </w:p>
    <w:p>
      <w:r>
        <w:t>| Sev 4 (Low) | 2 business days | 5 business days |</w:t>
      </w:r>
    </w:p>
    <w:p>
      <w:pPr>
        <w:pStyle w:val="Heading3"/>
      </w:pPr>
      <w:r>
        <w:t>Escalation and Governance</w:t>
      </w:r>
    </w:p>
    <w:p>
      <w:pPr>
        <w:spacing w:after="120"/>
        <w:ind w:left="360" w:hanging="360"/>
      </w:pPr>
      <w:r>
        <w:rPr>
          <w:rFonts w:ascii="Calibri" w:hAnsi="Calibri"/>
          <w:sz w:val="22"/>
        </w:rPr>
        <w:t xml:space="preserve">• </w:t>
      </w:r>
      <w:r>
        <w:rPr>
          <w:rFonts w:ascii="Calibri" w:hAnsi="Calibri"/>
          <w:sz w:val="22"/>
        </w:rPr>
        <w:t>Incident manager assigned for Sev 1/2 issues.</w:t>
      </w:r>
    </w:p>
    <w:p>
      <w:pPr>
        <w:spacing w:after="120"/>
        <w:ind w:left="360" w:hanging="360"/>
      </w:pPr>
      <w:r>
        <w:rPr>
          <w:rFonts w:ascii="Calibri" w:hAnsi="Calibri"/>
          <w:sz w:val="22"/>
        </w:rPr>
        <w:t xml:space="preserve">• </w:t>
      </w:r>
      <w:r>
        <w:rPr>
          <w:rFonts w:ascii="Calibri" w:hAnsi="Calibri"/>
          <w:sz w:val="22"/>
        </w:rPr>
        <w:t>Escalation ladder: Support Lead → Program Manager → Executive Sponsor.</w:t>
      </w:r>
    </w:p>
    <w:p>
      <w:pPr>
        <w:spacing w:after="120"/>
        <w:ind w:left="360" w:hanging="360"/>
      </w:pPr>
      <w:r>
        <w:rPr>
          <w:rFonts w:ascii="Calibri" w:hAnsi="Calibri"/>
          <w:sz w:val="22"/>
        </w:rPr>
        <w:t xml:space="preserve">• </w:t>
      </w:r>
      <w:r>
        <w:rPr>
          <w:rFonts w:ascii="Calibri" w:hAnsi="Calibri"/>
          <w:sz w:val="22"/>
        </w:rPr>
        <w:t>Monthly service reviews covering SLA performance, root causes, and continuous improvement actions.</w:t>
      </w:r>
    </w:p>
    <w:p>
      <w:pPr>
        <w:pStyle w:val="Heading2"/>
      </w:pPr>
      <w:r>
        <w:t>10. Commercial Proposal</w:t>
      </w:r>
    </w:p>
    <w:p>
      <w:r>
        <w:t>FusionAIx will provide a detailed commercial proposal in the final submission package, including a 5-year Total Cost of Ownership (TCO) view with the following breakdown:</w:t>
      </w:r>
    </w:p>
    <w:p>
      <w:pPr>
        <w:pStyle w:val="ListNumber"/>
      </w:pPr>
      <w:r>
        <w:rPr>
          <w:b/>
        </w:rPr>
        <w:t>Licensing</w:t>
      </w:r>
    </w:p>
    <w:p>
      <w:pPr>
        <w:spacing w:after="120"/>
        <w:ind w:left="360" w:hanging="360"/>
      </w:pPr>
      <w:r>
        <w:rPr>
          <w:rFonts w:ascii="Calibri" w:hAnsi="Calibri"/>
          <w:sz w:val="22"/>
        </w:rPr>
        <w:t xml:space="preserve">• </w:t>
      </w:r>
      <w:r>
        <w:rPr>
          <w:rFonts w:ascii="Calibri" w:hAnsi="Calibri"/>
          <w:sz w:val="22"/>
        </w:rPr>
        <w:t>Internal user licenses (role-based)</w:t>
      </w:r>
    </w:p>
    <w:p>
      <w:pPr>
        <w:spacing w:after="120"/>
        <w:ind w:left="360" w:hanging="360"/>
      </w:pPr>
      <w:r>
        <w:rPr>
          <w:rFonts w:ascii="Calibri" w:hAnsi="Calibri"/>
          <w:sz w:val="22"/>
        </w:rPr>
        <w:t xml:space="preserve">• </w:t>
      </w:r>
      <w:r>
        <w:rPr>
          <w:rFonts w:ascii="Calibri" w:hAnsi="Calibri"/>
          <w:sz w:val="22"/>
        </w:rPr>
        <w:t>External portal usage model</w:t>
      </w:r>
    </w:p>
    <w:p>
      <w:pPr>
        <w:pStyle w:val="ListNumber"/>
      </w:pPr>
      <w:r>
        <w:rPr>
          <w:b/>
        </w:rPr>
        <w:t>Implementation Services</w:t>
      </w:r>
    </w:p>
    <w:p>
      <w:pPr>
        <w:spacing w:after="120"/>
        <w:ind w:left="360" w:hanging="360"/>
      </w:pPr>
      <w:r>
        <w:rPr>
          <w:rFonts w:ascii="Calibri" w:hAnsi="Calibri"/>
          <w:sz w:val="22"/>
        </w:rPr>
        <w:t xml:space="preserve">• </w:t>
      </w:r>
      <w:r>
        <w:rPr>
          <w:rFonts w:ascii="Calibri" w:hAnsi="Calibri"/>
          <w:sz w:val="22"/>
        </w:rPr>
        <w:t>Discovery, design, configuration, integration, testing, training</w:t>
      </w:r>
    </w:p>
    <w:p>
      <w:pPr>
        <w:pStyle w:val="ListNumber"/>
      </w:pPr>
      <w:r>
        <w:rPr>
          <w:b/>
        </w:rPr>
        <w:t>Support and Maintenance</w:t>
      </w:r>
    </w:p>
    <w:p>
      <w:pPr>
        <w:spacing w:after="120"/>
        <w:ind w:left="360" w:hanging="360"/>
      </w:pPr>
      <w:r>
        <w:rPr>
          <w:rFonts w:ascii="Calibri" w:hAnsi="Calibri"/>
          <w:sz w:val="22"/>
        </w:rPr>
        <w:t xml:space="preserve">• </w:t>
      </w:r>
      <w:r>
        <w:rPr>
          <w:rFonts w:ascii="Calibri" w:hAnsi="Calibri"/>
          <w:sz w:val="22"/>
        </w:rPr>
        <w:t>3 years of post go-live support, including patching, upgrades, and incident resolution</w:t>
      </w:r>
    </w:p>
    <w:p>
      <w:pPr>
        <w:pStyle w:val="ListNumber"/>
      </w:pPr>
      <w:r>
        <w:rPr>
          <w:b/>
        </w:rPr>
        <w:t>Optional Components</w:t>
      </w:r>
    </w:p>
    <w:p>
      <w:pPr>
        <w:spacing w:after="120"/>
        <w:ind w:left="360" w:hanging="360"/>
      </w:pPr>
      <w:r>
        <w:rPr>
          <w:rFonts w:ascii="Calibri" w:hAnsi="Calibri"/>
          <w:sz w:val="22"/>
        </w:rPr>
        <w:t xml:space="preserve">• </w:t>
      </w:r>
      <w:r>
        <w:rPr>
          <w:rFonts w:ascii="Calibri" w:hAnsi="Calibri"/>
          <w:sz w:val="22"/>
        </w:rPr>
        <w:t>Advanced analytics</w:t>
      </w:r>
    </w:p>
    <w:p>
      <w:pPr>
        <w:spacing w:after="120"/>
        <w:ind w:left="360" w:hanging="360"/>
      </w:pPr>
      <w:r>
        <w:rPr>
          <w:rFonts w:ascii="Calibri" w:hAnsi="Calibri"/>
          <w:sz w:val="22"/>
        </w:rPr>
        <w:t xml:space="preserve">• </w:t>
      </w:r>
      <w:r>
        <w:rPr>
          <w:rFonts w:ascii="Calibri" w:hAnsi="Calibri"/>
          <w:sz w:val="22"/>
        </w:rPr>
        <w:t>Additional environments (e.g., DR)</w:t>
      </w:r>
    </w:p>
    <w:p>
      <w:pPr>
        <w:spacing w:after="120"/>
        <w:ind w:left="360" w:hanging="360"/>
      </w:pPr>
      <w:r>
        <w:rPr>
          <w:rFonts w:ascii="Calibri" w:hAnsi="Calibri"/>
          <w:sz w:val="22"/>
        </w:rPr>
        <w:t xml:space="preserve">• </w:t>
      </w:r>
      <w:r>
        <w:rPr>
          <w:rFonts w:ascii="Calibri" w:hAnsi="Calibri"/>
          <w:sz w:val="22"/>
        </w:rPr>
        <w:t>AI-assisted features under governance</w:t>
      </w:r>
    </w:p>
    <w:p>
      <w:r>
        <w:t>All pricing will be provided in accordance with MTI’s commercial submission format and will include assumptions, payment milestones, and applicable taxes.</w:t>
      </w:r>
    </w:p>
    <w:p>
      <w:r>
        <w:t>End of Document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