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p>
    <w:p>
      <w:r>
        <w:drawing>
          <wp:inline xmlns:a="http://schemas.openxmlformats.org/drawingml/2006/main" xmlns:pic="http://schemas.openxmlformats.org/drawingml/2006/picture">
            <wp:extent cx="5715000" cy="14224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715000" cy="1422400"/>
                    </a:xfrm>
                    <a:prstGeom prst="rect"/>
                  </pic:spPr>
                </pic:pic>
              </a:graphicData>
            </a:graphic>
          </wp:inline>
        </w:drawing>
      </w:r>
    </w:p>
    <w:p>
      <w:r>
        <w:rPr>
          <w:b/>
        </w:rPr>
        <w:t>Enterprise BPM Platform Implementation</w:t>
      </w:r>
    </w:p>
    <w:p>
      <w:r>
        <w:t>December 26, 2025</w:t>
      </w:r>
    </w:p>
    <w:p>
      <w:r>
        <w:rPr>
          <w:b/>
        </w:rPr>
        <w:t>fusionAIx</w:t>
      </w:r>
    </w:p>
    <w:p>
      <w:r>
        <w:t>www.fusionaix.com</w:t>
      </w:r>
    </w:p>
    <w:p>
      <w:pPr>
        <w:pStyle w:val="Heading1"/>
      </w:pPr>
      <w:r>
        <w:t>Table of Contents</w:t>
      </w:r>
    </w:p>
    <w:p>
      <w:r>
        <w:t>1. Executive Summary</w:t>
      </w:r>
    </w:p>
    <w:p>
      <w:r>
        <w:t>2. Understanding of MTI’s Objectives and Context</w:t>
      </w:r>
    </w:p>
    <w:p>
      <w:r>
        <w:t>3. Proposed Solution Overview (architecture, major components, key differentiators)</w:t>
      </w:r>
    </w:p>
    <w:p>
      <w:r>
        <w:t>4. Implementation Approach and Methodology</w:t>
      </w:r>
    </w:p>
    <w:p>
      <w:r>
        <w:t>5. Project Plan and Timelines, including major milestones</w:t>
      </w:r>
    </w:p>
    <w:p>
      <w:r>
        <w:t>6. Proposed Team Structure, roles, and CVs of key personnel</w:t>
      </w:r>
    </w:p>
    <w:p>
      <w:r>
        <w:t>7. Functional and Technical Compliance Matrix responding to the requirements in Sections 5 and 6</w:t>
      </w:r>
    </w:p>
    <w:p>
      <w:r>
        <w:t>8. Assumptions, Dependencies, and Risks, with proposed mitigation strategies</w:t>
      </w:r>
    </w:p>
    <w:p>
      <w:r>
        <w:t>9. Support and Maintenance Model, including SLAs</w:t>
      </w:r>
    </w:p>
    <w:p>
      <w:r>
        <w:t>10. Commercial Proposal (licensing, implementation services, support, and any optional components)</w:t>
      </w:r>
    </w:p>
    <w:p>
      <w:pPr>
        <w:pStyle w:val="Heading1"/>
      </w:pPr>
      <w:r>
        <w:t>Company Overview</w:t>
      </w:r>
    </w:p>
    <w:p>
      <w:r>
        <w:t>At fusionAIx, we believe that the future of digital transformation lies in the seamless blend of low-code platforms and artificial intelligence. Our core team brings together decades of implementation experience, domain expertise, and a passion for innovation. We partner with enterprises to reimagine processes, accelerate application delivery, and unlock new levels of efficiency. We help businesses scale smarter, faster, and with greater impact.</w:t>
      </w:r>
    </w:p>
    <w:p>
      <w:r>
        <w:t>With a collaborative spirit and a commitment to excellence, our team transforms complex challenges into intelligent, practical solutions. fusionAIx is not just about technology—it's about empowering people, industries, and enterprises to thrive in a digital-first world.</w:t>
      </w:r>
    </w:p>
    <w:p>
      <w:r>
        <w:t>We are proud to be officially recognized as a Great Place To Work® Certified Company for 2025–26, reflecting our commitment to a culture built on trust, innovation, and people-first values.</w:t>
      </w:r>
    </w:p>
    <w:p>
      <w:r>
        <w:t>fusionAIx delivers tailored solutions that blend AI and automation to drive measurable results across industries. We are a niche Pega partner with 20+ successful Pega Constellation implementations across the globe. As Constellation migration experts, we focus on pattern-based development with Constellation, enabling faster project go-lives than traditional implementation approaches.</w:t>
      </w:r>
    </w:p>
    <w:p>
      <w:r>
        <w:t>Our proven capabilities span three core technology platforms: Pega Constellation, Microsoft Power Platform, and ServiceNow. Through these platforms, we provide comprehensive services including Low Code/No Code development, Digital Process Transformation, and AI &amp; Data solutions.</w:t>
      </w:r>
    </w:p>
    <w:p>
      <w:r>
        <w:t>To accelerate time-to-value, fusionAIx offers proprietary accelerators and solution components including fxAgentSDK, fxAIStudio, fxMockUpToView, and fxSmartDCO. These tools enable rapid development, intelligent automation, and streamlined project delivery.</w:t>
      </w:r>
    </w:p>
    <w:p>
      <w:r>
        <w:t>We support clients across diverse industries including Insurance, Banking &amp; Finance, Government &amp; Public Sector, Automotive &amp; Fleet Management, and Travel &amp; Tourism, combining platform expertise with structured knowledge transfer to help customers build sustainable, future-ready capabilities.</w:t>
      </w:r>
    </w:p>
    <w:p>
      <w:pPr>
        <w:pStyle w:val="Heading1"/>
      </w:pPr>
      <w:r>
        <w:t>Ministry of Trade and Industry (MTI)</w:t>
      </w:r>
    </w:p>
    <w:p>
      <w:pPr>
        <w:pStyle w:val="Heading2"/>
      </w:pPr>
      <w:r>
        <w:t>Business Process Management (BPM) Platform Implementation</w:t>
      </w:r>
    </w:p>
    <w:p>
      <w:pPr>
        <w:pStyle w:val="Heading3"/>
      </w:pPr>
      <w:r>
        <w:t>Proposal by fusionAIx</w:t>
      </w:r>
    </w:p>
    <w:p>
      <w:r>
        <w:t>Date: 21 December 2025</w:t>
      </w:r>
    </w:p>
    <w:p>
      <w:r>
        <w:t>Document Purpose: This proposal is submitted by fusionAIx in response to MTI’s RFP for the provision, implementation, and support of an enterprise-grade BPM platform. The document follows the exact ten-section structure mandated by the RFP.</w:t>
      </w:r>
    </w:p>
    <w:p>
      <w:pPr>
        <w:pStyle w:val="Heading2"/>
      </w:pPr>
      <w:r>
        <w:t>1. Executive Summary</w:t>
      </w:r>
    </w:p>
    <w:p>
      <w:r>
        <w:t>FusionAIx is pleased to submit this comprehensive proposal to the Ministry of Trade and Industry (MTI) for the implementation of an enterprise-grade Business Process Management (BPM) platform. Our proposed solution is designed to automate, orchestrate, and continuously improve MTI’s core business processes, including business licensing and renewals, incentive and grant applications, and other mission-critical workflows.</w:t>
      </w:r>
    </w:p>
    <w:p>
      <w:r>
        <w:t>Our solution is built on Pega Constellation, a proven, enterprise-grade BPM suite trusted by governments and large enterprises worldwide. It supports both straight-through processing and human-centric workflows, enabling MTI to manage structured and dynamic case types with equal efficiency. The platform’s low-code, model-driven configuration approach minimizes custom development, accelerates delivery, and ensures long-term maintainability.</w:t>
      </w:r>
    </w:p>
    <w:p>
      <w:r>
        <w:t>Key highlights of our proposal include:</w:t>
      </w:r>
    </w:p>
    <w:p>
      <w:r>
        <w:t>•</w:t>
      </w:r>
      <w:r>
        <w:rPr>
          <w:b/>
        </w:rPr>
        <w:t>Enterprise-grade BPM platform</w:t>
      </w:r>
      <w:r>
        <w:t>licensed for MTI’s internal and external users, supporting both workbasket and worklist paradigms.</w:t>
      </w:r>
    </w:p>
    <w:p>
      <w:r>
        <w:t>•</w:t>
      </w:r>
      <w:r>
        <w:rPr>
          <w:b/>
        </w:rPr>
        <w:t>Dynamic case management</w:t>
      </w:r>
      <w:r>
        <w:t>with ad-hoc tasks, attachments, notes, and contextual collaboration.</w:t>
      </w:r>
    </w:p>
    <w:p>
      <w:r>
        <w:t>•</w:t>
      </w:r>
      <w:r>
        <w:rPr>
          <w:b/>
        </w:rPr>
        <w:t>Centralized rules management</w:t>
      </w:r>
      <w:r>
        <w:t>to externalize business policies from application code, with full versioning, testing, and controlled deployment.</w:t>
      </w:r>
    </w:p>
    <w:p>
      <w:r>
        <w:t>•</w:t>
      </w:r>
      <w:r>
        <w:rPr>
          <w:b/>
        </w:rPr>
        <w:t>Web-based, responsive user interfaces</w:t>
      </w:r>
      <w:r>
        <w:t>accessible via standard browsers, with guided steps and contextual help for case workers.</w:t>
      </w:r>
    </w:p>
    <w:p>
      <w:r>
        <w:t>•</w:t>
      </w:r>
      <w:r>
        <w:rPr>
          <w:b/>
        </w:rPr>
        <w:t>Self-service portals</w:t>
      </w:r>
      <w:r>
        <w:t>for external applicants and business users.</w:t>
      </w:r>
    </w:p>
    <w:p>
      <w:r>
        <w:t>•</w:t>
      </w:r>
      <w:r>
        <w:rPr>
          <w:b/>
        </w:rPr>
        <w:t>Comprehensive dashboards and reports</w:t>
      </w:r>
      <w:r>
        <w:t>for monitoring case volumes, workload distribution, SLA performance, and bottlenecks.</w:t>
      </w:r>
    </w:p>
    <w:p>
      <w:r>
        <w:t>•</w:t>
      </w:r>
      <w:r>
        <w:rPr>
          <w:b/>
        </w:rPr>
        <w:t>Integration-ready architecture</w:t>
      </w:r>
      <w:r>
        <w:t>supporting REST APIs, message queues, and event-based integration, with secure connectivity to MTI’s identity management and single sign-on (SSO) systems.</w:t>
      </w:r>
    </w:p>
    <w:p>
      <w:r>
        <w:t>•</w:t>
      </w:r>
      <w:r>
        <w:rPr>
          <w:b/>
        </w:rPr>
        <w:t>Role-based access control (RBAC)</w:t>
      </w:r>
      <w:r>
        <w:t>with fine-grained permissions and full audit logging.</w:t>
      </w:r>
    </w:p>
    <w:p>
      <w:r>
        <w:t>•</w:t>
      </w:r>
      <w:r>
        <w:rPr>
          <w:b/>
        </w:rPr>
        <w:t>Three years of post go-live support and maintenance</w:t>
      </w:r>
      <w:r>
        <w:t>, including patching, upgrades, and incident resolution, governed by defined SLAs.</w:t>
      </w:r>
    </w:p>
    <w:p>
      <w:r>
        <w:t>FusionAIx brings over two decades of combined experience in BPM and low-code transformation. As a niche Pega partner with 20+ successful Constellation implementations, we have a proven track record of delivering large-scale, mission-critical BPM solutions for government and enterprise clients. Our proprietary accelerators—fxAgentSDK, fxAIStudio, fxMockUpToView, and fxSmartDCO—enable rapid configuration, intelligent automation, and streamlined delivery.</w:t>
      </w:r>
    </w:p>
    <w:p>
      <w:r>
        <w:t>We are confident that our solution will empower MTI to achieve its digital transformation objectives—enhancing service delivery, improving operational efficiency, and enabling data-driven decision-making.</w:t>
      </w:r>
    </w:p>
    <w:p>
      <w:pPr>
        <w:pStyle w:val="Heading2"/>
      </w:pPr>
      <w:r>
        <w:t>2. Understanding of MTI’s Objectives and Context</w:t>
      </w:r>
    </w:p>
    <w:p>
      <w:r>
        <w:t>MTI’s strategic objective is to modernize and digitize its core business processes to improve service delivery, transparency, and efficiency. The Ministry’s operations span a wide range of functions, including business licensing, trade facilitation, investment promotion, and grant administration. These processes involve multiple stakeholders—internal departments, external businesses, and partner agencies—and require a unified, flexible BPM platform to orchestrate workflows, manage cases, and ensure compliance.</w:t>
      </w:r>
    </w:p>
    <w:p>
      <w:pPr>
        <w:pStyle w:val="Heading3"/>
      </w:pPr>
      <w:r>
        <w:t>Key Objectives</w:t>
      </w:r>
    </w:p>
    <w:p>
      <w:pPr>
        <w:pStyle w:val="ListNumber"/>
      </w:pPr>
      <w:r>
        <w:rPr>
          <w:b/>
        </w:rPr>
        <w:t>Unified BPM Platform:</w:t>
      </w:r>
      <w:r>
        <w:t>MTI seeks a single, enterprise-grade BPM platform to manage all process types—structured, semi-structured, and unstructured—across departments.</w:t>
      </w:r>
    </w:p>
    <w:p>
      <w:pPr>
        <w:pStyle w:val="ListNumber"/>
      </w:pPr>
      <w:r>
        <w:rPr>
          <w:b/>
        </w:rPr>
        <w:t>Process Automation and Optimization:</w:t>
      </w:r>
      <w:r>
        <w:t>Automate repetitive tasks, enforce business rules, and enable straight-through processing where possible.</w:t>
      </w:r>
    </w:p>
    <w:p>
      <w:pPr>
        <w:pStyle w:val="ListNumber"/>
      </w:pPr>
      <w:r>
        <w:rPr>
          <w:b/>
        </w:rPr>
        <w:t>Dynamic Case Management:</w:t>
      </w:r>
      <w:r>
        <w:t>Support human-centric workflows with ad-hoc tasks, attachments, and notes, ensuring flexibility in handling exceptions.</w:t>
      </w:r>
    </w:p>
    <w:p>
      <w:pPr>
        <w:pStyle w:val="ListNumber"/>
      </w:pPr>
      <w:r>
        <w:rPr>
          <w:b/>
        </w:rPr>
        <w:t>Transparency and Accountability:</w:t>
      </w:r>
      <w:r>
        <w:t>Provide dashboards and reports for real-time monitoring of case volumes, SLA performance, and workload distribution.</w:t>
      </w:r>
    </w:p>
    <w:p>
      <w:pPr>
        <w:pStyle w:val="ListNumber"/>
      </w:pPr>
      <w:r>
        <w:rPr>
          <w:b/>
        </w:rPr>
        <w:t>User Empowerment:</w:t>
      </w:r>
      <w:r>
        <w:t>Enable business users to create or modify reports and dashboards without IT intervention.</w:t>
      </w:r>
    </w:p>
    <w:p>
      <w:pPr>
        <w:pStyle w:val="ListNumber"/>
      </w:pPr>
      <w:r>
        <w:rPr>
          <w:b/>
        </w:rPr>
        <w:t>Integration and Security:</w:t>
      </w:r>
      <w:r>
        <w:t>Seamlessly integrate with MTI’s existing systems, including identity management (Active Directory), document management, and payment gateways, while ensuring compliance with national cybersecurity standards.</w:t>
      </w:r>
    </w:p>
    <w:p>
      <w:pPr>
        <w:pStyle w:val="ListNumber"/>
      </w:pPr>
      <w:r>
        <w:rPr>
          <w:b/>
        </w:rPr>
        <w:t>Scalability and Sustainability:</w:t>
      </w:r>
      <w:r>
        <w:t>Support future expansion to additional processes and departments through a low-code, model-driven configuration approach.</w:t>
      </w:r>
    </w:p>
    <w:p>
      <w:pPr>
        <w:pStyle w:val="Heading3"/>
      </w:pPr>
      <w:r>
        <w:t>Context and Challenges</w:t>
      </w:r>
    </w:p>
    <w:p>
      <w:r>
        <w:t>MTI’s current process landscape is characterized by a mix of manual workflows, legacy systems, and siloed data repositories. This results in inefficiencies, limited visibility, and challenges in enforcing consistent business rules. The new BPM platform must address these challenges by providing:</w:t>
      </w:r>
    </w:p>
    <w:p>
      <w:r>
        <w:t>• A</w:t>
      </w:r>
      <w:r>
        <w:rPr>
          <w:b/>
        </w:rPr>
        <w:t>centralized process repository</w:t>
      </w:r>
      <w:r>
        <w:t>for all workflows.</w:t>
      </w:r>
    </w:p>
    <w:p>
      <w:r>
        <w:t>•</w:t>
      </w:r>
      <w:r>
        <w:rPr>
          <w:b/>
        </w:rPr>
        <w:t>Reusable templates and components</w:t>
      </w:r>
      <w:r>
        <w:t>to accelerate onboarding of new processes.</w:t>
      </w:r>
    </w:p>
    <w:p>
      <w:r>
        <w:t>•</w:t>
      </w:r>
      <w:r>
        <w:rPr>
          <w:b/>
        </w:rPr>
        <w:t>Integration with existing systems</w:t>
      </w:r>
      <w:r>
        <w:t>to ensure data consistency and eliminate duplication.</w:t>
      </w:r>
    </w:p>
    <w:p>
      <w:r>
        <w:t>•</w:t>
      </w:r>
      <w:r>
        <w:rPr>
          <w:b/>
        </w:rPr>
        <w:t>Comprehensive audit trails</w:t>
      </w:r>
      <w:r>
        <w:t>to support compliance and governance.</w:t>
      </w:r>
    </w:p>
    <w:p>
      <w:r>
        <w:t>FusionAIx understands that MTI’s transformation journey is not just about technology—it’s about enabling people and processes to work smarter. Our approach emphasizes collaboration, transparency, and continuous improvement, ensuring that MTI’s stakeholders are engaged throughout the project lifecycle.</w:t>
      </w:r>
    </w:p>
    <w:p>
      <w:pPr>
        <w:pStyle w:val="Heading2"/>
      </w:pPr>
      <w:r>
        <w:t>3. Proposed Solution Overview</w:t>
      </w:r>
    </w:p>
    <w:p>
      <w:pPr>
        <w:pStyle w:val="Heading3"/>
      </w:pPr>
      <w:r>
        <w:t>3.1 Solution Architecture</w:t>
      </w:r>
    </w:p>
    <w:p>
      <w:r>
        <w:t>Our proposed solution is based on Pega Constellation, deployed in a secure, scalable environment (cloud, on-premises, or hybrid, as per MTI’s preference). The architecture supports multi-environment separation for development, testing, and production, ensuring controlled deployments and robust governance.</w:t>
      </w:r>
    </w:p>
    <w:p>
      <w:r/>
    </w:p>
    <w:p>
      <w:r>
        <w:drawing>
          <wp:inline xmlns:a="http://schemas.openxmlformats.org/drawingml/2006/main" xmlns:pic="http://schemas.openxmlformats.org/drawingml/2006/picture">
            <wp:extent cx="11404600" cy="51943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1404600" cy="5194300"/>
                    </a:xfrm>
                    <a:prstGeom prst="rect"/>
                  </pic:spPr>
                </pic:pic>
              </a:graphicData>
            </a:graphic>
          </wp:inline>
        </w:drawing>
      </w:r>
    </w:p>
    <w:p>
      <w:r>
        <w:t>Caption: High-level architecture of the proposed BPM solution for MTI.</w:t>
      </w:r>
    </w:p>
    <w:p>
      <w:pPr>
        <w:pStyle w:val="Heading3"/>
      </w:pPr>
      <w:r>
        <w:t>3.2 Key Components</w:t>
      </w:r>
    </w:p>
    <w:p>
      <w:r>
        <w:t>•</w:t>
      </w:r>
      <w:r>
        <w:rPr>
          <w:b/>
        </w:rPr>
        <w:t>Case Management Engine:</w:t>
      </w:r>
      <w:r>
        <w:t>Supports both straight-through and human-centric workflows, enabling dynamic case handling with ad-hoc tasks, attachments, and notes.</w:t>
      </w:r>
    </w:p>
    <w:p>
      <w:r>
        <w:t>•</w:t>
      </w:r>
      <w:r>
        <w:rPr>
          <w:b/>
        </w:rPr>
        <w:t>Rules Management:</w:t>
      </w:r>
      <w:r>
        <w:t>Centralized repository for business rules, externalized from application code. Supports versioning, testing, and controlled deployment.</w:t>
      </w:r>
    </w:p>
    <w:p>
      <w:r>
        <w:t>•</w:t>
      </w:r>
      <w:r>
        <w:rPr>
          <w:b/>
        </w:rPr>
        <w:t>User Interface Layer:</w:t>
      </w:r>
      <w:r>
        <w:t>Web-based, responsive UI accessible via standard browsers. Includes guided steps, contextual help, and self-service portals.</w:t>
      </w:r>
    </w:p>
    <w:p>
      <w:r>
        <w:t>•</w:t>
      </w:r>
      <w:r>
        <w:rPr>
          <w:b/>
        </w:rPr>
        <w:t>Integration Layer:</w:t>
      </w:r>
      <w:r>
        <w:t>Standard integration mechanisms (REST APIs, message queues, event-based integration) for secure connectivity with MTI’s systems.</w:t>
      </w:r>
    </w:p>
    <w:p>
      <w:r>
        <w:t>•</w:t>
      </w:r>
      <w:r>
        <w:rPr>
          <w:b/>
        </w:rPr>
        <w:t>Analytics and Reporting:</w:t>
      </w:r>
      <w:r>
        <w:t>Real-time dashboards for SLA monitoring, workload distribution, and performance tracking. Business users can create custom reports.</w:t>
      </w:r>
    </w:p>
    <w:p>
      <w:r>
        <w:t>•</w:t>
      </w:r>
      <w:r>
        <w:rPr>
          <w:b/>
        </w:rPr>
        <w:t>Security and Access Control:</w:t>
      </w:r>
      <w:r>
        <w:t>Role-based access control with fine-grained permissions, full audit logging, and compliance with national cybersecurity standards.</w:t>
      </w:r>
    </w:p>
    <w:p>
      <w:pPr>
        <w:pStyle w:val="Heading3"/>
      </w:pPr>
      <w:r>
        <w:t>3.3 Reusability and Configuration Framework</w:t>
      </w:r>
    </w:p>
    <w:p>
      <w:r>
        <w:t>FusionAIx’s configuration framework and reusable templates enable rapid onboarding of new processes. The following components are parameterized and reusable to minimize custom development:</w:t>
      </w:r>
    </w:p>
    <w:p>
      <w:r>
        <w:t>•</w:t>
      </w:r>
      <w:r>
        <w:rPr>
          <w:b/>
        </w:rPr>
        <w:t>Case-type templates</w:t>
      </w:r>
      <w:r>
        <w:t>include intake, validation, review, approval, and closure stages.</w:t>
      </w:r>
    </w:p>
    <w:p>
      <w:r>
        <w:t>•</w:t>
      </w:r>
      <w:r>
        <w:rPr>
          <w:b/>
        </w:rPr>
        <w:t>Reusable data models</w:t>
      </w:r>
      <w:r>
        <w:t>cover parties, applications, documents, payments, and SLAs.</w:t>
      </w:r>
    </w:p>
    <w:p>
      <w:r>
        <w:t>•</w:t>
      </w:r>
      <w:r>
        <w:rPr>
          <w:b/>
        </w:rPr>
        <w:t>UI patterns, rules, and connectors</w:t>
      </w:r>
      <w:r>
        <w:t>are parameterized, minimizing custom code.</w:t>
      </w:r>
    </w:p>
    <w:p>
      <w:r>
        <w:t>This modular approach ensures that new processes can be configured quickly by reusing existing templates and components, significantly reducing time-to-market.</w:t>
      </w:r>
    </w:p>
    <w:p>
      <w:pPr>
        <w:pStyle w:val="Heading3"/>
      </w:pPr>
      <w:r>
        <w:t>3.4 Integration with MTI’s Identity Management</w:t>
      </w:r>
    </w:p>
    <w:p>
      <w:r>
        <w:t>The proposed BPM platform integrates seamlessly with MTI’s existing identity management system (e.g., Active Directory) as follows:</w:t>
      </w:r>
    </w:p>
    <w:p>
      <w:r>
        <w:t>•</w:t>
      </w:r>
      <w:r>
        <w:rPr>
          <w:b/>
        </w:rPr>
        <w:t>Authentication:</w:t>
      </w:r>
      <w:r>
        <w:t>Uses SSO via SAML 2.0 or OAuth2/OIDC with MTI’s Identity Provider (IdP).</w:t>
      </w:r>
    </w:p>
    <w:p>
      <w:r>
        <w:t>•</w:t>
      </w:r>
      <w:r>
        <w:rPr>
          <w:b/>
        </w:rPr>
        <w:t>Provisioning:</w:t>
      </w:r>
      <w:r>
        <w:t>Supports Just-In-Time (JIT) or scheduled synchronization. Deactivation follows AD disablement immediately.</w:t>
      </w:r>
    </w:p>
    <w:p>
      <w:r>
        <w:t>•</w:t>
      </w:r>
      <w:r>
        <w:rPr>
          <w:b/>
        </w:rPr>
        <w:t>Role Mapping:</w:t>
      </w:r>
      <w:r>
        <w:t>Roles map from AD groups; changes sync at login or scheduled intervals, with full audit logging.</w:t>
      </w:r>
    </w:p>
    <w:p>
      <w:r>
        <w:t>This ensures secure, centralized user management and compliance with MTI’s access control policies.</w:t>
      </w:r>
    </w:p>
    <w:p>
      <w:pPr>
        <w:pStyle w:val="Heading3"/>
      </w:pPr>
      <w:r>
        <w:t>3.5 Key Differentiators</w:t>
      </w:r>
    </w:p>
    <w:p>
      <w:r>
        <w:t>• Proven</w:t>
      </w:r>
      <w:r>
        <w:rPr>
          <w:b/>
        </w:rPr>
        <w:t>Pega Constellation</w:t>
      </w:r>
      <w:r>
        <w:t>platform with 20+ successful implementations.</w:t>
      </w:r>
    </w:p>
    <w:p>
      <w:r>
        <w:t>• Proprietary</w:t>
      </w:r>
      <w:r>
        <w:rPr>
          <w:b/>
        </w:rPr>
        <w:t>fusionAIx accelerators</w:t>
      </w:r>
      <w:r>
        <w:t>(fxAgentSDK, fxAIStudio, fxMockUpToView, fxSmartDCO) for rapid delivery.</w:t>
      </w:r>
    </w:p>
    <w:p>
      <w:r>
        <w:t>• Deep expertise in</w:t>
      </w:r>
      <w:r>
        <w:rPr>
          <w:b/>
        </w:rPr>
        <w:t>government process automation</w:t>
      </w:r>
      <w:r>
        <w:t>and</w:t>
      </w:r>
      <w:r>
        <w:rPr>
          <w:b/>
        </w:rPr>
        <w:t>Constellation migration</w:t>
      </w:r>
      <w:r>
        <w:t>.</w:t>
      </w:r>
    </w:p>
    <w:p>
      <w:r>
        <w:t>• Strong focus on</w:t>
      </w:r>
      <w:r>
        <w:rPr>
          <w:b/>
        </w:rPr>
        <w:t>AI-driven insights</w:t>
      </w:r>
      <w:r>
        <w:t>and</w:t>
      </w:r>
      <w:r>
        <w:rPr>
          <w:b/>
        </w:rPr>
        <w:t>low-code configurability</w:t>
      </w:r>
      <w:r>
        <w:t>.</w:t>
      </w:r>
    </w:p>
    <w:p>
      <w:r>
        <w:t>• Commitment to</w:t>
      </w:r>
      <w:r>
        <w:rPr>
          <w:b/>
        </w:rPr>
        <w:t>collaboration, transparency, and continuous improvement</w:t>
      </w:r>
      <w:r>
        <w:t>.</w:t>
      </w:r>
    </w:p>
    <w:p>
      <w:pPr>
        <w:pStyle w:val="Heading2"/>
      </w:pPr>
      <w:r>
        <w:t>4. Implementation Approach and Methodology</w:t>
      </w:r>
    </w:p>
    <w:p>
      <w:r>
        <w:t>FusionAIx follows a structured, agile implementation methodology that ensures rapid delivery, stakeholder engagement, and quality outcomes. Our approach is based on the fusionAIx SmartDCO Framework, which combines Pega’s Direct Capture of Objectives (DCO) methodology with our proprietary accelerators.</w:t>
      </w:r>
    </w:p>
    <w:p>
      <w:pPr>
        <w:pStyle w:val="Heading3"/>
      </w:pPr>
      <w:r>
        <w:t>4.1 Phased Implementation Approach</w:t>
      </w:r>
    </w:p>
    <w:p>
      <w:pPr>
        <w:pStyle w:val="ListNumber"/>
      </w:pPr>
      <w:r>
        <w:rPr>
          <w:b/>
        </w:rPr>
        <w:t>Discovery and Requirements Gathering</w:t>
      </w:r>
    </w:p>
    <w:p>
      <w:r>
        <w:t>• Conduct joint workshops with MTI stakeholders.</w:t>
      </w:r>
    </w:p>
    <w:p>
      <w:r>
        <w:t>• Capture business objectives, process pain points, and success metrics.</w:t>
      </w:r>
    </w:p>
    <w:p>
      <w:r>
        <w:t>• Use fxSmartDCO to model processes directly in the BPM platform.</w:t>
      </w:r>
    </w:p>
    <w:p>
      <w:pPr>
        <w:pStyle w:val="ListNumber"/>
      </w:pPr>
      <w:r>
        <w:rPr>
          <w:b/>
        </w:rPr>
        <w:t>Design and Configuration</w:t>
      </w:r>
    </w:p>
    <w:p>
      <w:r>
        <w:t>• Configure case types using reusable templates (intake, validation, review, approval, closure).</w:t>
      </w:r>
    </w:p>
    <w:p>
      <w:r>
        <w:t>• Define reusable data models (parties, applications, documents, payments, SLAs).</w:t>
      </w:r>
    </w:p>
    <w:p>
      <w:r>
        <w:t>• Configure UI patterns, rules, and connectors with minimal custom code.</w:t>
      </w:r>
    </w:p>
    <w:p>
      <w:pPr>
        <w:pStyle w:val="ListNumber"/>
      </w:pPr>
      <w:r>
        <w:rPr>
          <w:b/>
        </w:rPr>
        <w:t>Integration and Testing</w:t>
      </w:r>
    </w:p>
    <w:p>
      <w:r>
        <w:t>• Integrate with MTI’s identity management (SSO via SAML 2.0/OAuth2/OIDC).</w:t>
      </w:r>
    </w:p>
    <w:p>
      <w:r>
        <w:t>• Implement REST-based integrations with external systems (e.g., payments, DMS).</w:t>
      </w:r>
    </w:p>
    <w:p>
      <w:r>
        <w:t>• Conduct unit, system, and user acceptance testing.</w:t>
      </w:r>
    </w:p>
    <w:p>
      <w:pPr>
        <w:pStyle w:val="ListNumber"/>
      </w:pPr>
      <w:r>
        <w:rPr>
          <w:b/>
        </w:rPr>
        <w:t>Training and Change Management</w:t>
      </w:r>
    </w:p>
    <w:p>
      <w:r>
        <w:t>• Deliver training for system administrators, business power users, and end users.</w:t>
      </w:r>
    </w:p>
    <w:p>
      <w:r>
        <w:t>• Provide training materials and user guides.</w:t>
      </w:r>
    </w:p>
    <w:p>
      <w:r>
        <w:t>• Support MTI’s change management and adoption initiatives.</w:t>
      </w:r>
    </w:p>
    <w:p>
      <w:pPr>
        <w:pStyle w:val="ListNumber"/>
      </w:pPr>
      <w:r>
        <w:rPr>
          <w:b/>
        </w:rPr>
        <w:t>Go-Live and Transition</w:t>
      </w:r>
    </w:p>
    <w:p>
      <w:r>
        <w:t>• Execute cutover plan and production deployment.</w:t>
      </w:r>
    </w:p>
    <w:p>
      <w:r>
        <w:t>• Provide hypercare support post go-live.</w:t>
      </w:r>
    </w:p>
    <w:p>
      <w:r>
        <w:t>• Transition to steady-state support.</w:t>
      </w:r>
    </w:p>
    <w:p>
      <w:pPr>
        <w:pStyle w:val="ListNumber"/>
      </w:pPr>
      <w:r>
        <w:rPr>
          <w:b/>
        </w:rPr>
        <w:t>Continuous Improvement</w:t>
      </w:r>
    </w:p>
    <w:p>
      <w:r>
        <w:t>• Conduct post-implementation reviews.</w:t>
      </w:r>
    </w:p>
    <w:p>
      <w:r>
        <w:t>• Identify opportunities for optimization and automation.</w:t>
      </w:r>
    </w:p>
    <w:p>
      <w:r>
        <w:t>• Implement enhancements through agile sprints.</w:t>
      </w:r>
    </w:p>
    <w:p>
      <w:pPr>
        <w:pStyle w:val="Heading3"/>
      </w:pPr>
      <w:r>
        <w:t>4.2 Quality Assurance and Governance</w:t>
      </w:r>
    </w:p>
    <w:p>
      <w:r>
        <w:t>•</w:t>
      </w:r>
      <w:r>
        <w:rPr>
          <w:b/>
        </w:rPr>
        <w:t>Stage Gate Reviews:</w:t>
      </w:r>
      <w:r>
        <w:t>Conducted at the end of each phase.</w:t>
      </w:r>
    </w:p>
    <w:p>
      <w:r>
        <w:t>•</w:t>
      </w:r>
      <w:r>
        <w:rPr>
          <w:b/>
        </w:rPr>
        <w:t>Configuration Management:</w:t>
      </w:r>
      <w:r>
        <w:t>Version control and environment promotion policies.</w:t>
      </w:r>
    </w:p>
    <w:p>
      <w:r>
        <w:t>•</w:t>
      </w:r>
      <w:r>
        <w:rPr>
          <w:b/>
        </w:rPr>
        <w:t>Testing Framework:</w:t>
      </w:r>
      <w:r>
        <w:t>Automated regression testing using fxAIStudio.</w:t>
      </w:r>
    </w:p>
    <w:p>
      <w:r>
        <w:t>•</w:t>
      </w:r>
      <w:r>
        <w:rPr>
          <w:b/>
        </w:rPr>
        <w:t>Governance:</w:t>
      </w:r>
      <w:r>
        <w:t>Weekly steering committee meetings with MTI stakeholders.</w:t>
      </w:r>
    </w:p>
    <w:p>
      <w:pPr>
        <w:pStyle w:val="Heading2"/>
      </w:pPr>
      <w:r>
        <w:t>5. Project Plan and Timelines</w:t>
      </w:r>
    </w:p>
    <w:p>
      <w:r>
        <w:t>The project will be delivered in approximately 9 months, divided into the following major milestones:</w:t>
      </w:r>
    </w:p>
    <w:tbl>
      <w:tblPr>
        <w:tblW w:type="auto" w:w="0"/>
        <w:tblLook w:firstColumn="1" w:firstRow="1" w:lastColumn="0" w:lastRow="0" w:noHBand="0" w:noVBand="1" w:val="04A0"/>
      </w:tblPr>
      <w:tblGrid>
        <w:gridCol w:w="2880"/>
        <w:gridCol w:w="2880"/>
        <w:gridCol w:w="2880"/>
      </w:tblGrid>
      <w:tr>
        <w:tc>
          <w:tcPr>
            <w:tcW w:type="dxa" w:w="2880"/>
          </w:tcPr>
          <w:p>
            <w:r>
              <w:t>Phase</w:t>
            </w:r>
          </w:p>
        </w:tc>
        <w:tc>
          <w:tcPr>
            <w:tcW w:type="dxa" w:w="2880"/>
          </w:tcPr>
          <w:p>
            <w:r>
              <w:t>Duration</w:t>
            </w:r>
          </w:p>
        </w:tc>
        <w:tc>
          <w:tcPr>
            <w:tcW w:type="dxa" w:w="2880"/>
          </w:tcPr>
          <w:p>
            <w:r>
              <w:t>Key Deliverables</w:t>
            </w:r>
          </w:p>
        </w:tc>
      </w:tr>
      <w:tr>
        <w:tc>
          <w:tcPr>
            <w:tcW w:type="dxa" w:w="2880"/>
          </w:tcPr>
          <w:p>
            <w:r>
              <w:t>Discovery &amp; Requirements</w:t>
            </w:r>
          </w:p>
        </w:tc>
        <w:tc>
          <w:tcPr>
            <w:tcW w:type="dxa" w:w="2880"/>
          </w:tcPr>
          <w:p>
            <w:r>
              <w:t>4 weeks</w:t>
            </w:r>
          </w:p>
        </w:tc>
        <w:tc>
          <w:tcPr>
            <w:tcW w:type="dxa" w:w="2880"/>
          </w:tcPr>
          <w:p>
            <w:r>
              <w:t>Process models, requirements traceability matrix</w:t>
            </w:r>
          </w:p>
        </w:tc>
      </w:tr>
      <w:tr>
        <w:tc>
          <w:tcPr>
            <w:tcW w:type="dxa" w:w="2880"/>
          </w:tcPr>
          <w:p>
            <w:r>
              <w:t>Design &amp; Configuration</w:t>
            </w:r>
          </w:p>
        </w:tc>
        <w:tc>
          <w:tcPr>
            <w:tcW w:type="dxa" w:w="2880"/>
          </w:tcPr>
          <w:p>
            <w:r>
              <w:t>10 weeks</w:t>
            </w:r>
          </w:p>
        </w:tc>
        <w:tc>
          <w:tcPr>
            <w:tcW w:type="dxa" w:w="2880"/>
          </w:tcPr>
          <w:p>
            <w:r>
              <w:t>Configured case types, data models, UI patterns</w:t>
            </w:r>
          </w:p>
        </w:tc>
      </w:tr>
      <w:tr>
        <w:tc>
          <w:tcPr>
            <w:tcW w:type="dxa" w:w="2880"/>
          </w:tcPr>
          <w:p>
            <w:r>
              <w:t>Integration &amp; Testing</w:t>
            </w:r>
          </w:p>
        </w:tc>
        <w:tc>
          <w:tcPr>
            <w:tcW w:type="dxa" w:w="2880"/>
          </w:tcPr>
          <w:p>
            <w:r>
              <w:t>8 weeks</w:t>
            </w:r>
          </w:p>
        </w:tc>
        <w:tc>
          <w:tcPr>
            <w:tcW w:type="dxa" w:w="2880"/>
          </w:tcPr>
          <w:p>
            <w:r>
              <w:t>Integrated solution, test results</w:t>
            </w:r>
          </w:p>
        </w:tc>
      </w:tr>
      <w:tr>
        <w:tc>
          <w:tcPr>
            <w:tcW w:type="dxa" w:w="2880"/>
          </w:tcPr>
          <w:p>
            <w:r>
              <w:t>Training &amp; UAT</w:t>
            </w:r>
          </w:p>
        </w:tc>
        <w:tc>
          <w:tcPr>
            <w:tcW w:type="dxa" w:w="2880"/>
          </w:tcPr>
          <w:p>
            <w:r>
              <w:t>4 weeks</w:t>
            </w:r>
          </w:p>
        </w:tc>
        <w:tc>
          <w:tcPr>
            <w:tcW w:type="dxa" w:w="2880"/>
          </w:tcPr>
          <w:p>
            <w:r>
              <w:t>Training materials, UAT sign-off</w:t>
            </w:r>
          </w:p>
        </w:tc>
      </w:tr>
      <w:tr>
        <w:tc>
          <w:tcPr>
            <w:tcW w:type="dxa" w:w="2880"/>
          </w:tcPr>
          <w:p>
            <w:r>
              <w:t>Go-Live &amp; Hypercare</w:t>
            </w:r>
          </w:p>
        </w:tc>
        <w:tc>
          <w:tcPr>
            <w:tcW w:type="dxa" w:w="2880"/>
          </w:tcPr>
          <w:p>
            <w:r>
              <w:t>4 weeks</w:t>
            </w:r>
          </w:p>
        </w:tc>
        <w:tc>
          <w:tcPr>
            <w:tcW w:type="dxa" w:w="2880"/>
          </w:tcPr>
          <w:p>
            <w:r>
              <w:t>Production deployment, stabilization</w:t>
            </w:r>
          </w:p>
        </w:tc>
      </w:tr>
      <w:tr>
        <w:tc>
          <w:tcPr>
            <w:tcW w:type="dxa" w:w="2880"/>
          </w:tcPr>
          <w:p>
            <w:r>
              <w:t>Support Transition</w:t>
            </w:r>
          </w:p>
        </w:tc>
        <w:tc>
          <w:tcPr>
            <w:tcW w:type="dxa" w:w="2880"/>
          </w:tcPr>
          <w:p>
            <w:r>
              <w:t>2 weeks</w:t>
            </w:r>
          </w:p>
        </w:tc>
        <w:tc>
          <w:tcPr>
            <w:tcW w:type="dxa" w:w="2880"/>
          </w:tcPr>
          <w:p>
            <w:r>
              <w:t>Handover to support team</w:t>
            </w:r>
          </w:p>
        </w:tc>
      </w:tr>
    </w:tbl>
    <w:p>
      <w:r>
        <w:rPr>
          <w:b/>
        </w:rPr>
        <w:t>Phase</w:t>
      </w:r>
    </w:p>
    <w:p>
      <w:r>
        <w:rPr>
          <w:b/>
        </w:rPr>
        <w:t>Duration</w:t>
      </w:r>
    </w:p>
    <w:p>
      <w:r>
        <w:rPr>
          <w:b/>
        </w:rPr>
        <w:t>Key Deliverables</w:t>
      </w:r>
    </w:p>
    <w:p>
      <w:r>
        <w:t>Discovery &amp; Requirements</w:t>
      </w:r>
    </w:p>
    <w:p>
      <w:r>
        <w:t>4 weeks</w:t>
      </w:r>
    </w:p>
    <w:p>
      <w:r>
        <w:t>Process models, requirements traceability matrix</w:t>
      </w:r>
    </w:p>
    <w:p>
      <w:r>
        <w:t>Design &amp; Configuration</w:t>
      </w:r>
    </w:p>
    <w:p>
      <w:r>
        <w:t>10 weeks</w:t>
      </w:r>
    </w:p>
    <w:p>
      <w:r>
        <w:t>Configured case types, data models, UI patterns</w:t>
      </w:r>
    </w:p>
    <w:p>
      <w:r>
        <w:t>Integration &amp; Testing</w:t>
      </w:r>
    </w:p>
    <w:p>
      <w:r>
        <w:t>8 weeks</w:t>
      </w:r>
    </w:p>
    <w:p>
      <w:r>
        <w:t>Integrated solution, test results</w:t>
      </w:r>
    </w:p>
    <w:p>
      <w:r>
        <w:t>Training &amp; UAT</w:t>
      </w:r>
    </w:p>
    <w:p>
      <w:r>
        <w:t>4 weeks</w:t>
      </w:r>
    </w:p>
    <w:p>
      <w:r>
        <w:t>Training materials, UAT sign-off</w:t>
      </w:r>
    </w:p>
    <w:p>
      <w:r>
        <w:t>Go-Live &amp; Hypercare</w:t>
      </w:r>
    </w:p>
    <w:p>
      <w:r>
        <w:t>4 weeks</w:t>
      </w:r>
    </w:p>
    <w:p>
      <w:r>
        <w:t>Production deployment, stabilization</w:t>
      </w:r>
    </w:p>
    <w:p>
      <w:r>
        <w:t>Support Transition</w:t>
      </w:r>
    </w:p>
    <w:p>
      <w:r>
        <w:t>2 weeks</w:t>
      </w:r>
    </w:p>
    <w:p>
      <w:r>
        <w:t>Handover to support team</w:t>
      </w:r>
    </w:p>
    <w:p>
      <w:r>
        <w:t>A detailed Gantt chart and resource plan will be provided during project initiation.</w:t>
      </w:r>
    </w:p>
    <w:p>
      <w:pPr>
        <w:pStyle w:val="Heading2"/>
      </w:pPr>
      <w:r>
        <w:t>6. Proposed Team Structure, Roles, and CVs of Key Personnel</w:t>
      </w:r>
    </w:p>
    <w:p>
      <w:r>
        <w:t>FusionAIx will deploy a multidisciplinary team with deep expertise in BPM, Pega Constellation, and government process automation.</w:t>
      </w:r>
    </w:p>
    <w:tbl>
      <w:tblPr>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Responsibilities</w:t>
            </w:r>
          </w:p>
        </w:tc>
      </w:tr>
      <w:tr>
        <w:tc>
          <w:tcPr>
            <w:tcW w:type="dxa" w:w="4320"/>
          </w:tcPr>
          <w:p>
            <w:r>
              <w:t>Project Manager</w:t>
            </w:r>
          </w:p>
        </w:tc>
        <w:tc>
          <w:tcPr>
            <w:tcW w:type="dxa" w:w="4320"/>
          </w:tcPr>
          <w:p>
            <w:r>
              <w:t>Overall project governance, stakeholder management</w:t>
            </w:r>
          </w:p>
        </w:tc>
      </w:tr>
      <w:tr>
        <w:tc>
          <w:tcPr>
            <w:tcW w:type="dxa" w:w="4320"/>
          </w:tcPr>
          <w:p>
            <w:r>
              <w:t>Solution Architect</w:t>
            </w:r>
          </w:p>
        </w:tc>
        <w:tc>
          <w:tcPr>
            <w:tcW w:type="dxa" w:w="4320"/>
          </w:tcPr>
          <w:p>
            <w:r>
              <w:t>Solution design, architecture, and integration oversight</w:t>
            </w:r>
          </w:p>
        </w:tc>
      </w:tr>
      <w:tr>
        <w:tc>
          <w:tcPr>
            <w:tcW w:type="dxa" w:w="4320"/>
          </w:tcPr>
          <w:p>
            <w:r>
              <w:t>Lead BPM Developer</w:t>
            </w:r>
          </w:p>
        </w:tc>
        <w:tc>
          <w:tcPr>
            <w:tcW w:type="dxa" w:w="4320"/>
          </w:tcPr>
          <w:p>
            <w:r>
              <w:t>Configuration of case types, rules, and UI</w:t>
            </w:r>
          </w:p>
        </w:tc>
      </w:tr>
      <w:tr>
        <w:tc>
          <w:tcPr>
            <w:tcW w:type="dxa" w:w="4320"/>
          </w:tcPr>
          <w:p>
            <w:r>
              <w:t>Integration Specialist</w:t>
            </w:r>
          </w:p>
        </w:tc>
        <w:tc>
          <w:tcPr>
            <w:tcW w:type="dxa" w:w="4320"/>
          </w:tcPr>
          <w:p>
            <w:r>
              <w:t>API and system integration</w:t>
            </w:r>
          </w:p>
        </w:tc>
      </w:tr>
      <w:tr>
        <w:tc>
          <w:tcPr>
            <w:tcW w:type="dxa" w:w="4320"/>
          </w:tcPr>
          <w:p>
            <w:r>
              <w:t>QA Lead</w:t>
            </w:r>
          </w:p>
        </w:tc>
        <w:tc>
          <w:tcPr>
            <w:tcW w:type="dxa" w:w="4320"/>
          </w:tcPr>
          <w:p>
            <w:r>
              <w:t>Test planning and execution</w:t>
            </w:r>
          </w:p>
        </w:tc>
      </w:tr>
      <w:tr>
        <w:tc>
          <w:tcPr>
            <w:tcW w:type="dxa" w:w="4320"/>
          </w:tcPr>
          <w:p>
            <w:r>
              <w:t>Change Manager</w:t>
            </w:r>
          </w:p>
        </w:tc>
        <w:tc>
          <w:tcPr>
            <w:tcW w:type="dxa" w:w="4320"/>
          </w:tcPr>
          <w:p>
            <w:r>
              <w:t>Training, communication, and adoption</w:t>
            </w:r>
          </w:p>
        </w:tc>
      </w:tr>
      <w:tr>
        <w:tc>
          <w:tcPr>
            <w:tcW w:type="dxa" w:w="4320"/>
          </w:tcPr>
          <w:p>
            <w:r>
              <w:t>Support Lead</w:t>
            </w:r>
          </w:p>
        </w:tc>
        <w:tc>
          <w:tcPr>
            <w:tcW w:type="dxa" w:w="4320"/>
          </w:tcPr>
          <w:p>
            <w:r>
              <w:t>Post go-live support and SLA management</w:t>
            </w:r>
          </w:p>
        </w:tc>
      </w:tr>
    </w:tbl>
    <w:p>
      <w:r>
        <w:rPr>
          <w:b/>
        </w:rPr>
        <w:t>Role</w:t>
      </w:r>
    </w:p>
    <w:p>
      <w:r>
        <w:rPr>
          <w:b/>
        </w:rPr>
        <w:t>Responsibilities</w:t>
      </w:r>
    </w:p>
    <w:p>
      <w:r>
        <w:t>Project Manager</w:t>
      </w:r>
    </w:p>
    <w:p>
      <w:r>
        <w:t>Overall project governance, stakeholder management</w:t>
      </w:r>
    </w:p>
    <w:p>
      <w:r>
        <w:t>Solution Architect</w:t>
      </w:r>
    </w:p>
    <w:p>
      <w:r>
        <w:t>Solution design, architecture, and integration oversight</w:t>
      </w:r>
    </w:p>
    <w:p>
      <w:r>
        <w:t>Lead BPM Developer</w:t>
      </w:r>
    </w:p>
    <w:p>
      <w:r>
        <w:t>Configuration of case types, rules, and UI</w:t>
      </w:r>
    </w:p>
    <w:p>
      <w:r>
        <w:t>Integration Specialist</w:t>
      </w:r>
    </w:p>
    <w:p>
      <w:r>
        <w:t>API and system integration</w:t>
      </w:r>
    </w:p>
    <w:p>
      <w:r>
        <w:t>QA Lead</w:t>
      </w:r>
    </w:p>
    <w:p>
      <w:r>
        <w:t>Test planning and execution</w:t>
      </w:r>
    </w:p>
    <w:p>
      <w:r>
        <w:t>Change Manager</w:t>
      </w:r>
    </w:p>
    <w:p>
      <w:r>
        <w:t>Training, communication, and adoption</w:t>
      </w:r>
    </w:p>
    <w:p>
      <w:r>
        <w:t>Support Lead</w:t>
      </w:r>
    </w:p>
    <w:p>
      <w:r>
        <w:t>Post go-live support and SLA management</w:t>
      </w:r>
    </w:p>
    <w:p>
      <w:r>
        <w:t>Note: Detailed CVs of key personnel will be provided in the final submission package.</w:t>
      </w:r>
    </w:p>
    <w:p>
      <w:pPr>
        <w:pStyle w:val="Heading2"/>
      </w:pPr>
      <w:r>
        <w:t>7. Functional and Technical Compliance Matrix</w:t>
      </w:r>
    </w:p>
    <w:tbl>
      <w:tblPr>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Requirement</w:t>
            </w:r>
          </w:p>
        </w:tc>
        <w:tc>
          <w:tcPr>
            <w:tcW w:type="dxa" w:w="2160"/>
          </w:tcPr>
          <w:p>
            <w:r>
              <w:t>Compliance</w:t>
            </w:r>
          </w:p>
        </w:tc>
        <w:tc>
          <w:tcPr>
            <w:tcW w:type="dxa" w:w="2160"/>
          </w:tcPr>
          <w:p>
            <w:r>
              <w:t>Response / How We Meet It</w:t>
            </w:r>
          </w:p>
        </w:tc>
      </w:tr>
      <w:tr>
        <w:tc>
          <w:tcPr>
            <w:tcW w:type="dxa" w:w="2160"/>
          </w:tcPr>
          <w:p>
            <w:r>
              <w:t>5.1.a</w:t>
            </w:r>
          </w:p>
        </w:tc>
        <w:tc>
          <w:tcPr>
            <w:tcW w:type="dxa" w:w="2160"/>
          </w:tcPr>
          <w:p>
            <w:r>
              <w:t>Straight-through + human-centric workflows</w:t>
            </w:r>
          </w:p>
        </w:tc>
        <w:tc>
          <w:tcPr>
            <w:tcW w:type="dxa" w:w="2160"/>
          </w:tcPr>
          <w:p>
            <w:r>
              <w:t>Compliant</w:t>
            </w:r>
          </w:p>
        </w:tc>
        <w:tc>
          <w:tcPr>
            <w:tcW w:type="dxa" w:w="2160"/>
          </w:tcPr>
          <w:p>
            <w:r>
              <w:t>Workflow engine supports automated steps (validations, integrations, rules) and human tasks (review/approve) in one end-to-end process.</w:t>
            </w:r>
          </w:p>
        </w:tc>
      </w:tr>
      <w:tr>
        <w:tc>
          <w:tcPr>
            <w:tcW w:type="dxa" w:w="2160"/>
          </w:tcPr>
          <w:p>
            <w:r>
              <w:t>5.1.b</w:t>
            </w:r>
          </w:p>
        </w:tc>
        <w:tc>
          <w:tcPr>
            <w:tcW w:type="dxa" w:w="2160"/>
          </w:tcPr>
          <w:p>
            <w:r>
              <w:t>Dynamic case management</w:t>
            </w:r>
          </w:p>
        </w:tc>
        <w:tc>
          <w:tcPr>
            <w:tcW w:type="dxa" w:w="2160"/>
          </w:tcPr>
          <w:p>
            <w:r>
              <w:t>Compliant</w:t>
            </w:r>
          </w:p>
        </w:tc>
        <w:tc>
          <w:tcPr>
            <w:tcW w:type="dxa" w:w="2160"/>
          </w:tcPr>
          <w:p>
            <w:r>
              <w:t>Supports ad-hoc tasks, attachments, notes, and contextual collaboration.</w:t>
            </w:r>
          </w:p>
        </w:tc>
      </w:tr>
      <w:tr>
        <w:tc>
          <w:tcPr>
            <w:tcW w:type="dxa" w:w="2160"/>
          </w:tcPr>
          <w:p>
            <w:r>
              <w:t>5.1.c</w:t>
            </w:r>
          </w:p>
        </w:tc>
        <w:tc>
          <w:tcPr>
            <w:tcW w:type="dxa" w:w="2160"/>
          </w:tcPr>
          <w:p>
            <w:r>
              <w:t>Centralized rules management</w:t>
            </w:r>
          </w:p>
        </w:tc>
        <w:tc>
          <w:tcPr>
            <w:tcW w:type="dxa" w:w="2160"/>
          </w:tcPr>
          <w:p>
            <w:r>
              <w:t>Compliant</w:t>
            </w:r>
          </w:p>
        </w:tc>
        <w:tc>
          <w:tcPr>
            <w:tcW w:type="dxa" w:w="2160"/>
          </w:tcPr>
          <w:p>
            <w:r>
              <w:t>Rules externalized from code, versioned, tested, and deployed via governance.</w:t>
            </w:r>
          </w:p>
        </w:tc>
      </w:tr>
      <w:tr>
        <w:tc>
          <w:tcPr>
            <w:tcW w:type="dxa" w:w="2160"/>
          </w:tcPr>
          <w:p>
            <w:r>
              <w:t>5.1.d</w:t>
            </w:r>
          </w:p>
        </w:tc>
        <w:tc>
          <w:tcPr>
            <w:tcW w:type="dxa" w:w="2160"/>
          </w:tcPr>
          <w:p>
            <w:r>
              <w:t>Web-based responsive UI</w:t>
            </w:r>
          </w:p>
        </w:tc>
        <w:tc>
          <w:tcPr>
            <w:tcW w:type="dxa" w:w="2160"/>
          </w:tcPr>
          <w:p>
            <w:r>
              <w:t>Compliant</w:t>
            </w:r>
          </w:p>
        </w:tc>
        <w:tc>
          <w:tcPr>
            <w:tcW w:type="dxa" w:w="2160"/>
          </w:tcPr>
          <w:p>
            <w:r>
              <w:t>Accessible via standard browsers, with guided steps and contextual help.</w:t>
            </w:r>
          </w:p>
        </w:tc>
      </w:tr>
      <w:tr>
        <w:tc>
          <w:tcPr>
            <w:tcW w:type="dxa" w:w="2160"/>
          </w:tcPr>
          <w:p>
            <w:r>
              <w:t>5.1.e</w:t>
            </w:r>
          </w:p>
        </w:tc>
        <w:tc>
          <w:tcPr>
            <w:tcW w:type="dxa" w:w="2160"/>
          </w:tcPr>
          <w:p>
            <w:r>
              <w:t>Dashboards and reports</w:t>
            </w:r>
          </w:p>
        </w:tc>
        <w:tc>
          <w:tcPr>
            <w:tcW w:type="dxa" w:w="2160"/>
          </w:tcPr>
          <w:p>
            <w:r>
              <w:t>Compliant</w:t>
            </w:r>
          </w:p>
        </w:tc>
        <w:tc>
          <w:tcPr>
            <w:tcW w:type="dxa" w:w="2160"/>
          </w:tcPr>
          <w:p>
            <w:r>
              <w:t>Real-time dashboards for SLA monitoring, workload distribution, and performance.</w:t>
            </w:r>
          </w:p>
        </w:tc>
      </w:tr>
      <w:tr>
        <w:tc>
          <w:tcPr>
            <w:tcW w:type="dxa" w:w="2160"/>
          </w:tcPr>
          <w:p>
            <w:r>
              <w:t>5.1.f</w:t>
            </w:r>
          </w:p>
        </w:tc>
        <w:tc>
          <w:tcPr>
            <w:tcW w:type="dxa" w:w="2160"/>
          </w:tcPr>
          <w:p>
            <w:r>
              <w:t>Integration</w:t>
            </w:r>
          </w:p>
        </w:tc>
        <w:tc>
          <w:tcPr>
            <w:tcW w:type="dxa" w:w="2160"/>
          </w:tcPr>
          <w:p>
            <w:r>
              <w:t>Compliant</w:t>
            </w:r>
          </w:p>
        </w:tc>
        <w:tc>
          <w:tcPr>
            <w:tcW w:type="dxa" w:w="2160"/>
          </w:tcPr>
          <w:p>
            <w:r>
              <w:t>REST APIs, message queues, event-based integration supported.</w:t>
            </w:r>
          </w:p>
        </w:tc>
      </w:tr>
      <w:tr>
        <w:tc>
          <w:tcPr>
            <w:tcW w:type="dxa" w:w="2160"/>
          </w:tcPr>
          <w:p>
            <w:r>
              <w:t>5.1.g</w:t>
            </w:r>
          </w:p>
        </w:tc>
        <w:tc>
          <w:tcPr>
            <w:tcW w:type="dxa" w:w="2160"/>
          </w:tcPr>
          <w:p>
            <w:r>
              <w:t>Security and RBAC</w:t>
            </w:r>
          </w:p>
        </w:tc>
        <w:tc>
          <w:tcPr>
            <w:tcW w:type="dxa" w:w="2160"/>
          </w:tcPr>
          <w:p>
            <w:r>
              <w:t>Compliant</w:t>
            </w:r>
          </w:p>
        </w:tc>
        <w:tc>
          <w:tcPr>
            <w:tcW w:type="dxa" w:w="2160"/>
          </w:tcPr>
          <w:p>
            <w:r>
              <w:t>Role-based access control, fine-grained permissions, full audit logging.</w:t>
            </w:r>
          </w:p>
        </w:tc>
      </w:tr>
      <w:tr>
        <w:tc>
          <w:tcPr>
            <w:tcW w:type="dxa" w:w="2160"/>
          </w:tcPr>
          <w:p>
            <w:r>
              <w:t>5.1.h</w:t>
            </w:r>
          </w:p>
        </w:tc>
        <w:tc>
          <w:tcPr>
            <w:tcW w:type="dxa" w:w="2160"/>
          </w:tcPr>
          <w:p>
            <w:r>
              <w:t>Training and change management</w:t>
            </w:r>
          </w:p>
        </w:tc>
        <w:tc>
          <w:tcPr>
            <w:tcW w:type="dxa" w:w="2160"/>
          </w:tcPr>
          <w:p>
            <w:r>
              <w:t>Compliant</w:t>
            </w:r>
          </w:p>
        </w:tc>
        <w:tc>
          <w:tcPr>
            <w:tcW w:type="dxa" w:w="2160"/>
          </w:tcPr>
          <w:p>
            <w:r>
              <w:t>Comprehensive training for all user groups, with materials and guides.</w:t>
            </w:r>
          </w:p>
        </w:tc>
      </w:tr>
      <w:tr>
        <w:tc>
          <w:tcPr>
            <w:tcW w:type="dxa" w:w="2160"/>
          </w:tcPr>
          <w:p>
            <w:r>
              <w:t>5.1.i</w:t>
            </w:r>
          </w:p>
        </w:tc>
        <w:tc>
          <w:tcPr>
            <w:tcW w:type="dxa" w:w="2160"/>
          </w:tcPr>
          <w:p>
            <w:r>
              <w:t>Support and maintenance</w:t>
            </w:r>
          </w:p>
        </w:tc>
        <w:tc>
          <w:tcPr>
            <w:tcW w:type="dxa" w:w="2160"/>
          </w:tcPr>
          <w:p>
            <w:r>
              <w:t>Compliant</w:t>
            </w:r>
          </w:p>
        </w:tc>
        <w:tc>
          <w:tcPr>
            <w:tcW w:type="dxa" w:w="2160"/>
          </w:tcPr>
          <w:p>
            <w:r>
              <w:t>3 years of post go-live support with defined SLAs.</w:t>
            </w:r>
          </w:p>
        </w:tc>
      </w:tr>
    </w:tbl>
    <w:p>
      <w:r>
        <w:rPr>
          <w:b/>
        </w:rPr>
        <w:t>ID</w:t>
      </w:r>
    </w:p>
    <w:p>
      <w:r>
        <w:rPr>
          <w:b/>
        </w:rPr>
        <w:t>Requirement</w:t>
      </w:r>
    </w:p>
    <w:p>
      <w:r>
        <w:rPr>
          <w:b/>
        </w:rPr>
        <w:t>Compliance</w:t>
      </w:r>
    </w:p>
    <w:p>
      <w:r>
        <w:rPr>
          <w:b/>
        </w:rPr>
        <w:t>Response / How We Meet It</w:t>
      </w:r>
    </w:p>
    <w:p>
      <w:r>
        <w:t>5.1.a</w:t>
      </w:r>
    </w:p>
    <w:p>
      <w:r>
        <w:t>Straight-through + human-centric workflows</w:t>
      </w:r>
    </w:p>
    <w:p>
      <w:r>
        <w:t>Compliant</w:t>
      </w:r>
    </w:p>
    <w:p>
      <w:r>
        <w:t>Workflow engine supports automated steps (validations, integrations, rules) and human tasks (review/approve) in one end-to-end process.</w:t>
      </w:r>
    </w:p>
    <w:p>
      <w:r>
        <w:t>5.1.b</w:t>
      </w:r>
    </w:p>
    <w:p>
      <w:r>
        <w:t>Dynamic case management</w:t>
      </w:r>
    </w:p>
    <w:p>
      <w:r>
        <w:t>Compliant</w:t>
      </w:r>
    </w:p>
    <w:p>
      <w:r>
        <w:t>Supports ad-hoc tasks, attachments, notes, and contextual collaboration.</w:t>
      </w:r>
    </w:p>
    <w:p>
      <w:r>
        <w:t>5.1.c</w:t>
      </w:r>
    </w:p>
    <w:p>
      <w:r>
        <w:t>Centralized rules management</w:t>
      </w:r>
    </w:p>
    <w:p>
      <w:r>
        <w:t>Compliant</w:t>
      </w:r>
    </w:p>
    <w:p>
      <w:r>
        <w:t>Rules externalized from code, versioned, tested, and deployed via governance.</w:t>
      </w:r>
    </w:p>
    <w:p>
      <w:r>
        <w:t>5.1.d</w:t>
      </w:r>
    </w:p>
    <w:p>
      <w:r>
        <w:t>Web-based responsive UI</w:t>
      </w:r>
    </w:p>
    <w:p>
      <w:r>
        <w:t>Compliant</w:t>
      </w:r>
    </w:p>
    <w:p>
      <w:r>
        <w:t>Accessible via standard browsers, with guided steps and contextual help.</w:t>
      </w:r>
    </w:p>
    <w:p>
      <w:r>
        <w:t>5.1.e</w:t>
      </w:r>
    </w:p>
    <w:p>
      <w:r>
        <w:t>Dashboards and reports</w:t>
      </w:r>
    </w:p>
    <w:p>
      <w:r>
        <w:t>Compliant</w:t>
      </w:r>
    </w:p>
    <w:p>
      <w:r>
        <w:t>Real-time dashboards for SLA monitoring, workload distribution, and performance.</w:t>
      </w:r>
    </w:p>
    <w:p>
      <w:r>
        <w:t>5.1.f</w:t>
      </w:r>
    </w:p>
    <w:p>
      <w:r>
        <w:t>Integration</w:t>
      </w:r>
    </w:p>
    <w:p>
      <w:r>
        <w:t>Compliant</w:t>
      </w:r>
    </w:p>
    <w:p>
      <w:r>
        <w:t>REST APIs, message queues, event-based integration supported.</w:t>
      </w:r>
    </w:p>
    <w:p>
      <w:r>
        <w:t>5.1.g</w:t>
      </w:r>
    </w:p>
    <w:p>
      <w:r>
        <w:t>Security and RBAC</w:t>
      </w:r>
    </w:p>
    <w:p>
      <w:r>
        <w:t>Compliant</w:t>
      </w:r>
    </w:p>
    <w:p>
      <w:r>
        <w:t>Role-based access control, fine-grained permissions, full audit logging.</w:t>
      </w:r>
    </w:p>
    <w:p>
      <w:r>
        <w:t>5.1.h</w:t>
      </w:r>
    </w:p>
    <w:p>
      <w:r>
        <w:t>Training and change management</w:t>
      </w:r>
    </w:p>
    <w:p>
      <w:r>
        <w:t>Compliant</w:t>
      </w:r>
    </w:p>
    <w:p>
      <w:r>
        <w:t>Comprehensive training for all user groups, with materials and guides.</w:t>
      </w:r>
    </w:p>
    <w:p>
      <w:r>
        <w:t>5.1.i</w:t>
      </w:r>
    </w:p>
    <w:p>
      <w:r>
        <w:t>Support and maintenance</w:t>
      </w:r>
    </w:p>
    <w:p>
      <w:r>
        <w:t>Compliant</w:t>
      </w:r>
    </w:p>
    <w:p>
      <w:r>
        <w:t>3 years of post go-live support with defined SLAs.</w:t>
      </w:r>
    </w:p>
    <w:p>
      <w:pPr>
        <w:pStyle w:val="Heading2"/>
      </w:pPr>
      <w:r>
        <w:t>8. Assumptions, Dependencies, and Risks</w:t>
      </w:r>
    </w:p>
    <w:p>
      <w:pPr>
        <w:pStyle w:val="Heading3"/>
      </w:pPr>
      <w:r>
        <w:t>Assumptions</w:t>
      </w:r>
    </w:p>
    <w:p>
      <w:r>
        <w:t>• MTI will provide access to existing systems and data sources.</w:t>
      </w:r>
    </w:p>
    <w:p>
      <w:r>
        <w:t>• MTI’s identity management supports SAML 2.0 or OAuth2/OIDC.</w:t>
      </w:r>
    </w:p>
    <w:p>
      <w:r>
        <w:t>• Business users will be available for workshops and UAT.</w:t>
      </w:r>
    </w:p>
    <w:p>
      <w:pPr>
        <w:pStyle w:val="Heading3"/>
      </w:pPr>
      <w:r>
        <w:t>Dependencies</w:t>
      </w:r>
    </w:p>
    <w:p>
      <w:r>
        <w:t>• Timely availability of MTI’s technical and business stakeholders.</w:t>
      </w:r>
    </w:p>
    <w:p>
      <w:r>
        <w:t>• Access to integration endpoints and test environments.</w:t>
      </w:r>
    </w:p>
    <w:p>
      <w:r>
        <w:t>• Approval of design documents and configurations.</w:t>
      </w:r>
    </w:p>
    <w:p>
      <w:pPr>
        <w:pStyle w:val="Heading3"/>
      </w:pPr>
      <w:r>
        <w:t>Risks and Mitigation</w:t>
      </w:r>
    </w:p>
    <w:tbl>
      <w:tblPr>
        <w:tblW w:type="auto" w:w="0"/>
        <w:tblLook w:firstColumn="1" w:firstRow="1" w:lastColumn="0" w:lastRow="0" w:noHBand="0" w:noVBand="1" w:val="04A0"/>
      </w:tblPr>
      <w:tblGrid>
        <w:gridCol w:w="2880"/>
        <w:gridCol w:w="2880"/>
        <w:gridCol w:w="2880"/>
      </w:tblGrid>
      <w:tr>
        <w:tc>
          <w:tcPr>
            <w:tcW w:type="dxa" w:w="2880"/>
          </w:tcPr>
          <w:p>
            <w:r>
              <w:t>Risk</w:t>
            </w:r>
          </w:p>
        </w:tc>
        <w:tc>
          <w:tcPr>
            <w:tcW w:type="dxa" w:w="2880"/>
          </w:tcPr>
          <w:p>
            <w:r>
              <w:t>Impact</w:t>
            </w:r>
          </w:p>
        </w:tc>
        <w:tc>
          <w:tcPr>
            <w:tcW w:type="dxa" w:w="2880"/>
          </w:tcPr>
          <w:p>
            <w:r>
              <w:t>Mitigation</w:t>
            </w:r>
          </w:p>
        </w:tc>
      </w:tr>
      <w:tr>
        <w:tc>
          <w:tcPr>
            <w:tcW w:type="dxa" w:w="2880"/>
          </w:tcPr>
          <w:p>
            <w:r>
              <w:t>Delays in requirements finalization</w:t>
            </w:r>
          </w:p>
        </w:tc>
        <w:tc>
          <w:tcPr>
            <w:tcW w:type="dxa" w:w="2880"/>
          </w:tcPr>
          <w:p>
            <w:r>
              <w:t>Medium</w:t>
            </w:r>
          </w:p>
        </w:tc>
        <w:tc>
          <w:tcPr>
            <w:tcW w:type="dxa" w:w="2880"/>
          </w:tcPr>
          <w:p>
            <w:r>
              <w:t>Conduct early DCO workshops to accelerate alignment.</w:t>
            </w:r>
          </w:p>
        </w:tc>
      </w:tr>
      <w:tr>
        <w:tc>
          <w:tcPr>
            <w:tcW w:type="dxa" w:w="2880"/>
          </w:tcPr>
          <w:p>
            <w:r>
              <w:t>Integration complexity</w:t>
            </w:r>
          </w:p>
        </w:tc>
        <w:tc>
          <w:tcPr>
            <w:tcW w:type="dxa" w:w="2880"/>
          </w:tcPr>
          <w:p>
            <w:r>
              <w:t>High</w:t>
            </w:r>
          </w:p>
        </w:tc>
        <w:tc>
          <w:tcPr>
            <w:tcW w:type="dxa" w:w="2880"/>
          </w:tcPr>
          <w:p>
            <w:r>
              <w:t>Use fxAgentSDK for rapid connector development.</w:t>
            </w:r>
          </w:p>
        </w:tc>
      </w:tr>
      <w:tr>
        <w:tc>
          <w:tcPr>
            <w:tcW w:type="dxa" w:w="2880"/>
          </w:tcPr>
          <w:p>
            <w:r>
              <w:t>User adoption challenges</w:t>
            </w:r>
          </w:p>
        </w:tc>
        <w:tc>
          <w:tcPr>
            <w:tcW w:type="dxa" w:w="2880"/>
          </w:tcPr>
          <w:p>
            <w:r>
              <w:t>Medium</w:t>
            </w:r>
          </w:p>
        </w:tc>
        <w:tc>
          <w:tcPr>
            <w:tcW w:type="dxa" w:w="2880"/>
          </w:tcPr>
          <w:p>
            <w:r>
              <w:t>Comprehensive training and change management.</w:t>
            </w:r>
          </w:p>
        </w:tc>
      </w:tr>
      <w:tr>
        <w:tc>
          <w:tcPr>
            <w:tcW w:type="dxa" w:w="2880"/>
          </w:tcPr>
          <w:p>
            <w:r>
              <w:t>Performance issues post go-live</w:t>
            </w:r>
          </w:p>
        </w:tc>
        <w:tc>
          <w:tcPr>
            <w:tcW w:type="dxa" w:w="2880"/>
          </w:tcPr>
          <w:p>
            <w:r>
              <w:t>Low</w:t>
            </w:r>
          </w:p>
        </w:tc>
        <w:tc>
          <w:tcPr>
            <w:tcW w:type="dxa" w:w="2880"/>
          </w:tcPr>
          <w:p>
            <w:r>
              <w:t>Conduct performance testing and tuning pre-deployment.</w:t>
            </w:r>
          </w:p>
        </w:tc>
      </w:tr>
    </w:tbl>
    <w:p>
      <w:r>
        <w:rPr>
          <w:b/>
        </w:rPr>
        <w:t>Risk</w:t>
      </w:r>
    </w:p>
    <w:p>
      <w:r>
        <w:rPr>
          <w:b/>
        </w:rPr>
        <w:t>Impact</w:t>
      </w:r>
    </w:p>
    <w:p>
      <w:r>
        <w:rPr>
          <w:b/>
        </w:rPr>
        <w:t>Mitigation</w:t>
      </w:r>
    </w:p>
    <w:p>
      <w:r>
        <w:t>Delays in requirements finalization</w:t>
      </w:r>
    </w:p>
    <w:p>
      <w:r>
        <w:t>Medium</w:t>
      </w:r>
    </w:p>
    <w:p>
      <w:r>
        <w:t>Conduct early DCO workshops to accelerate alignment.</w:t>
      </w:r>
    </w:p>
    <w:p>
      <w:r>
        <w:t>Integration complexity</w:t>
      </w:r>
    </w:p>
    <w:p>
      <w:r>
        <w:t>High</w:t>
      </w:r>
    </w:p>
    <w:p>
      <w:r>
        <w:t>Use fxAgentSDK for rapid connector development.</w:t>
      </w:r>
    </w:p>
    <w:p>
      <w:r>
        <w:t>User adoption challenges</w:t>
      </w:r>
    </w:p>
    <w:p>
      <w:r>
        <w:t>Medium</w:t>
      </w:r>
    </w:p>
    <w:p>
      <w:r>
        <w:t>Comprehensive training and change management.</w:t>
      </w:r>
    </w:p>
    <w:p>
      <w:r>
        <w:t>Performance issues post go-live</w:t>
      </w:r>
    </w:p>
    <w:p>
      <w:r>
        <w:t>Low</w:t>
      </w:r>
    </w:p>
    <w:p>
      <w:r>
        <w:t>Conduct performance testing and tuning pre-deployment.</w:t>
      </w:r>
    </w:p>
    <w:p>
      <w:pPr>
        <w:pStyle w:val="Heading2"/>
      </w:pPr>
      <w:r>
        <w:t>9. Support and Maintenance Model</w:t>
      </w:r>
    </w:p>
    <w:p>
      <w:r>
        <w:t>FusionAIx will provide three (3) years of post go-live support and maintenance, including:</w:t>
      </w:r>
    </w:p>
    <w:p>
      <w:r>
        <w:t>•</w:t>
      </w:r>
      <w:r>
        <w:rPr>
          <w:b/>
        </w:rPr>
        <w:t>L1 (Helpdesk):</w:t>
      </w:r>
      <w:r>
        <w:t>User access, configuration issues, minor fixes.</w:t>
      </w:r>
    </w:p>
    <w:p>
      <w:r>
        <w:t>•</w:t>
      </w:r>
      <w:r>
        <w:rPr>
          <w:b/>
        </w:rPr>
        <w:t>L2 (Application Support):</w:t>
      </w:r>
      <w:r>
        <w:t>Functional issues, workflow troubleshooting, portal issues.</w:t>
      </w:r>
    </w:p>
    <w:p>
      <w:r>
        <w:t>•</w:t>
      </w:r>
      <w:r>
        <w:rPr>
          <w:b/>
        </w:rPr>
        <w:t>L3 (Engineering/Product):</w:t>
      </w:r>
      <w:r>
        <w:t>Complex defects, integrations, performance tuning, upgrades.</w:t>
      </w:r>
    </w:p>
    <w:p>
      <w:pPr>
        <w:pStyle w:val="Heading3"/>
      </w:pPr>
      <w:r>
        <w:t>SLA Targets</w:t>
      </w:r>
    </w:p>
    <w:tbl>
      <w:tblPr>
        <w:tblW w:type="auto" w:w="0"/>
        <w:tblLook w:firstColumn="1" w:firstRow="1" w:lastColumn="0" w:lastRow="0" w:noHBand="0" w:noVBand="1" w:val="04A0"/>
      </w:tblPr>
      <w:tblGrid>
        <w:gridCol w:w="2880"/>
        <w:gridCol w:w="2880"/>
        <w:gridCol w:w="2880"/>
      </w:tblGrid>
      <w:tr>
        <w:tc>
          <w:tcPr>
            <w:tcW w:type="dxa" w:w="2880"/>
          </w:tcPr>
          <w:p>
            <w:r>
              <w:t>Severity</w:t>
            </w:r>
          </w:p>
        </w:tc>
        <w:tc>
          <w:tcPr>
            <w:tcW w:type="dxa" w:w="2880"/>
          </w:tcPr>
          <w:p>
            <w:r>
              <w:t>Response Time</w:t>
            </w:r>
          </w:p>
        </w:tc>
        <w:tc>
          <w:tcPr>
            <w:tcW w:type="dxa" w:w="2880"/>
          </w:tcPr>
          <w:p>
            <w:r>
              <w:t>Resolution Time</w:t>
            </w:r>
          </w:p>
        </w:tc>
      </w:tr>
      <w:tr>
        <w:tc>
          <w:tcPr>
            <w:tcW w:type="dxa" w:w="2880"/>
          </w:tcPr>
          <w:p>
            <w:r>
              <w:t>Sev 1 (Critical)</w:t>
            </w:r>
          </w:p>
        </w:tc>
        <w:tc>
          <w:tcPr>
            <w:tcW w:type="dxa" w:w="2880"/>
          </w:tcPr>
          <w:p>
            <w:r>
              <w:t>1 hour</w:t>
            </w:r>
          </w:p>
        </w:tc>
        <w:tc>
          <w:tcPr>
            <w:tcW w:type="dxa" w:w="2880"/>
          </w:tcPr>
          <w:p>
            <w:r>
              <w:t>4 hours</w:t>
            </w:r>
          </w:p>
        </w:tc>
      </w:tr>
      <w:tr>
        <w:tc>
          <w:tcPr>
            <w:tcW w:type="dxa" w:w="2880"/>
          </w:tcPr>
          <w:p>
            <w:r>
              <w:t>Sev 2 (High)</w:t>
            </w:r>
          </w:p>
        </w:tc>
        <w:tc>
          <w:tcPr>
            <w:tcW w:type="dxa" w:w="2880"/>
          </w:tcPr>
          <w:p>
            <w:r>
              <w:t>4 hours</w:t>
            </w:r>
          </w:p>
        </w:tc>
        <w:tc>
          <w:tcPr>
            <w:tcW w:type="dxa" w:w="2880"/>
          </w:tcPr>
          <w:p>
            <w:r>
              <w:t>1 business day</w:t>
            </w:r>
          </w:p>
        </w:tc>
      </w:tr>
      <w:tr>
        <w:tc>
          <w:tcPr>
            <w:tcW w:type="dxa" w:w="2880"/>
          </w:tcPr>
          <w:p>
            <w:r>
              <w:t>Sev 3 (Medium)</w:t>
            </w:r>
          </w:p>
        </w:tc>
        <w:tc>
          <w:tcPr>
            <w:tcW w:type="dxa" w:w="2880"/>
          </w:tcPr>
          <w:p>
            <w:r>
              <w:t>1 business day</w:t>
            </w:r>
          </w:p>
        </w:tc>
        <w:tc>
          <w:tcPr>
            <w:tcW w:type="dxa" w:w="2880"/>
          </w:tcPr>
          <w:p>
            <w:r>
              <w:t>3 business days</w:t>
            </w:r>
          </w:p>
        </w:tc>
      </w:tr>
      <w:tr>
        <w:tc>
          <w:tcPr>
            <w:tcW w:type="dxa" w:w="2880"/>
          </w:tcPr>
          <w:p>
            <w:r>
              <w:t>Sev 4 (Low)</w:t>
            </w:r>
          </w:p>
        </w:tc>
        <w:tc>
          <w:tcPr>
            <w:tcW w:type="dxa" w:w="2880"/>
          </w:tcPr>
          <w:p>
            <w:r>
              <w:t>2 business days</w:t>
            </w:r>
          </w:p>
        </w:tc>
        <w:tc>
          <w:tcPr>
            <w:tcW w:type="dxa" w:w="2880"/>
          </w:tcPr>
          <w:p>
            <w:r>
              <w:t>5 business days</w:t>
            </w:r>
          </w:p>
        </w:tc>
      </w:tr>
    </w:tbl>
    <w:p>
      <w:r>
        <w:rPr>
          <w:b/>
        </w:rPr>
        <w:t>Severity</w:t>
      </w:r>
    </w:p>
    <w:p>
      <w:r>
        <w:rPr>
          <w:b/>
        </w:rPr>
        <w:t>Response Time</w:t>
      </w:r>
    </w:p>
    <w:p>
      <w:r>
        <w:rPr>
          <w:b/>
        </w:rPr>
        <w:t>Resolution Time</w:t>
      </w:r>
    </w:p>
    <w:p>
      <w:r>
        <w:t>Sev 1 (Critical)</w:t>
      </w:r>
    </w:p>
    <w:p>
      <w:r>
        <w:t>1 hour</w:t>
      </w:r>
    </w:p>
    <w:p>
      <w:r>
        <w:t>4 hours</w:t>
      </w:r>
    </w:p>
    <w:p>
      <w:r>
        <w:t>Sev 2 (High)</w:t>
      </w:r>
    </w:p>
    <w:p>
      <w:r>
        <w:t>4 hours</w:t>
      </w:r>
    </w:p>
    <w:p>
      <w:r>
        <w:t>1 business day</w:t>
      </w:r>
    </w:p>
    <w:p>
      <w:r>
        <w:t>Sev 3 (Medium)</w:t>
      </w:r>
    </w:p>
    <w:p>
      <w:r>
        <w:t>1 business day</w:t>
      </w:r>
    </w:p>
    <w:p>
      <w:r>
        <w:t>3 business days</w:t>
      </w:r>
    </w:p>
    <w:p>
      <w:r>
        <w:t>Sev 4 (Low)</w:t>
      </w:r>
    </w:p>
    <w:p>
      <w:r>
        <w:t>2 business days</w:t>
      </w:r>
    </w:p>
    <w:p>
      <w:r>
        <w:t>5 business days</w:t>
      </w:r>
    </w:p>
    <w:p>
      <w:pPr>
        <w:pStyle w:val="Heading3"/>
      </w:pPr>
      <w:r>
        <w:t>Escalation and Governance</w:t>
      </w:r>
    </w:p>
    <w:p>
      <w:r>
        <w:t>•</w:t>
      </w:r>
      <w:r>
        <w:rPr>
          <w:b/>
        </w:rPr>
        <w:t>Incident Manager</w:t>
      </w:r>
      <w:r>
        <w:t>assigned for Sev 1/2 issues.</w:t>
      </w:r>
    </w:p>
    <w:p>
      <w:r>
        <w:t>•</w:t>
      </w:r>
      <w:r>
        <w:rPr>
          <w:b/>
        </w:rPr>
        <w:t>Escalation Ladder:</w:t>
      </w:r>
      <w:r>
        <w:t>Support Lead → Program Manager → Executive Sponsor.</w:t>
      </w:r>
    </w:p>
    <w:p>
      <w:r>
        <w:t>•</w:t>
      </w:r>
      <w:r>
        <w:rPr>
          <w:b/>
        </w:rPr>
        <w:t>Monthly Service Reviews:</w:t>
      </w:r>
      <w:r>
        <w:t>SLA performance, root cause analysis, continuous improvement.</w:t>
      </w:r>
    </w:p>
    <w:p>
      <w:pPr>
        <w:pStyle w:val="Heading2"/>
      </w:pPr>
      <w:r>
        <w:t>10. Commercial Proposal</w:t>
      </w:r>
    </w:p>
    <w:p>
      <w:r>
        <w:t>The commercial proposal will be provided in the final submission package and will include a 5-year Total Cost of Ownership (TCO) view, with costs broken down by:</w:t>
      </w:r>
    </w:p>
    <w:p>
      <w:pPr>
        <w:pStyle w:val="ListNumber"/>
      </w:pPr>
      <w:r>
        <w:rPr>
          <w:b/>
        </w:rPr>
        <w:t>Licensing:</w:t>
      </w:r>
      <w:r>
        <w:t>Internal roles/users and external portal usage model.</w:t>
      </w:r>
    </w:p>
    <w:p>
      <w:pPr>
        <w:pStyle w:val="ListNumber"/>
      </w:pPr>
      <w:r>
        <w:rPr>
          <w:b/>
        </w:rPr>
        <w:t>Implementation Services:</w:t>
      </w:r>
      <w:r>
        <w:t>Discovery, design, configuration, integration, testing, and training.</w:t>
      </w:r>
    </w:p>
    <w:p>
      <w:pPr>
        <w:pStyle w:val="ListNumber"/>
      </w:pPr>
      <w:r>
        <w:rPr>
          <w:b/>
        </w:rPr>
        <w:t>Support and Maintenance:</w:t>
      </w:r>
      <w:r>
        <w:t>Three years minimum post go-live.</w:t>
      </w:r>
    </w:p>
    <w:p>
      <w:pPr>
        <w:pStyle w:val="ListNumber"/>
      </w:pPr>
      <w:r>
        <w:rPr>
          <w:b/>
        </w:rPr>
        <w:t>Optional Components:</w:t>
      </w:r>
      <w:r>
        <w:t>Advanced analytics, additional environments, disaster recovery enhancements, and AI-assisted features under governance.</w:t>
      </w:r>
    </w:p>
    <w:p>
      <w:r>
        <w:t>All pricing will be presented in local currency, exclusive of applicable taxes, and aligned with MTI’s commercial terms.</w:t>
      </w:r>
    </w:p>
    <w:p>
      <w:r>
        <w:t>End of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