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36"/>
        </w:rPr>
        <w:t>RFP Response (Dummy)</w:t>
      </w:r>
    </w:p>
    <w:p>
      <w:pPr>
        <w:jc w:val="center"/>
      </w:pPr>
      <w:r>
        <w:rPr>
          <w:rFonts w:ascii="Calibri" w:hAnsi="Calibri" w:eastAsia="Calibri"/>
          <w:b/>
          <w:sz w:val="36"/>
        </w:rPr>
        <w:t>Global Contractor Agencies Framework</w:t>
      </w:r>
    </w:p>
    <w:p>
      <w:pPr>
        <w:jc w:val="center"/>
      </w:pPr>
      <w:r>
        <w:rPr>
          <w:rFonts w:ascii="Calibri" w:hAnsi="Calibri" w:eastAsia="Calibri"/>
          <w:b w:val="0"/>
          <w:sz w:val="24"/>
        </w:rPr>
        <w:t>Thoughtworks — November 2025 RFP</w:t>
      </w:r>
    </w:p>
    <w:p>
      <w:pPr>
        <w:jc w:val="center"/>
      </w:pPr>
      <w:r>
        <w:rPr>
          <w:rFonts w:ascii="Calibri" w:hAnsi="Calibri" w:eastAsia="Calibri"/>
          <w:b w:val="0"/>
          <w:sz w:val="24"/>
        </w:rPr>
        <w:t>Submission date: 27 December 2025</w:t>
      </w:r>
    </w:p>
    <w:p/>
    <w:p>
      <w:pPr>
        <w:jc w:val="center"/>
      </w:pPr>
      <w:r>
        <w:rPr>
          <w:rFonts w:ascii="Calibri" w:hAnsi="Calibri" w:eastAsia="Calibri"/>
          <w:b w:val="0"/>
          <w:sz w:val="24"/>
        </w:rPr>
        <w:t>Bidder: Example Contractor Agency Ltd. (Illustrative)</w:t>
      </w:r>
    </w:p>
    <w:p>
      <w:pPr>
        <w:jc w:val="center"/>
      </w:pPr>
      <w:r>
        <w:rPr>
          <w:rFonts w:ascii="Calibri" w:hAnsi="Calibri" w:eastAsia="Calibri"/>
          <w:b w:val="0"/>
          <w:sz w:val="24"/>
        </w:rPr>
        <w:t>Primary contact: Name Surname | title | email@agency.example | +00 00 00 00 00</w:t>
      </w:r>
    </w:p>
    <w:p>
      <w:r>
        <w:br w:type="page"/>
      </w:r>
    </w:p>
    <w:p>
      <w:pPr>
        <w:pStyle w:val="Heading1"/>
      </w:pPr>
      <w:r>
        <w:t>1. Executive Summary</w:t>
      </w:r>
    </w:p>
    <w:p>
      <w:r>
        <w:t>This document is a dummy response designed to demonstrate the structure and level of detail that Example Contractor Agency Ltd. would provide in response to Thoughtworks’ RFP for establishing a Global Framework for Contractor Agencies. All quantitative metrics and evidence references below are illustrative and would be validated during due diligence and contracting.</w:t>
      </w:r>
    </w:p>
    <w:p>
      <w:r>
        <w:t>Our proposed engagement model is designed to support Thoughtworks with:</w:t>
      </w:r>
    </w:p>
    <w:p>
      <w:pPr>
        <w:pStyle w:val="ListBullet"/>
      </w:pPr>
      <w:r>
        <w:t>Rapid access to high-quality contractor talent across multiple countries and skill domains.</w:t>
      </w:r>
    </w:p>
    <w:p>
      <w:pPr>
        <w:pStyle w:val="ListBullet"/>
      </w:pPr>
      <w:r>
        <w:t>A compliant, auditable operating model aligned to local labor and tax requirements.</w:t>
      </w:r>
    </w:p>
    <w:p>
      <w:pPr>
        <w:pStyle w:val="ListBullet"/>
      </w:pPr>
      <w:r>
        <w:t>Robust information security and data protection controls suitable for client delivery environments.</w:t>
      </w:r>
    </w:p>
    <w:p>
      <w:pPr>
        <w:pStyle w:val="ListBullet"/>
      </w:pPr>
      <w:r>
        <w:t>Transparent commercial operations, including pre-invoice reporting and clear escalation paths.</w:t>
      </w:r>
    </w:p>
    <w:p>
      <w:pPr>
        <w:pStyle w:val="Heading2"/>
      </w:pPr>
      <w:r>
        <w:t>1.1 Lot Coverage (Illustrative)</w:t>
      </w:r>
    </w:p>
    <w:p>
      <w:r>
        <w:t>We can support Thoughtworks in all five Lots via a combination of local entities, vetted partner networks, and established independent contractor engagement models. Where local entity coverage is not available, we propose an Agent-of-Record / partner model compliant with the contracted location’s requirements.</w:t>
      </w:r>
    </w:p>
    <w:p>
      <w:pPr>
        <w:pStyle w:val="Heading1"/>
      </w:pPr>
      <w:r>
        <w:t>2. Company and Delivery Overview</w:t>
      </w:r>
    </w:p>
    <w:p>
      <w:pPr>
        <w:pStyle w:val="Heading2"/>
      </w:pPr>
      <w:r>
        <w:t>2.1 Company Profile (Illustrative)</w:t>
      </w:r>
    </w:p>
    <w:p>
      <w:pPr>
        <w:pStyle w:val="ListBullet"/>
      </w:pPr>
      <w:r>
        <w:t>Founded: 2012</w:t>
      </w:r>
    </w:p>
    <w:p>
      <w:pPr>
        <w:pStyle w:val="ListBullet"/>
      </w:pPr>
      <w:r>
        <w:t>Headcount: ~450 internal employees (recruiting, compliance, payroll/finance, client services)</w:t>
      </w:r>
    </w:p>
    <w:p>
      <w:pPr>
        <w:pStyle w:val="ListBullet"/>
      </w:pPr>
      <w:r>
        <w:t>Active contractor network: ~18,000 screened professionals globally</w:t>
      </w:r>
    </w:p>
    <w:p>
      <w:pPr>
        <w:pStyle w:val="ListBullet"/>
      </w:pPr>
      <w:r>
        <w:t>Delivery footprint: Europe, North America, Latin America, APAC, India &amp; Middle East</w:t>
      </w:r>
    </w:p>
    <w:p>
      <w:pPr>
        <w:pStyle w:val="ListBullet"/>
      </w:pPr>
      <w:r>
        <w:t>Primary services: staff augmentation, independent contractor sourcing, compliance &amp; onboarding, payrolling, and managed delivery pods (SOW)</w:t>
      </w:r>
    </w:p>
    <w:p>
      <w:pPr>
        <w:pStyle w:val="Heading2"/>
      </w:pPr>
      <w:r>
        <w:t>2.2 Governance and Points of Contact</w:t>
      </w:r>
    </w:p>
    <w:p>
      <w:r>
        <w:t>Thoughtworks would be supported by a dedicated account team and regional operational leads.</w:t>
      </w:r>
    </w:p>
    <w:tbl>
      <w:tblPr>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Coverage</w:t>
            </w:r>
          </w:p>
        </w:tc>
        <w:tc>
          <w:tcPr>
            <w:tcW w:type="dxa" w:w="2160"/>
          </w:tcPr>
          <w:p>
            <w:r>
              <w:t>Primary responsibilities</w:t>
            </w:r>
          </w:p>
        </w:tc>
        <w:tc>
          <w:tcPr>
            <w:tcW w:type="dxa" w:w="2160"/>
          </w:tcPr>
          <w:p>
            <w:r>
              <w:t>Availability</w:t>
            </w:r>
          </w:p>
        </w:tc>
      </w:tr>
      <w:tr>
        <w:tc>
          <w:tcPr>
            <w:tcW w:type="dxa" w:w="2160"/>
          </w:tcPr>
          <w:p>
            <w:r>
              <w:t>Global Account Director</w:t>
            </w:r>
          </w:p>
        </w:tc>
        <w:tc>
          <w:tcPr>
            <w:tcW w:type="dxa" w:w="2160"/>
          </w:tcPr>
          <w:p>
            <w:r>
              <w:t>All Lots</w:t>
            </w:r>
          </w:p>
        </w:tc>
        <w:tc>
          <w:tcPr>
            <w:tcW w:type="dxa" w:w="2160"/>
          </w:tcPr>
          <w:p>
            <w:r>
              <w:t>Executive governance, issue escalation, quarterly business reviews (QBRs)</w:t>
            </w:r>
          </w:p>
        </w:tc>
        <w:tc>
          <w:tcPr>
            <w:tcW w:type="dxa" w:w="2160"/>
          </w:tcPr>
          <w:p>
            <w:r>
              <w:t>Business hours + on-call for Sev-1</w:t>
            </w:r>
          </w:p>
        </w:tc>
      </w:tr>
      <w:tr>
        <w:tc>
          <w:tcPr>
            <w:tcW w:type="dxa" w:w="2160"/>
          </w:tcPr>
          <w:p>
            <w:r>
              <w:t>Regional Account Manager</w:t>
            </w:r>
          </w:p>
        </w:tc>
        <w:tc>
          <w:tcPr>
            <w:tcW w:type="dxa" w:w="2160"/>
          </w:tcPr>
          <w:p>
            <w:r>
              <w:t>Per Lot/Region</w:t>
            </w:r>
          </w:p>
        </w:tc>
        <w:tc>
          <w:tcPr>
            <w:tcW w:type="dxa" w:w="2160"/>
          </w:tcPr>
          <w:p>
            <w:r>
              <w:t>Demand intake, prioritization, stakeholder management</w:t>
            </w:r>
          </w:p>
        </w:tc>
        <w:tc>
          <w:tcPr>
            <w:tcW w:type="dxa" w:w="2160"/>
          </w:tcPr>
          <w:p>
            <w:r>
              <w:t>Business hours</w:t>
            </w:r>
          </w:p>
        </w:tc>
      </w:tr>
      <w:tr>
        <w:tc>
          <w:tcPr>
            <w:tcW w:type="dxa" w:w="2160"/>
          </w:tcPr>
          <w:p>
            <w:r>
              <w:t>Compliance Lead</w:t>
            </w:r>
          </w:p>
        </w:tc>
        <w:tc>
          <w:tcPr>
            <w:tcW w:type="dxa" w:w="2160"/>
          </w:tcPr>
          <w:p>
            <w:r>
              <w:t>Per region</w:t>
            </w:r>
          </w:p>
        </w:tc>
        <w:tc>
          <w:tcPr>
            <w:tcW w:type="dxa" w:w="2160"/>
          </w:tcPr>
          <w:p>
            <w:r>
              <w:t>Contracts, background checks, right-to-work, local compliance</w:t>
            </w:r>
          </w:p>
        </w:tc>
        <w:tc>
          <w:tcPr>
            <w:tcW w:type="dxa" w:w="2160"/>
          </w:tcPr>
          <w:p>
            <w:r>
              <w:t>Business hours</w:t>
            </w:r>
          </w:p>
        </w:tc>
      </w:tr>
      <w:tr>
        <w:tc>
          <w:tcPr>
            <w:tcW w:type="dxa" w:w="2160"/>
          </w:tcPr>
          <w:p>
            <w:r>
              <w:t>Operations Lead</w:t>
            </w:r>
          </w:p>
        </w:tc>
        <w:tc>
          <w:tcPr>
            <w:tcW w:type="dxa" w:w="2160"/>
          </w:tcPr>
          <w:p>
            <w:r>
              <w:t>Per region</w:t>
            </w:r>
          </w:p>
        </w:tc>
        <w:tc>
          <w:tcPr>
            <w:tcW w:type="dxa" w:w="2160"/>
          </w:tcPr>
          <w:p>
            <w:r>
              <w:t>Onboarding, time capture controls, invoicing/pre-invoice reporting</w:t>
            </w:r>
          </w:p>
        </w:tc>
        <w:tc>
          <w:tcPr>
            <w:tcW w:type="dxa" w:w="2160"/>
          </w:tcPr>
          <w:p>
            <w:r>
              <w:t>Business hours</w:t>
            </w:r>
          </w:p>
        </w:tc>
      </w:tr>
    </w:tbl>
    <w:p>
      <w:pPr>
        <w:pStyle w:val="Heading1"/>
      </w:pPr>
      <w:r>
        <w:t>3. Response to RFP Question Set</w:t>
      </w:r>
    </w:p>
    <w:p>
      <w:pPr>
        <w:pStyle w:val="Heading2"/>
      </w:pPr>
      <w:r>
        <w:t>3.1 Section 1 — Legal and Compliance</w:t>
      </w:r>
    </w:p>
    <w:p>
      <w:pPr>
        <w:pStyle w:val="Heading3"/>
      </w:pPr>
      <w:r>
        <w:t>3.1.1 Insurance Certificates</w:t>
      </w:r>
    </w:p>
    <w:p>
      <w:r>
        <w:t>We maintain insurance coverage aligned with typical global contractor staffing requirements, including (where applicable) Employer’s Liability/Workers’ Compensation, Professional Indemnity/Errors &amp; Omissions, Public/General Liability, Cyber Liability, and Crime/Fidelity coverage. Certificates and schedules would be provided per country and per the amounts specified in the Thoughtworks insurance requirements template.</w:t>
      </w:r>
    </w:p>
    <w:p>
      <w:r>
        <w:t>Illustrative coverage summary:</w:t>
      </w:r>
    </w:p>
    <w:tbl>
      <w:tblPr>
        <w:tblW w:type="auto" w:w="0"/>
        <w:tblLook w:firstColumn="1" w:firstRow="1" w:lastColumn="0" w:lastRow="0" w:noHBand="0" w:noVBand="1" w:val="04A0"/>
      </w:tblPr>
      <w:tblGrid>
        <w:gridCol w:w="2880"/>
        <w:gridCol w:w="2880"/>
        <w:gridCol w:w="2880"/>
      </w:tblGrid>
      <w:tr>
        <w:tc>
          <w:tcPr>
            <w:tcW w:type="dxa" w:w="2880"/>
          </w:tcPr>
          <w:p>
            <w:r>
              <w:t>Insurance type</w:t>
            </w:r>
          </w:p>
        </w:tc>
        <w:tc>
          <w:tcPr>
            <w:tcW w:type="dxa" w:w="2880"/>
          </w:tcPr>
          <w:p>
            <w:r>
              <w:t>Typical limit (illustrative)</w:t>
            </w:r>
          </w:p>
        </w:tc>
        <w:tc>
          <w:tcPr>
            <w:tcW w:type="dxa" w:w="2880"/>
          </w:tcPr>
          <w:p>
            <w:r>
              <w:t>Notes</w:t>
            </w:r>
          </w:p>
        </w:tc>
      </w:tr>
      <w:tr>
        <w:tc>
          <w:tcPr>
            <w:tcW w:type="dxa" w:w="2880"/>
          </w:tcPr>
          <w:p>
            <w:r>
              <w:t>Professional Indemnity / E&amp;O</w:t>
            </w:r>
          </w:p>
        </w:tc>
        <w:tc>
          <w:tcPr>
            <w:tcW w:type="dxa" w:w="2880"/>
          </w:tcPr>
          <w:p>
            <w:r>
              <w:t>EUR/USD 5–10M</w:t>
            </w:r>
          </w:p>
        </w:tc>
        <w:tc>
          <w:tcPr>
            <w:tcW w:type="dxa" w:w="2880"/>
          </w:tcPr>
          <w:p>
            <w:r>
              <w:t>Per claim; includes negligence and professional services</w:t>
            </w:r>
          </w:p>
        </w:tc>
      </w:tr>
      <w:tr>
        <w:tc>
          <w:tcPr>
            <w:tcW w:type="dxa" w:w="2880"/>
          </w:tcPr>
          <w:p>
            <w:r>
              <w:t>General / Public Liability</w:t>
            </w:r>
          </w:p>
        </w:tc>
        <w:tc>
          <w:tcPr>
            <w:tcW w:type="dxa" w:w="2880"/>
          </w:tcPr>
          <w:p>
            <w:r>
              <w:t>EUR/USD 5–10M</w:t>
            </w:r>
          </w:p>
        </w:tc>
        <w:tc>
          <w:tcPr>
            <w:tcW w:type="dxa" w:w="2880"/>
          </w:tcPr>
          <w:p>
            <w:r>
              <w:t>Bodily injury and property damage</w:t>
            </w:r>
          </w:p>
        </w:tc>
      </w:tr>
      <w:tr>
        <w:tc>
          <w:tcPr>
            <w:tcW w:type="dxa" w:w="2880"/>
          </w:tcPr>
          <w:p>
            <w:r>
              <w:t>Cyber Liability</w:t>
            </w:r>
          </w:p>
        </w:tc>
        <w:tc>
          <w:tcPr>
            <w:tcW w:type="dxa" w:w="2880"/>
          </w:tcPr>
          <w:p>
            <w:r>
              <w:t>EUR/USD 2–5M</w:t>
            </w:r>
          </w:p>
        </w:tc>
        <w:tc>
          <w:tcPr>
            <w:tcW w:type="dxa" w:w="2880"/>
          </w:tcPr>
          <w:p>
            <w:r>
              <w:t>Incident response, data breach, business interruption</w:t>
            </w:r>
          </w:p>
        </w:tc>
      </w:tr>
      <w:tr>
        <w:tc>
          <w:tcPr>
            <w:tcW w:type="dxa" w:w="2880"/>
          </w:tcPr>
          <w:p>
            <w:r>
              <w:t>Employer’s Liability / Workers’ Comp</w:t>
            </w:r>
          </w:p>
        </w:tc>
        <w:tc>
          <w:tcPr>
            <w:tcW w:type="dxa" w:w="2880"/>
          </w:tcPr>
          <w:p>
            <w:r>
              <w:t>Statutory + excess where available</w:t>
            </w:r>
          </w:p>
        </w:tc>
        <w:tc>
          <w:tcPr>
            <w:tcW w:type="dxa" w:w="2880"/>
          </w:tcPr>
          <w:p>
            <w:r>
              <w:t>Jurisdiction-specific</w:t>
            </w:r>
          </w:p>
        </w:tc>
      </w:tr>
    </w:tbl>
    <w:p>
      <w:pPr>
        <w:pStyle w:val="Heading3"/>
      </w:pPr>
      <w:r>
        <w:t>3.1.2 Audit Rights</w:t>
      </w:r>
    </w:p>
    <w:p>
      <w:r>
        <w:t>Yes. We provide audit rights in our master agreements, enabling Thoughtworks (and, where applicable, its clients) to audit compliance with contract terms and relevant regulatory requirements in the contracted location. Audits are conducted with reasonable notice, during normal business hours, and subject to confidentiality and data protection constraints.</w:t>
      </w:r>
    </w:p>
    <w:p>
      <w:pPr>
        <w:pStyle w:val="Heading3"/>
      </w:pPr>
      <w:r>
        <w:t>3.1.3 Background Checks</w:t>
      </w:r>
    </w:p>
    <w:p>
      <w:r>
        <w:t>Yes. We perform (or can arrange) background checks proportionate to role risk and local legal requirements. Checks are conducted only where lawful, with candidate consent, and in accordance with applicable data protection laws.</w:t>
      </w:r>
    </w:p>
    <w:p>
      <w:r>
        <w:t>Illustrative background check matrix (high-level):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Country/Region</w:t>
            </w:r>
          </w:p>
        </w:tc>
        <w:tc>
          <w:tcPr>
            <w:tcW w:type="dxa" w:w="1728"/>
          </w:tcPr>
          <w:p>
            <w:r>
              <w:t>Identity &amp; right-to-work</w:t>
            </w:r>
          </w:p>
        </w:tc>
        <w:tc>
          <w:tcPr>
            <w:tcW w:type="dxa" w:w="1728"/>
          </w:tcPr>
          <w:p>
            <w:r>
              <w:t>Employment/education</w:t>
            </w:r>
          </w:p>
        </w:tc>
        <w:tc>
          <w:tcPr>
            <w:tcW w:type="dxa" w:w="1728"/>
          </w:tcPr>
          <w:p>
            <w:r>
              <w:t>Criminal/sanctions</w:t>
            </w:r>
          </w:p>
        </w:tc>
        <w:tc>
          <w:tcPr>
            <w:tcW w:type="dxa" w:w="1728"/>
          </w:tcPr>
          <w:p>
            <w:r>
              <w:t>Notes</w:t>
            </w:r>
          </w:p>
        </w:tc>
      </w:tr>
      <w:tr>
        <w:tc>
          <w:tcPr>
            <w:tcW w:type="dxa" w:w="1728"/>
          </w:tcPr>
          <w:p>
            <w:r>
              <w:t>UK / Ireland</w:t>
            </w:r>
          </w:p>
        </w:tc>
        <w:tc>
          <w:tcPr>
            <w:tcW w:type="dxa" w:w="1728"/>
          </w:tcPr>
          <w:p>
            <w:r>
              <w:t>Yes</w:t>
            </w:r>
          </w:p>
        </w:tc>
        <w:tc>
          <w:tcPr>
            <w:tcW w:type="dxa" w:w="1728"/>
          </w:tcPr>
          <w:p>
            <w:r>
              <w:t>Yes</w:t>
            </w:r>
          </w:p>
        </w:tc>
        <w:tc>
          <w:tcPr>
            <w:tcW w:type="dxa" w:w="1728"/>
          </w:tcPr>
          <w:p>
            <w:r>
              <w:t>DBS (where applicable) + sanctions/PEP</w:t>
            </w:r>
          </w:p>
        </w:tc>
        <w:tc>
          <w:tcPr>
            <w:tcW w:type="dxa" w:w="1728"/>
          </w:tcPr>
          <w:p>
            <w:r>
              <w:t>Role-based; client-specific add-ons supported</w:t>
            </w:r>
          </w:p>
        </w:tc>
      </w:tr>
      <w:tr>
        <w:tc>
          <w:tcPr>
            <w:tcW w:type="dxa" w:w="1728"/>
          </w:tcPr>
          <w:p>
            <w:r>
              <w:t>EU (e.g., DE/NL/ES/IT/RO)</w:t>
            </w:r>
          </w:p>
        </w:tc>
        <w:tc>
          <w:tcPr>
            <w:tcW w:type="dxa" w:w="1728"/>
          </w:tcPr>
          <w:p>
            <w:r>
              <w:t>Yes</w:t>
            </w:r>
          </w:p>
        </w:tc>
        <w:tc>
          <w:tcPr>
            <w:tcW w:type="dxa" w:w="1728"/>
          </w:tcPr>
          <w:p>
            <w:r>
              <w:t>Yes</w:t>
            </w:r>
          </w:p>
        </w:tc>
        <w:tc>
          <w:tcPr>
            <w:tcW w:type="dxa" w:w="1728"/>
          </w:tcPr>
          <w:p>
            <w:r>
              <w:t>Criminal record where lawful + sanctions/PEP</w:t>
            </w:r>
          </w:p>
        </w:tc>
        <w:tc>
          <w:tcPr>
            <w:tcW w:type="dxa" w:w="1728"/>
          </w:tcPr>
          <w:p>
            <w:r>
              <w:t>Varying national rules; conducted via accredited providers</w:t>
            </w:r>
          </w:p>
        </w:tc>
      </w:tr>
      <w:tr>
        <w:tc>
          <w:tcPr>
            <w:tcW w:type="dxa" w:w="1728"/>
          </w:tcPr>
          <w:p>
            <w:r>
              <w:t>US / Canada</w:t>
            </w:r>
          </w:p>
        </w:tc>
        <w:tc>
          <w:tcPr>
            <w:tcW w:type="dxa" w:w="1728"/>
          </w:tcPr>
          <w:p>
            <w:r>
              <w:t>Yes</w:t>
            </w:r>
          </w:p>
        </w:tc>
        <w:tc>
          <w:tcPr>
            <w:tcW w:type="dxa" w:w="1728"/>
          </w:tcPr>
          <w:p>
            <w:r>
              <w:t>Yes</w:t>
            </w:r>
          </w:p>
        </w:tc>
        <w:tc>
          <w:tcPr>
            <w:tcW w:type="dxa" w:w="1728"/>
          </w:tcPr>
          <w:p>
            <w:r>
              <w:t>Criminal + SSN trace (US) / criminal (CA) + sanctions</w:t>
            </w:r>
          </w:p>
        </w:tc>
        <w:tc>
          <w:tcPr>
            <w:tcW w:type="dxa" w:w="1728"/>
          </w:tcPr>
          <w:p>
            <w:r>
              <w:t>Credit checks only where lawful and role-justified</w:t>
            </w:r>
          </w:p>
        </w:tc>
      </w:tr>
      <w:tr>
        <w:tc>
          <w:tcPr>
            <w:tcW w:type="dxa" w:w="1728"/>
          </w:tcPr>
          <w:p>
            <w:r>
              <w:t>India</w:t>
            </w:r>
          </w:p>
        </w:tc>
        <w:tc>
          <w:tcPr>
            <w:tcW w:type="dxa" w:w="1728"/>
          </w:tcPr>
          <w:p>
            <w:r>
              <w:t>Yes</w:t>
            </w:r>
          </w:p>
        </w:tc>
        <w:tc>
          <w:tcPr>
            <w:tcW w:type="dxa" w:w="1728"/>
          </w:tcPr>
          <w:p>
            <w:r>
              <w:t>Yes</w:t>
            </w:r>
          </w:p>
        </w:tc>
        <w:tc>
          <w:tcPr>
            <w:tcW w:type="dxa" w:w="1728"/>
          </w:tcPr>
          <w:p>
            <w:r>
              <w:t>Police verification where applicable + sanctions</w:t>
            </w:r>
          </w:p>
        </w:tc>
        <w:tc>
          <w:tcPr>
            <w:tcW w:type="dxa" w:w="1728"/>
          </w:tcPr>
          <w:p>
            <w:r>
              <w:t>Address verification supported</w:t>
            </w:r>
          </w:p>
        </w:tc>
      </w:tr>
      <w:tr>
        <w:tc>
          <w:tcPr>
            <w:tcW w:type="dxa" w:w="1728"/>
          </w:tcPr>
          <w:p>
            <w:r>
              <w:t>APAC / MEA / LATAM</w:t>
            </w:r>
          </w:p>
        </w:tc>
        <w:tc>
          <w:tcPr>
            <w:tcW w:type="dxa" w:w="1728"/>
          </w:tcPr>
          <w:p>
            <w:r>
              <w:t>Yes</w:t>
            </w:r>
          </w:p>
        </w:tc>
        <w:tc>
          <w:tcPr>
            <w:tcW w:type="dxa" w:w="1728"/>
          </w:tcPr>
          <w:p>
            <w:r>
              <w:t>Yes</w:t>
            </w:r>
          </w:p>
        </w:tc>
        <w:tc>
          <w:tcPr>
            <w:tcW w:type="dxa" w:w="1728"/>
          </w:tcPr>
          <w:p>
            <w:r>
              <w:t>Local criminal checks where available + sanctions/PEP</w:t>
            </w:r>
          </w:p>
        </w:tc>
        <w:tc>
          <w:tcPr>
            <w:tcW w:type="dxa" w:w="1728"/>
          </w:tcPr>
          <w:p>
            <w:r>
              <w:t>Coverage depends on jurisdictional availability</w:t>
            </w:r>
          </w:p>
        </w:tc>
      </w:tr>
    </w:tbl>
    <w:p>
      <w:pPr>
        <w:pStyle w:val="Heading2"/>
      </w:pPr>
      <w:r>
        <w:t>3.2 Section 2 — Commercial</w:t>
      </w:r>
    </w:p>
    <w:p>
      <w:pPr>
        <w:pStyle w:val="Heading3"/>
      </w:pPr>
      <w:r>
        <w:t>3.2.1 Candidate Shortlist Lead Time</w:t>
      </w:r>
    </w:p>
    <w:p>
      <w:r>
        <w:t>Average time to deliver an initial shortlist: 3–5 business days from a complete demand brief (role, location, rate constraints, skills, start date, and interview panel availability). For high-volume or niche requirements, we agree a sourcing plan and interim checkpoints.</w:t>
      </w:r>
    </w:p>
    <w:p>
      <w:pPr>
        <w:pStyle w:val="Heading3"/>
      </w:pPr>
      <w:r>
        <w:t>3.2.2 Backfill Time (Resignation)</w:t>
      </w:r>
    </w:p>
    <w:p>
      <w:r>
        <w:t>Average time to backfill after contractor resignation/early termination: 8–12 business days, assuming standard notice periods and no materially different skill/profile requirement. Emergency backfills can be expedited with pre-vetted bench options where available.</w:t>
      </w:r>
    </w:p>
    <w:p>
      <w:pPr>
        <w:pStyle w:val="Heading3"/>
      </w:pPr>
      <w:r>
        <w:t>3.2.3 Backfill Time (Roll-off Requested by Thoughtworks/Client)</w:t>
      </w:r>
    </w:p>
    <w:p>
      <w:r>
        <w:t>Average time to backfill after roll-off requested by Thoughtworks or the end client: 5–10 business days depending on urgency, availability of equivalent profiles, and onboarding lead times.</w:t>
      </w:r>
    </w:p>
    <w:p>
      <w:pPr>
        <w:pStyle w:val="Heading3"/>
      </w:pPr>
      <w:r>
        <w:t>3.2.4 Pre-Invoice Reports</w:t>
      </w:r>
    </w:p>
    <w:p>
      <w:r>
        <w:t>Yes. We can provide a pre-invoice report of hours and costs on the first working day after month end. Reports can be delivered as CSV and PDF and will include contractor identifiers, assignment/SOW references, approved hours, applicable rates, and any allowable expenses (if applicable).</w:t>
      </w:r>
    </w:p>
    <w:p>
      <w:pPr>
        <w:pStyle w:val="Heading2"/>
      </w:pPr>
      <w:r>
        <w:t>3.3 Section 3 — Security</w:t>
      </w:r>
    </w:p>
    <w:p>
      <w:pPr>
        <w:pStyle w:val="Heading3"/>
      </w:pPr>
      <w:r>
        <w:t>3.3.1 Mandatory Data Protection Training</w:t>
      </w:r>
    </w:p>
    <w:p>
      <w:r>
        <w:t>Yes. Mandatory data protection and security awareness training is required for all employees and contractors supporting client delivery. Frequency: at onboarding and annually thereafter, with ad-hoc refreshers following material policy changes or incident learnings.</w:t>
      </w:r>
    </w:p>
    <w:p>
      <w:pPr>
        <w:pStyle w:val="Heading3"/>
      </w:pPr>
      <w:r>
        <w:t>3.3.2 Privacy and Data Protection Policies</w:t>
      </w:r>
    </w:p>
    <w:p>
      <w:r>
        <w:t>We maintain a documented privacy and data protection management framework that includes, at minimum: data classification, access control, retention and deletion, breach management, vendor risk management, and secure handling of client data. Policies and procedures would be shared under NDA and/or during contracting.</w:t>
      </w:r>
    </w:p>
    <w:p>
      <w:pPr>
        <w:pStyle w:val="ListBullet"/>
      </w:pPr>
      <w:r>
        <w:t>Data protection policy (GDPR-aligned where applicable)</w:t>
      </w:r>
    </w:p>
    <w:p>
      <w:pPr>
        <w:pStyle w:val="ListBullet"/>
      </w:pPr>
      <w:r>
        <w:t>Information security policy and acceptable use</w:t>
      </w:r>
    </w:p>
    <w:p>
      <w:pPr>
        <w:pStyle w:val="ListBullet"/>
      </w:pPr>
      <w:r>
        <w:t>Incident response and breach notification procedure</w:t>
      </w:r>
    </w:p>
    <w:p>
      <w:pPr>
        <w:pStyle w:val="ListBullet"/>
      </w:pPr>
      <w:r>
        <w:t>Access management (least privilege, joiner/mover/leaver)</w:t>
      </w:r>
    </w:p>
    <w:p>
      <w:pPr>
        <w:pStyle w:val="ListBullet"/>
      </w:pPr>
      <w:r>
        <w:t>Supplier/third-party risk management and DPAs with sub-processors</w:t>
      </w:r>
    </w:p>
    <w:p>
      <w:pPr>
        <w:pStyle w:val="Heading2"/>
      </w:pPr>
      <w:r>
        <w:t>3.4 Section 4 — Supply</w:t>
      </w:r>
    </w:p>
    <w:p>
      <w:pPr>
        <w:pStyle w:val="Heading3"/>
      </w:pPr>
      <w:r>
        <w:t>3.4.1 Markets, Service Offerings, and Skillsets</w:t>
      </w:r>
    </w:p>
    <w:p>
      <w:r>
        <w:t>We can supply contractors in Thoughtworks’ primary countries of operation across all Lots, and can also support additional countries through compliant partner models. Below is an illustrative capability overview.</w:t>
      </w:r>
    </w:p>
    <w:tbl>
      <w:tblPr>
        <w:tblW w:type="auto" w:w="0"/>
        <w:tblLook w:firstColumn="1" w:firstRow="1" w:lastColumn="0" w:lastRow="0" w:noHBand="0" w:noVBand="1" w:val="04A0"/>
      </w:tblPr>
      <w:tblGrid>
        <w:gridCol w:w="2160"/>
        <w:gridCol w:w="2160"/>
        <w:gridCol w:w="2160"/>
        <w:gridCol w:w="2160"/>
      </w:tblGrid>
      <w:tr>
        <w:tc>
          <w:tcPr>
            <w:tcW w:type="dxa" w:w="2160"/>
          </w:tcPr>
          <w:p>
            <w:r>
              <w:t>Lot / Markets (examples)</w:t>
            </w:r>
          </w:p>
        </w:tc>
        <w:tc>
          <w:tcPr>
            <w:tcW w:type="dxa" w:w="2160"/>
          </w:tcPr>
          <w:p>
            <w:r>
              <w:t>Engagement models</w:t>
            </w:r>
          </w:p>
        </w:tc>
        <w:tc>
          <w:tcPr>
            <w:tcW w:type="dxa" w:w="2160"/>
          </w:tcPr>
          <w:p>
            <w:r>
              <w:t>Primary skill families</w:t>
            </w:r>
          </w:p>
        </w:tc>
        <w:tc>
          <w:tcPr>
            <w:tcW w:type="dxa" w:w="2160"/>
          </w:tcPr>
          <w:p>
            <w:r>
              <w:t>Notes</w:t>
            </w:r>
          </w:p>
        </w:tc>
      </w:tr>
      <w:tr>
        <w:tc>
          <w:tcPr>
            <w:tcW w:type="dxa" w:w="2160"/>
          </w:tcPr>
          <w:p>
            <w:r>
              <w:t>Lot 1 — Europe (DE, IT, NL, RO, ES, CH, UK)</w:t>
            </w:r>
          </w:p>
        </w:tc>
        <w:tc>
          <w:tcPr>
            <w:tcW w:type="dxa" w:w="2160"/>
          </w:tcPr>
          <w:p>
            <w:r>
              <w:t>Staff augmentation; independent contractors; payrolling</w:t>
            </w:r>
          </w:p>
        </w:tc>
        <w:tc>
          <w:tcPr>
            <w:tcW w:type="dxa" w:w="2160"/>
          </w:tcPr>
          <w:p>
            <w:r>
              <w:t>Software engineering; QA; DevOps/SRE; Data; Cloud; Product; Agile delivery</w:t>
            </w:r>
          </w:p>
        </w:tc>
        <w:tc>
          <w:tcPr>
            <w:tcW w:type="dxa" w:w="2160"/>
          </w:tcPr>
          <w:p>
            <w:r>
              <w:t>Local compliance support; IR35 considerations in UK where relevant</w:t>
            </w:r>
          </w:p>
        </w:tc>
      </w:tr>
      <w:tr>
        <w:tc>
          <w:tcPr>
            <w:tcW w:type="dxa" w:w="2160"/>
          </w:tcPr>
          <w:p>
            <w:r>
              <w:t>Lot 2 — North America (US, CA)</w:t>
            </w:r>
          </w:p>
        </w:tc>
        <w:tc>
          <w:tcPr>
            <w:tcW w:type="dxa" w:w="2160"/>
          </w:tcPr>
          <w:p>
            <w:r>
              <w:t>Staff augmentation; W2/Corp-to-corp (where applicable)</w:t>
            </w:r>
          </w:p>
        </w:tc>
        <w:tc>
          <w:tcPr>
            <w:tcW w:type="dxa" w:w="2160"/>
          </w:tcPr>
          <w:p>
            <w:r>
              <w:t>Software engineering; QA; DevOps; Data; Security</w:t>
            </w:r>
          </w:p>
        </w:tc>
        <w:tc>
          <w:tcPr>
            <w:tcW w:type="dxa" w:w="2160"/>
          </w:tcPr>
          <w:p>
            <w:r>
              <w:t>Background checks aligned to client requirements</w:t>
            </w:r>
          </w:p>
        </w:tc>
      </w:tr>
      <w:tr>
        <w:tc>
          <w:tcPr>
            <w:tcW w:type="dxa" w:w="2160"/>
          </w:tcPr>
          <w:p>
            <w:r>
              <w:t>Lot 3 — South America (BR, CL, EC, PE)</w:t>
            </w:r>
          </w:p>
        </w:tc>
        <w:tc>
          <w:tcPr>
            <w:tcW w:type="dxa" w:w="2160"/>
          </w:tcPr>
          <w:p>
            <w:r>
              <w:t>Staff augmentation; local entity/payrolling; IC where lawful</w:t>
            </w:r>
          </w:p>
        </w:tc>
        <w:tc>
          <w:tcPr>
            <w:tcW w:type="dxa" w:w="2160"/>
          </w:tcPr>
          <w:p>
            <w:r>
              <w:t>Software engineering; QA; DevOps; Data</w:t>
            </w:r>
          </w:p>
        </w:tc>
        <w:tc>
          <w:tcPr>
            <w:tcW w:type="dxa" w:w="2160"/>
          </w:tcPr>
          <w:p>
            <w:r>
              <w:t>Spanish/Portuguese coverage; nearshore delivery</w:t>
            </w:r>
          </w:p>
        </w:tc>
      </w:tr>
      <w:tr>
        <w:tc>
          <w:tcPr>
            <w:tcW w:type="dxa" w:w="2160"/>
          </w:tcPr>
          <w:p>
            <w:r>
              <w:t>Lot 4 — APAC (AU, NZ, CN, SG, TH, VN)</w:t>
            </w:r>
          </w:p>
        </w:tc>
        <w:tc>
          <w:tcPr>
            <w:tcW w:type="dxa" w:w="2160"/>
          </w:tcPr>
          <w:p>
            <w:r>
              <w:t>Staff augmentation; IC sourcing; partner model where needed</w:t>
            </w:r>
          </w:p>
        </w:tc>
        <w:tc>
          <w:tcPr>
            <w:tcW w:type="dxa" w:w="2160"/>
          </w:tcPr>
          <w:p>
            <w:r>
              <w:t>Software engineering; QA; DevOps; Data; Cloud</w:t>
            </w:r>
          </w:p>
        </w:tc>
        <w:tc>
          <w:tcPr>
            <w:tcW w:type="dxa" w:w="2160"/>
          </w:tcPr>
          <w:p>
            <w:r>
              <w:t>Travel-ready talent in AU/NZ/SG</w:t>
            </w:r>
          </w:p>
        </w:tc>
      </w:tr>
      <w:tr>
        <w:tc>
          <w:tcPr>
            <w:tcW w:type="dxa" w:w="2160"/>
          </w:tcPr>
          <w:p>
            <w:r>
              <w:t>Lot 5 — India &amp; Middle East (IN, SA, UAE)</w:t>
            </w:r>
          </w:p>
        </w:tc>
        <w:tc>
          <w:tcPr>
            <w:tcW w:type="dxa" w:w="2160"/>
          </w:tcPr>
          <w:p>
            <w:r>
              <w:t>Staff augmentation; IC; local partner/payrolling</w:t>
            </w:r>
          </w:p>
        </w:tc>
        <w:tc>
          <w:tcPr>
            <w:tcW w:type="dxa" w:w="2160"/>
          </w:tcPr>
          <w:p>
            <w:r>
              <w:t>Software engineering; QA; DevOps; Data; ERP/BPM specialists</w:t>
            </w:r>
          </w:p>
        </w:tc>
        <w:tc>
          <w:tcPr>
            <w:tcW w:type="dxa" w:w="2160"/>
          </w:tcPr>
          <w:p>
            <w:r>
              <w:t>Visa and mobility support via partners where lawful</w:t>
            </w:r>
          </w:p>
        </w:tc>
      </w:tr>
    </w:tbl>
    <w:p>
      <w:pPr>
        <w:pStyle w:val="Heading3"/>
      </w:pPr>
      <w:r>
        <w:t>3.4.2 English Proficiency</w:t>
      </w:r>
    </w:p>
    <w:p>
      <w:r>
        <w:t>Illustrative metric: ~85–90% of our active talent pool meets or exceeds B2 level English (CEFR) for roles requiring client-facing communication. For roles with higher communication demands (e.g., lead engineer, BA, PM), screening thresholds are set higher (C1 preferred).</w:t>
      </w:r>
    </w:p>
    <w:p>
      <w:pPr>
        <w:pStyle w:val="Heading3"/>
      </w:pPr>
      <w:r>
        <w:t>3.4.3 Attrition Rate and Retention Actions (Last 5 Years)</w:t>
      </w:r>
    </w:p>
    <w:p>
      <w:r>
        <w:t>Illustrative voluntary attrition (contractor disengagement within the first 6 months) has ranged between 8–12% annually over the last five years. We manage attrition through structured engagement management, competitive market benchmarking, and proactive performance and wellbeing check-ins.</w:t>
      </w:r>
    </w:p>
    <w:p>
      <w:pPr>
        <w:pStyle w:val="ListBullet"/>
      </w:pPr>
      <w:r>
        <w:t>Quarterly market calibration of contractor compensation to reduce churn risk on long-running engagements.</w:t>
      </w:r>
    </w:p>
    <w:p>
      <w:pPr>
        <w:pStyle w:val="ListBullet"/>
      </w:pPr>
      <w:r>
        <w:t>Structured onboarding and 30/60/90-day check-ins led by account operations.</w:t>
      </w:r>
    </w:p>
    <w:p>
      <w:pPr>
        <w:pStyle w:val="ListBullet"/>
      </w:pPr>
      <w:r>
        <w:t>Early risk flags (attendance, delivery concerns, client feedback) and intervention playbooks.</w:t>
      </w:r>
    </w:p>
    <w:p>
      <w:pPr>
        <w:pStyle w:val="ListBullet"/>
      </w:pPr>
      <w:r>
        <w:t>Access to learning resources and community events for high-demand skill communities.</w:t>
      </w:r>
    </w:p>
    <w:p>
      <w:pPr>
        <w:pStyle w:val="Heading3"/>
      </w:pPr>
      <w:r>
        <w:t>3.4.4 Sourcing and Interview Process</w:t>
      </w:r>
    </w:p>
    <w:p>
      <w:r>
        <w:t>We use a multi-channel sourcing model and standardized screening to maintain a high-quality talent pool:</w:t>
      </w:r>
    </w:p>
    <w:p>
      <w:pPr>
        <w:pStyle w:val="ListBullet"/>
      </w:pPr>
      <w:r>
        <w:t>Sourcing channels: proprietary database, referrals, targeted outbound, job boards, niche communities, and strategic partners.</w:t>
      </w:r>
    </w:p>
    <w:p>
      <w:pPr>
        <w:pStyle w:val="ListBullet"/>
      </w:pPr>
      <w:r>
        <w:t>Screening: recruiter screen (30–45 minutes), technical interview (60–90 minutes) by a qualified assessor, and client interview as required.</w:t>
      </w:r>
    </w:p>
    <w:p>
      <w:pPr>
        <w:pStyle w:val="ListBullet"/>
      </w:pPr>
      <w:r>
        <w:t>Typical end-to-end cycle (from sourcing start to offer acceptance): 7–15 business days depending on seniority and client interview availability.</w:t>
      </w:r>
    </w:p>
    <w:p>
      <w:pPr>
        <w:pStyle w:val="Heading3"/>
      </w:pPr>
      <w:r>
        <w:t>3.4.5 Performance Reviews</w:t>
      </w:r>
    </w:p>
    <w:p>
      <w:r>
        <w:t>Performance is managed through a structured cadence: onboarding expectations, regular delivery check-ins, and documented reviews. Illustrative review cadence: monthly for the first 3 months, then quarterly (or aligned to Thoughtworks/client cadence).</w:t>
      </w:r>
    </w:p>
    <w:p>
      <w:pPr>
        <w:pStyle w:val="Heading3"/>
      </w:pPr>
      <w:r>
        <w:t>3.4.6 Performance Issue Escalation</w:t>
      </w:r>
    </w:p>
    <w:p>
      <w:r>
        <w:t>If performance issues arise, we follow a clear escalation workflow to enable timely resolution:</w:t>
      </w:r>
    </w:p>
    <w:p>
      <w:pPr>
        <w:pStyle w:val="ListNumber"/>
      </w:pPr>
      <w:r>
        <w:t>Issue raised by Thoughtworks/client to the Regional Account Manager (RAM) with factual examples and desired outcomes.</w:t>
      </w:r>
    </w:p>
    <w:p>
      <w:pPr>
        <w:pStyle w:val="ListNumber"/>
      </w:pPr>
      <w:r>
        <w:t>RAM acknowledges within 1 business day and initiates a joint improvement plan (IP) with the contractor and delivery stakeholders.</w:t>
      </w:r>
    </w:p>
    <w:p>
      <w:pPr>
        <w:pStyle w:val="ListNumber"/>
      </w:pPr>
      <w:r>
        <w:t>If unresolved within the agreed improvement window (typically 1–2 weeks), escalation to Compliance Lead and Global Account Director.</w:t>
      </w:r>
    </w:p>
    <w:p>
      <w:pPr>
        <w:pStyle w:val="ListNumber"/>
      </w:pPr>
      <w:r>
        <w:t>Decision and execution: remedial actions, role adjustment, replacement/backfill, or termination in line with contract and local law.</w:t>
      </w:r>
    </w:p>
    <w:p>
      <w:r>
        <w:t>Main point of escalation: Regional Account Manager; secondary escalation: Global Account Director.</w:t>
      </w:r>
    </w:p>
    <w:p>
      <w:pPr>
        <w:pStyle w:val="Heading3"/>
      </w:pPr>
      <w:r>
        <w:t>3.4.7 Travel Readiness</w:t>
      </w:r>
    </w:p>
    <w:p>
      <w:r>
        <w:t>Yes, subject to role requirements, visa/immigration constraints, and contractor consent. For roles requiring periodic onsite attendance, we screen for travel readiness at intake and confirm mobility expectations during offer acceptance.</w:t>
      </w:r>
    </w:p>
    <w:p>
      <w:pPr>
        <w:pStyle w:val="Heading2"/>
      </w:pPr>
      <w:r>
        <w:t>3.5 Section 5 — Company and Operations</w:t>
      </w:r>
    </w:p>
    <w:p>
      <w:pPr>
        <w:pStyle w:val="Heading3"/>
      </w:pPr>
      <w:r>
        <w:t>3.5.1 Senior-Level Supply Experience</w:t>
      </w:r>
    </w:p>
    <w:p>
      <w:r>
        <w:t>We routinely supply senior and lead-level contractors (e.g., Lead Engineer, Principal Consultant, Solution Architect, Delivery Lead, Program Manager, Cloud/Security Architect). Screening emphasizes technical depth, stakeholder management, and delivery leadership.</w:t>
      </w:r>
    </w:p>
    <w:p>
      <w:pPr>
        <w:pStyle w:val="Heading3"/>
      </w:pPr>
      <w:r>
        <w:t>3.5.2 Organization Size and Engagement Team</w:t>
      </w:r>
    </w:p>
    <w:p>
      <w:r>
        <w:t>Illustrative resourcing for Thoughtworks: a core account team of 6–10 FTE (global + regional) with additional recruiters and compliance specialists scaled based on demand. We provide a named point of contact per region and can also provide country-specific contacts where Thoughtworks prefers local engagement.</w:t>
      </w:r>
    </w:p>
    <w:p>
      <w:pPr>
        <w:pStyle w:val="Heading3"/>
      </w:pPr>
      <w:r>
        <w:t>3.5.3 Staff Augmentation Evidence (Illustrative Case Examples)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Client industry</w:t>
            </w:r>
          </w:p>
        </w:tc>
        <w:tc>
          <w:tcPr>
            <w:tcW w:type="dxa" w:w="1728"/>
          </w:tcPr>
          <w:p>
            <w:r>
              <w:t>Engagement type</w:t>
            </w:r>
          </w:p>
        </w:tc>
        <w:tc>
          <w:tcPr>
            <w:tcW w:type="dxa" w:w="1728"/>
          </w:tcPr>
          <w:p>
            <w:r>
              <w:t>Duration</w:t>
            </w:r>
          </w:p>
        </w:tc>
        <w:tc>
          <w:tcPr>
            <w:tcW w:type="dxa" w:w="1728"/>
          </w:tcPr>
          <w:p>
            <w:r>
              <w:t>Archetypes</w:t>
            </w:r>
          </w:p>
        </w:tc>
        <w:tc>
          <w:tcPr>
            <w:tcW w:type="dxa" w:w="1728"/>
          </w:tcPr>
          <w:p>
            <w:r>
              <w:t>Outcome</w:t>
            </w:r>
          </w:p>
        </w:tc>
      </w:tr>
      <w:tr>
        <w:tc>
          <w:tcPr>
            <w:tcW w:type="dxa" w:w="1728"/>
          </w:tcPr>
          <w:p>
            <w:r>
              <w:t>Financial Services</w:t>
            </w:r>
          </w:p>
        </w:tc>
        <w:tc>
          <w:tcPr>
            <w:tcW w:type="dxa" w:w="1728"/>
          </w:tcPr>
          <w:p>
            <w:r>
              <w:t>Staff augmentation</w:t>
            </w:r>
          </w:p>
        </w:tc>
        <w:tc>
          <w:tcPr>
            <w:tcW w:type="dxa" w:w="1728"/>
          </w:tcPr>
          <w:p>
            <w:r>
              <w:t>18 months</w:t>
            </w:r>
          </w:p>
        </w:tc>
        <w:tc>
          <w:tcPr>
            <w:tcW w:type="dxa" w:w="1728"/>
          </w:tcPr>
          <w:p>
            <w:r>
              <w:t>Backend, DevOps, QA, BA</w:t>
            </w:r>
          </w:p>
        </w:tc>
        <w:tc>
          <w:tcPr>
            <w:tcW w:type="dxa" w:w="1728"/>
          </w:tcPr>
          <w:p>
            <w:r>
              <w:t>Scaled delivery capacity across 4 squads; improved release frequency</w:t>
            </w:r>
          </w:p>
        </w:tc>
      </w:tr>
      <w:tr>
        <w:tc>
          <w:tcPr>
            <w:tcW w:type="dxa" w:w="1728"/>
          </w:tcPr>
          <w:p>
            <w:r>
              <w:t>Retail / eCommerce</w:t>
            </w:r>
          </w:p>
        </w:tc>
        <w:tc>
          <w:tcPr>
            <w:tcW w:type="dxa" w:w="1728"/>
          </w:tcPr>
          <w:p>
            <w:r>
              <w:t>Staff augmentation</w:t>
            </w:r>
          </w:p>
        </w:tc>
        <w:tc>
          <w:tcPr>
            <w:tcW w:type="dxa" w:w="1728"/>
          </w:tcPr>
          <w:p>
            <w:r>
              <w:t>12 months</w:t>
            </w:r>
          </w:p>
        </w:tc>
        <w:tc>
          <w:tcPr>
            <w:tcW w:type="dxa" w:w="1728"/>
          </w:tcPr>
          <w:p>
            <w:r>
              <w:t>Full-stack, SRE, Data Engineer</w:t>
            </w:r>
          </w:p>
        </w:tc>
        <w:tc>
          <w:tcPr>
            <w:tcW w:type="dxa" w:w="1728"/>
          </w:tcPr>
          <w:p>
            <w:r>
              <w:t>Modernized checkout and analytics; reduced incident rate</w:t>
            </w:r>
          </w:p>
        </w:tc>
      </w:tr>
      <w:tr>
        <w:tc>
          <w:tcPr>
            <w:tcW w:type="dxa" w:w="1728"/>
          </w:tcPr>
          <w:p>
            <w:r>
              <w:t>Public Sector</w:t>
            </w:r>
          </w:p>
        </w:tc>
        <w:tc>
          <w:tcPr>
            <w:tcW w:type="dxa" w:w="1728"/>
          </w:tcPr>
          <w:p>
            <w:r>
              <w:t>Staff augmentation</w:t>
            </w:r>
          </w:p>
        </w:tc>
        <w:tc>
          <w:tcPr>
            <w:tcW w:type="dxa" w:w="1728"/>
          </w:tcPr>
          <w:p>
            <w:r>
              <w:t>9 months</w:t>
            </w:r>
          </w:p>
        </w:tc>
        <w:tc>
          <w:tcPr>
            <w:tcW w:type="dxa" w:w="1728"/>
          </w:tcPr>
          <w:p>
            <w:r>
              <w:t>Delivery Lead, Architect, QA</w:t>
            </w:r>
          </w:p>
        </w:tc>
        <w:tc>
          <w:tcPr>
            <w:tcW w:type="dxa" w:w="1728"/>
          </w:tcPr>
          <w:p>
            <w:r>
              <w:t>Delivered citizen-facing portal enhancements under strict compliance</w:t>
            </w:r>
          </w:p>
        </w:tc>
      </w:tr>
    </w:tbl>
    <w:p>
      <w:pPr>
        <w:pStyle w:val="Heading3"/>
      </w:pPr>
      <w:r>
        <w:t>3.5.4 Outsourcing / SOW Services (Illustrative)</w:t>
      </w:r>
    </w:p>
    <w:p>
      <w:r>
        <w:t>Yes. Where appropriate, we can provide outsourcing services via managed delivery pods under a Statement of Work (SOW), including defined outcomes, governance, and acceptance criteria. Example: a 6-person delivery pod (lead engineer, 3 engineers, QA, DevOps) for a 24-week product increment.</w:t>
      </w:r>
    </w:p>
    <w:p>
      <w:pPr>
        <w:pStyle w:val="Heading3"/>
      </w:pPr>
      <w:r>
        <w:t>3.5.5 Planned New Entities (Next 3 Years)</w:t>
      </w:r>
    </w:p>
    <w:p>
      <w:r>
        <w:t>Illustrative roadmap (subject to business case and regulatory approvals): expand local entities in Nordics (e.g., Sweden/Finland), Japan, and additional Gulf countries. This roadmap is reviewed annually based on client demand and regulatory feasibility.</w:t>
      </w:r>
    </w:p>
    <w:p>
      <w:pPr>
        <w:pStyle w:val="Heading3"/>
      </w:pPr>
      <w:r>
        <w:t>3.5.6 Diversity, Equity, and Inclusion (DEI) Initiatives</w:t>
      </w:r>
    </w:p>
    <w:p>
      <w:r>
        <w:t>We maintain DEI initiatives and policies designed to support an inclusive workforce, including:</w:t>
      </w:r>
    </w:p>
    <w:p>
      <w:pPr>
        <w:pStyle w:val="ListBullet"/>
      </w:pPr>
      <w:r>
        <w:t>Anti-bullying, anti-harassment, and anti-discrimination policies with mandatory annual training.</w:t>
      </w:r>
    </w:p>
    <w:p>
      <w:pPr>
        <w:pStyle w:val="ListBullet"/>
      </w:pPr>
      <w:r>
        <w:t>Structured interview and evaluation rubrics to reduce bias in selection.</w:t>
      </w:r>
    </w:p>
    <w:p>
      <w:pPr>
        <w:pStyle w:val="ListBullet"/>
      </w:pPr>
      <w:r>
        <w:t>Inclusive benefits guidance and workplace adjustments process.</w:t>
      </w:r>
    </w:p>
    <w:p>
      <w:pPr>
        <w:pStyle w:val="ListBullet"/>
      </w:pPr>
      <w:r>
        <w:t>Support for transitioning at work through confidentiality, manager guidance, and benefits navigation (where applicable).</w:t>
      </w:r>
    </w:p>
    <w:p>
      <w:pPr>
        <w:pStyle w:val="Heading3"/>
      </w:pPr>
      <w:r>
        <w:t>3.5.7 Workforce Demographics (Illustrative)</w:t>
      </w:r>
    </w:p>
    <w:p>
      <w:r>
        <w:t>Workforce demographic metrics can be provided where lawful and where employees/contractors have voluntarily self-identified. Illustrative internal employee composition: ~45% women; ~35% underrepresented minorities (definition varies by country); LGBTQ+ and disability metrics tracked only where permitted and based on voluntary disclosure.</w:t>
      </w:r>
    </w:p>
    <w:p>
      <w:pPr>
        <w:pStyle w:val="Heading3"/>
      </w:pPr>
      <w:r>
        <w:t>3.5.8 Carbon Footprint Reduction Initiatives</w:t>
      </w:r>
    </w:p>
    <w:p>
      <w:r>
        <w:t>We are undertaking initiatives to reduce operational emissions, including:</w:t>
      </w:r>
    </w:p>
    <w:p>
      <w:pPr>
        <w:pStyle w:val="ListBullet"/>
      </w:pPr>
      <w:r>
        <w:t>Remote-first delivery to reduce travel emissions; travel approval governance for necessary onsite work.</w:t>
      </w:r>
    </w:p>
    <w:p>
      <w:pPr>
        <w:pStyle w:val="ListBullet"/>
      </w:pPr>
      <w:r>
        <w:t>Supplier preference for devices with recognized environmental certifications and extended lifecycle management.</w:t>
      </w:r>
    </w:p>
    <w:p>
      <w:pPr>
        <w:pStyle w:val="ListBullet"/>
      </w:pPr>
      <w:r>
        <w:t>Energy efficiency measures for offices (where applicable) and transition to renewable electricity contracts where available.</w:t>
      </w:r>
    </w:p>
    <w:p>
      <w:pPr>
        <w:pStyle w:val="ListBullet"/>
      </w:pPr>
      <w:r>
        <w:t>Annual measurement and reporting of Scope 1 and Scope 2 emissions (illustrative), with a roadmap toward Scope 3 coverage.</w:t>
      </w:r>
    </w:p>
    <w:p>
      <w:pPr>
        <w:pStyle w:val="Heading3"/>
      </w:pPr>
      <w:r>
        <w:t>3.5.9 Requested Documents (Placeholders)</w:t>
      </w:r>
    </w:p>
    <w:p>
      <w:r>
        <w:t>The following documents would be provided as attachments in a full submission. For this dummy response, placeholders are listed below:</w:t>
      </w:r>
    </w:p>
    <w:p>
      <w:pPr>
        <w:pStyle w:val="ListBullet"/>
      </w:pPr>
      <w:r>
        <w:t>Latest annual audited financial statements (or latest management accounts if audited statements are not available).</w:t>
      </w:r>
    </w:p>
    <w:p>
      <w:pPr>
        <w:pStyle w:val="ListBullet"/>
      </w:pPr>
      <w:r>
        <w:t>Tax Identification Number(s) per country for which we seek preferred supplier status.</w:t>
      </w:r>
    </w:p>
    <w:p>
      <w:pPr>
        <w:pStyle w:val="ListBullet"/>
      </w:pPr>
      <w:r>
        <w:t>Negative certificates of labor debts and Union/Federal government debts (where applicable by country).</w:t>
      </w:r>
    </w:p>
    <w:p>
      <w:pPr>
        <w:pStyle w:val="ListBullet"/>
      </w:pPr>
      <w:r>
        <w:t>Compensation package overview (health insurance, pension, flexible working, wellness, leave).</w:t>
      </w:r>
    </w:p>
    <w:p>
      <w:pPr>
        <w:pStyle w:val="ListBullet"/>
      </w:pPr>
      <w:r>
        <w:t>Devices/equipment standards for contractor engagements (laptops, monitors, security tooling).</w:t>
      </w:r>
    </w:p>
    <w:p>
      <w:pPr>
        <w:pStyle w:val="Heading1"/>
      </w:pPr>
      <w:r>
        <w:t>4. Compliance Summary (Illustrative)</w:t>
      </w:r>
    </w:p>
    <w:p>
      <w:r>
        <w:t>The matrix below summarizes compliance against the RFP question set at a high level.</w:t>
      </w:r>
    </w:p>
    <w:tbl>
      <w:tblPr>
        <w:tblW w:type="auto" w:w="0"/>
        <w:tblLook w:firstColumn="1" w:firstRow="1" w:lastColumn="0" w:lastRow="0" w:noHBand="0" w:noVBand="1" w:val="04A0"/>
      </w:tblPr>
      <w:tblGrid>
        <w:gridCol w:w="2880"/>
        <w:gridCol w:w="2880"/>
        <w:gridCol w:w="2880"/>
      </w:tblGrid>
      <w:tr>
        <w:tc>
          <w:tcPr>
            <w:tcW w:type="dxa" w:w="2880"/>
          </w:tcPr>
          <w:p>
            <w:r>
              <w:t>RFP Section</w:t>
            </w:r>
          </w:p>
        </w:tc>
        <w:tc>
          <w:tcPr>
            <w:tcW w:type="dxa" w:w="2880"/>
          </w:tcPr>
          <w:p>
            <w:r>
              <w:t>Compliance</w:t>
            </w:r>
          </w:p>
        </w:tc>
        <w:tc>
          <w:tcPr>
            <w:tcW w:type="dxa" w:w="2880"/>
          </w:tcPr>
          <w:p>
            <w:r>
              <w:t>Summary</w:t>
            </w:r>
          </w:p>
        </w:tc>
      </w:tr>
      <w:tr>
        <w:tc>
          <w:tcPr>
            <w:tcW w:type="dxa" w:w="2880"/>
          </w:tcPr>
          <w:p>
            <w:r>
              <w:t>1. Legal &amp; compliance</w:t>
            </w:r>
          </w:p>
        </w:tc>
        <w:tc>
          <w:tcPr>
            <w:tcW w:type="dxa" w:w="2880"/>
          </w:tcPr>
          <w:p>
            <w:r>
              <w:t>Compliant</w:t>
            </w:r>
          </w:p>
        </w:tc>
        <w:tc>
          <w:tcPr>
            <w:tcW w:type="dxa" w:w="2880"/>
          </w:tcPr>
          <w:p>
            <w:r>
              <w:t>Insurance maintained; audit rights provided; background checks available per jurisdiction.</w:t>
            </w:r>
          </w:p>
        </w:tc>
      </w:tr>
      <w:tr>
        <w:tc>
          <w:tcPr>
            <w:tcW w:type="dxa" w:w="2880"/>
          </w:tcPr>
          <w:p>
            <w:r>
              <w:t>2. Commercial</w:t>
            </w:r>
          </w:p>
        </w:tc>
        <w:tc>
          <w:tcPr>
            <w:tcW w:type="dxa" w:w="2880"/>
          </w:tcPr>
          <w:p>
            <w:r>
              <w:t>Compliant</w:t>
            </w:r>
          </w:p>
        </w:tc>
        <w:tc>
          <w:tcPr>
            <w:tcW w:type="dxa" w:w="2880"/>
          </w:tcPr>
          <w:p>
            <w:r>
              <w:t>Shortlist in 3–5 business days; defined backfill targets; pre-invoice reports Day 1 after month end.</w:t>
            </w:r>
          </w:p>
        </w:tc>
      </w:tr>
      <w:tr>
        <w:tc>
          <w:tcPr>
            <w:tcW w:type="dxa" w:w="2880"/>
          </w:tcPr>
          <w:p>
            <w:r>
              <w:t>3. Security</w:t>
            </w:r>
          </w:p>
        </w:tc>
        <w:tc>
          <w:tcPr>
            <w:tcW w:type="dxa" w:w="2880"/>
          </w:tcPr>
          <w:p>
            <w:r>
              <w:t>Compliant</w:t>
            </w:r>
          </w:p>
        </w:tc>
        <w:tc>
          <w:tcPr>
            <w:tcW w:type="dxa" w:w="2880"/>
          </w:tcPr>
          <w:p>
            <w:r>
              <w:t>Mandatory training (onboarding + annual); documented privacy/security policies and incident procedures.</w:t>
            </w:r>
          </w:p>
        </w:tc>
      </w:tr>
      <w:tr>
        <w:tc>
          <w:tcPr>
            <w:tcW w:type="dxa" w:w="2880"/>
          </w:tcPr>
          <w:p>
            <w:r>
              <w:t>4. Supply</w:t>
            </w:r>
          </w:p>
        </w:tc>
        <w:tc>
          <w:tcPr>
            <w:tcW w:type="dxa" w:w="2880"/>
          </w:tcPr>
          <w:p>
            <w:r>
              <w:t>Compliant</w:t>
            </w:r>
          </w:p>
        </w:tc>
        <w:tc>
          <w:tcPr>
            <w:tcW w:type="dxa" w:w="2880"/>
          </w:tcPr>
          <w:p>
            <w:r>
              <w:t>Multi-lot supply coverage; structured sourcing/interviewing; performance and escalation governance.</w:t>
            </w:r>
          </w:p>
        </w:tc>
      </w:tr>
      <w:tr>
        <w:tc>
          <w:tcPr>
            <w:tcW w:type="dxa" w:w="2880"/>
          </w:tcPr>
          <w:p>
            <w:r>
              <w:t>5. Company &amp; operations</w:t>
            </w:r>
          </w:p>
        </w:tc>
        <w:tc>
          <w:tcPr>
            <w:tcW w:type="dxa" w:w="2880"/>
          </w:tcPr>
          <w:p>
            <w:r>
              <w:t>Compliant</w:t>
            </w:r>
          </w:p>
        </w:tc>
        <w:tc>
          <w:tcPr>
            <w:tcW w:type="dxa" w:w="2880"/>
          </w:tcPr>
          <w:p>
            <w:r>
              <w:t>Senior talent supply; defined engagement team; DEI and sustainability initiatives; documentation available.</w:t>
            </w:r>
          </w:p>
        </w:tc>
      </w:tr>
    </w:tbl>
    <w:p>
      <w:pPr>
        <w:pStyle w:val="Heading1"/>
      </w:pPr>
      <w:r>
        <w:t>5. Appendices (Placeholders)</w:t>
      </w:r>
    </w:p>
    <w:p>
      <w:r>
        <w:t>Appendix A — Insurance certificates (per country / per required limits)</w:t>
      </w:r>
    </w:p>
    <w:p>
      <w:r>
        <w:t>Appendix B — Privacy and Data Protection Policy (summary + full policy under NDA)</w:t>
      </w:r>
    </w:p>
    <w:p>
      <w:r>
        <w:t>Appendix C — Capability Overview (expanded table of markets, offerings, and skillsets)</w:t>
      </w:r>
    </w:p>
    <w:p>
      <w:r>
        <w:t>Appendix D — Background Checks by Country (detailed matrix)</w:t>
      </w:r>
    </w:p>
    <w:p>
      <w:r>
        <w:t>Appendix E — Financial Statements (latest)</w:t>
      </w:r>
    </w:p>
    <w:p>
      <w:r>
        <w:t>Appendix F — Tax Identification Numbers (per country)</w:t>
      </w:r>
    </w:p>
    <w:p>
      <w:r>
        <w:t>Appendix G — Debt/Compliance Certificates (per country, where applicable)</w:t>
      </w:r>
    </w:p>
    <w:p>
      <w:r>
        <w:t>Appendix H — Compensation Package Overview</w:t>
      </w:r>
    </w:p>
    <w:p>
      <w:r>
        <w:t>Appendix I — Devices and Equipment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