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5510892" cy="1371600"/>
            <wp:docPr id="1" name="Picture 1"/>
            <wp:cNvGraphicFramePr>
              <a:graphicFrameLocks noChangeAspect="1"/>
            </wp:cNvGraphicFramePr>
            <a:graphic>
              <a:graphicData uri="http://schemas.openxmlformats.org/drawingml/2006/picture">
                <pic:pic>
                  <pic:nvPicPr>
                    <pic:cNvPr id="0" name="logo-transparent.png"/>
                    <pic:cNvPicPr/>
                  </pic:nvPicPr>
                  <pic:blipFill>
                    <a:blip r:embed="rId10"/>
                    <a:stretch>
                      <a:fillRect/>
                    </a:stretch>
                  </pic:blipFill>
                  <pic:spPr>
                    <a:xfrm>
                      <a:off x="0" y="0"/>
                      <a:ext cx="5510892" cy="1371600"/>
                    </a:xfrm>
                    <a:prstGeom prst="rect"/>
                  </pic:spPr>
                </pic:pic>
              </a:graphicData>
            </a:graphic>
          </wp:inline>
        </w:drawing>
      </w:r>
    </w:p>
    <w:p/>
    <w:p/>
    <w:p>
      <w:pPr>
        <w:keepNext w:val="0"/>
        <w:keepLines w:val="0"/>
        <w:widowControl w:val="0"/>
        <w:spacing w:after="240" w:before="0"/>
        <w:jc w:val="center"/>
        <w:wordWrap w:val="0"/>
        <w:overflowPunct w:val="0"/>
      </w:pPr>
      <w:r>
        <w:rPr>
          <w:rFonts w:ascii="Calibri" w:hAnsi="Calibri"/>
          <w:b/>
          <w:color w:val="1A5490"/>
          <w:sz w:val="64"/>
        </w:rPr>
        <w:t>Enterprise BPM Platform Implementation</w:t>
      </w:r>
    </w:p>
    <w:p/>
    <w:p/>
    <w:p>
      <w:pPr>
        <w:jc w:val="center"/>
      </w:pPr>
      <w:r>
        <w:rPr>
          <w:rFonts w:ascii="Calibri" w:hAnsi="Calibri"/>
          <w:color w:val="646464"/>
          <w:sz w:val="28"/>
        </w:rPr>
        <w:t>December 23, 2025</w:t>
      </w:r>
    </w:p>
    <w:p/>
    <w:p/>
    <w:p/>
    <w:p/>
    <w:p>
      <w:pPr>
        <w:jc w:val="center"/>
      </w:pPr>
      <w:r>
        <w:rPr>
          <w:rFonts w:ascii="Calibri" w:hAnsi="Calibri"/>
          <w:b/>
          <w:color w:val="1A5490"/>
          <w:sz w:val="40"/>
        </w:rPr>
        <w:t>fusionAIx</w:t>
      </w:r>
    </w:p>
    <w:p>
      <w:pPr>
        <w:jc w:val="center"/>
      </w:pPr>
      <w:r>
        <w:rPr>
          <w:rFonts w:ascii="Calibri" w:hAnsi="Calibri"/>
          <w:color w:val="646464"/>
          <w:sz w:val="24"/>
        </w:rPr>
        <w:t>www.fusionaix.com</w:t>
      </w:r>
    </w:p>
    <w:p/>
    <w:p>
      <w:pPr>
        <w:sectPr>
          <w:footerReference w:type="default" r:id="rId9"/>
          <w:pgSz w:w="12240" w:h="15840"/>
          <w:pgMar w:top="1440" w:right="1440" w:bottom="1440" w:left="1440" w:header="720" w:footer="720" w:gutter="0"/>
          <w:cols w:space="720"/>
          <w:docGrid w:linePitch="360"/>
        </w:sectPr>
      </w:pPr>
    </w:p>
    <w:p>
      <w:pPr>
        <w:pStyle w:val="Heading1"/>
      </w:pPr>
      <w:r>
        <w:t>Table of Contents</w:t>
      </w:r>
    </w:p>
    <w:p/>
    <w:p>
      <w:pPr/>
      <w:r>
        <w:rPr>
          <w:rFonts w:ascii="Calibri" w:hAnsi="Calibri"/>
          <w:sz w:val="22"/>
        </w:rPr>
        <w:t>1. Executive Summary</w:t>
      </w:r>
    </w:p>
    <w:p>
      <w:pPr/>
      <w:r>
        <w:rPr>
          <w:rFonts w:ascii="Calibri" w:hAnsi="Calibri"/>
          <w:sz w:val="22"/>
        </w:rPr>
        <w:t>2. Understanding of MTI’s Objectives and Context</w:t>
      </w:r>
    </w:p>
    <w:p>
      <w:pPr/>
      <w:r>
        <w:rPr>
          <w:rFonts w:ascii="Calibri" w:hAnsi="Calibri"/>
          <w:sz w:val="22"/>
        </w:rPr>
        <w:t>3. Proposed Solution Overview (architecture, major components, key differentiators)</w:t>
      </w:r>
    </w:p>
    <w:p>
      <w:pPr/>
      <w:r>
        <w:rPr>
          <w:rFonts w:ascii="Calibri" w:hAnsi="Calibri"/>
          <w:sz w:val="22"/>
        </w:rPr>
        <w:t>4. Implementation Approach and Methodology</w:t>
      </w:r>
    </w:p>
    <w:p>
      <w:pPr/>
      <w:r>
        <w:rPr>
          <w:rFonts w:ascii="Calibri" w:hAnsi="Calibri"/>
          <w:sz w:val="22"/>
        </w:rPr>
        <w:t>5. Project Plan and Timelines, including major milestones</w:t>
      </w:r>
    </w:p>
    <w:p>
      <w:pPr/>
      <w:r>
        <w:rPr>
          <w:rFonts w:ascii="Calibri" w:hAnsi="Calibri"/>
          <w:sz w:val="22"/>
        </w:rPr>
        <w:t>6. Proposed Team Structure, roles, and CVs of key personnel</w:t>
      </w:r>
    </w:p>
    <w:p>
      <w:pPr/>
      <w:r>
        <w:rPr>
          <w:rFonts w:ascii="Calibri" w:hAnsi="Calibri"/>
          <w:sz w:val="22"/>
        </w:rPr>
        <w:t>7. Functional and Technical Compliance Matrix responding to the requirements in Sections 5 and 6</w:t>
      </w:r>
    </w:p>
    <w:p>
      <w:pPr/>
      <w:r>
        <w:rPr>
          <w:rFonts w:ascii="Calibri" w:hAnsi="Calibri"/>
          <w:sz w:val="22"/>
        </w:rPr>
        <w:t>8. Assumptions, Dependencies, and Risks, with proposed mitigation strategies</w:t>
      </w:r>
    </w:p>
    <w:p>
      <w:pPr/>
      <w:r>
        <w:rPr>
          <w:rFonts w:ascii="Calibri" w:hAnsi="Calibri"/>
          <w:sz w:val="22"/>
        </w:rPr>
        <w:t>9. Support and Maintenance Model, including SLAs</w:t>
      </w:r>
    </w:p>
    <w:p>
      <w:pPr/>
      <w:r>
        <w:rPr>
          <w:rFonts w:ascii="Calibri" w:hAnsi="Calibri"/>
          <w:sz w:val="22"/>
        </w:rPr>
        <w:t>10. Commercial Proposal (licensing, implementation services, support, and any optional components)</w:t>
      </w:r>
    </w:p>
    <w:p>
      <w:pPr>
        <w:sectPr>
          <w:headerReference w:type="default" r:id="rId11"/>
          <w:footerReference w:type="default" r:id="rId12"/>
          <w:pgSz w:w="12240" w:h="15840"/>
          <w:pgMar w:top="1440" w:right="1440" w:bottom="1440" w:left="1440" w:header="720" w:footer="720" w:gutter="0"/>
          <w:cols w:space="720"/>
          <w:docGrid w:linePitch="360"/>
        </w:sectPr>
      </w:pPr>
    </w:p>
    <w:p>
      <w:pPr>
        <w:pStyle w:val="Heading1"/>
      </w:pPr>
      <w:r>
        <w:t>Company Overview</w:t>
      </w:r>
    </w:p>
    <w:p>
      <w:r>
        <w:t>At fusionAIx, we believe that the future of digital transformation lies in the seamless blend of low-code platforms and artificial intelligence. Our core team brings together decades of implementation experience, domain expertise, and a passion for innovation. We partner with enterprises to reimagine processes, accelerate application delivery, and unlock new levels of efficiency. We help businesses scale smarter, faster, and with greater impact.</w:t>
      </w:r>
    </w:p>
    <w:p>
      <w:r>
        <w:t>With a collaborative spirit and a commitment to excellence, our team transforms complex challenges into intelligent, practical solutions. fusionAIx is not just about technology—it's about empowering people, industries, and enterprises to thrive in a digital-first world.</w:t>
      </w:r>
    </w:p>
    <w:p>
      <w:r>
        <w:t>We are proud to be officially recognized as a Great Place To Work® Certified Company for 2025–26, reflecting our commitment to a culture built on trust, innovation, and people-first values.</w:t>
      </w:r>
    </w:p>
    <w:p>
      <w:r>
        <w:t>fusionAIx delivers tailored solutions that blend AI and automation to drive measurable results across industries. We are a niche Pega partner with 20+ successful Pega Constellation implementations across the globe. As Constellation migration experts, we focus on pattern-based development with Constellation, enabling faster project go-lives than traditional implementation approaches.</w:t>
      </w:r>
    </w:p>
    <w:p>
      <w:r>
        <w:t>Our proven capabilities span three core technology platforms: Pega Constellation, Microsoft Power Platform, and ServiceNow. Through these platforms, we provide comprehensive services including Low Code/No Code development, Digital Process Transformation, and AI &amp; Data solutions.</w:t>
      </w:r>
    </w:p>
    <w:p>
      <w:r>
        <w:t>To accelerate time-to-value, fusionAIx offers proprietary accelerators and solution components including fxAgentSDK, fxAIStudio, fxMockUpToView, and fxSmartDCO. These tools enable rapid development, intelligent automation, and streamlined project delivery.</w:t>
      </w:r>
    </w:p>
    <w:p>
      <w:r>
        <w:t>We support clients across diverse industries including Insurance, Banking &amp; Finance, Government &amp; Public Sector, Automotive &amp; Fleet Management, and Travel &amp; Tourism, combining platform expertise with structured knowledge transfer to help customers build sustainable, future-ready capabilities.</w:t>
      </w:r>
    </w:p>
    <w:p>
      <w:r>
        <w:br w:type="page"/>
      </w:r>
    </w:p>
    <w:p>
      <w:pPr>
        <w:pStyle w:val="Heading1"/>
      </w:pPr>
      <w:r>
        <w:t>MTI BPM Platform Proposal</w:t>
      </w:r>
    </w:p>
    <w:p>
      <w:r>
        <w:t>Submitted by fusionAIx</w:t>
      </w:r>
    </w:p>
    <w:p>
      <w:r>
        <w:t>Date: [Insert Date]</w:t>
      </w:r>
    </w:p>
    <w:p>
      <w:r>
        <w:t>Document Purpose: Response to MTI’s RFP for the provision and implementation of an enterprise-grade BPM platform.</w:t>
      </w:r>
    </w:p>
    <w:p>
      <w:r>
        <w:t>Confidentiality: This document contains proprietary information of fusionAIx and is intended solely for evaluation by MTI.</w:t>
      </w:r>
    </w:p>
    <w:p>
      <w:pPr>
        <w:pStyle w:val="Heading2"/>
      </w:pPr>
      <w:r>
        <w:t>1. Executive Summary</w:t>
      </w:r>
    </w:p>
    <w:p>
      <w:r>
        <w:t>FusionAIx is pleased to submit this comprehensive proposal to the Ministry of Trade and Industry (MTI) for the implementation of an enterprise-grade Business Process Management (BPM) platform. Our proposed solution is designed to enable MTI to automate, orchestrate, and continuously optimize its core business processes—specifically focusing on business licensing and renewals, incentive and grants applications, and other mission-critical workflows.</w:t>
      </w:r>
    </w:p>
    <w:p>
      <w:r>
        <w:t>Our solution is built on Pega Constellation, a proven, enterprise-grade BPM suite trusted by governments and large enterprises worldwide. It combines low-code, model-driven configuration with advanced case management, dynamic workflow orchestration, and AI-driven decisioning.</w:t>
      </w:r>
    </w:p>
    <w:p>
      <w:pPr>
        <w:pStyle w:val="Heading3"/>
      </w:pPr>
      <w:r>
        <w:t>Key Highlights of Our Proposal:</w:t>
      </w:r>
    </w:p>
    <w:p>
      <w:pPr>
        <w:spacing w:after="120"/>
        <w:ind w:left="360" w:hanging="360"/>
      </w:pPr>
      <w:r>
        <w:rPr>
          <w:rFonts w:ascii="Calibri" w:hAnsi="Calibri"/>
          <w:sz w:val="22"/>
        </w:rPr>
        <w:t xml:space="preserve">• </w:t>
      </w:r>
      <w:r>
        <w:rPr>
          <w:rFonts w:ascii="Calibri" w:hAnsi="Calibri"/>
          <w:b/>
          <w:sz w:val="22"/>
        </w:rPr>
        <w:t>Enterprise-Grade BPM Platform:</w:t>
      </w:r>
      <w:r>
        <w:rPr>
          <w:rFonts w:ascii="Calibri" w:hAnsi="Calibri"/>
          <w:sz w:val="22"/>
        </w:rPr>
        <w:t xml:space="preserve"> Pega Constellation, licensed and configured for MTI’s internal and external user base, supporting both workbasket and worklist paradigms.</w:t>
      </w:r>
    </w:p>
    <w:p>
      <w:pPr>
        <w:spacing w:after="120"/>
        <w:ind w:left="360" w:hanging="360"/>
      </w:pPr>
      <w:r>
        <w:rPr>
          <w:rFonts w:ascii="Calibri" w:hAnsi="Calibri"/>
          <w:sz w:val="22"/>
        </w:rPr>
        <w:t xml:space="preserve">• </w:t>
      </w:r>
      <w:r>
        <w:rPr>
          <w:rFonts w:ascii="Calibri" w:hAnsi="Calibri"/>
          <w:b/>
          <w:sz w:val="22"/>
        </w:rPr>
        <w:t>Comprehensive Process Coverage:</w:t>
      </w:r>
      <w:r>
        <w:rPr>
          <w:rFonts w:ascii="Calibri" w:hAnsi="Calibri"/>
          <w:sz w:val="22"/>
        </w:rPr>
        <w:t xml:space="preserve"> Initial implementation for business licensing, renewals, and incentive/grant management, with extensibility for future processes.</w:t>
      </w:r>
    </w:p>
    <w:p>
      <w:pPr>
        <w:spacing w:after="120"/>
        <w:ind w:left="360" w:hanging="360"/>
      </w:pPr>
      <w:r>
        <w:rPr>
          <w:rFonts w:ascii="Calibri" w:hAnsi="Calibri"/>
          <w:sz w:val="22"/>
        </w:rPr>
        <w:t xml:space="preserve">• </w:t>
      </w:r>
      <w:r>
        <w:rPr>
          <w:rFonts w:ascii="Calibri" w:hAnsi="Calibri"/>
          <w:b/>
          <w:sz w:val="22"/>
        </w:rPr>
        <w:t>Low-Code, Model-Driven Development:</w:t>
      </w:r>
      <w:r>
        <w:rPr>
          <w:rFonts w:ascii="Calibri" w:hAnsi="Calibri"/>
          <w:sz w:val="22"/>
        </w:rPr>
        <w:t xml:space="preserve"> Enables rapid configuration, reduced time-to-market, and minimal custom coding.</w:t>
      </w:r>
    </w:p>
    <w:p>
      <w:pPr>
        <w:spacing w:after="120"/>
        <w:ind w:left="360" w:hanging="360"/>
      </w:pPr>
      <w:r>
        <w:rPr>
          <w:rFonts w:ascii="Calibri" w:hAnsi="Calibri"/>
          <w:sz w:val="22"/>
        </w:rPr>
        <w:t xml:space="preserve">• </w:t>
      </w:r>
      <w:r>
        <w:rPr>
          <w:rFonts w:ascii="Calibri" w:hAnsi="Calibri"/>
          <w:b/>
          <w:sz w:val="22"/>
        </w:rPr>
        <w:t>Dynamic Case Management:</w:t>
      </w:r>
      <w:r>
        <w:rPr>
          <w:rFonts w:ascii="Calibri" w:hAnsi="Calibri"/>
          <w:sz w:val="22"/>
        </w:rPr>
        <w:t xml:space="preserve"> Supports straight-through and human-centric workflows, ad-hoc tasks, attachments, notes, and contextual collaboration.</w:t>
      </w:r>
    </w:p>
    <w:p>
      <w:pPr>
        <w:spacing w:after="120"/>
        <w:ind w:left="360" w:hanging="360"/>
      </w:pPr>
      <w:r>
        <w:rPr>
          <w:rFonts w:ascii="Calibri" w:hAnsi="Calibri"/>
          <w:sz w:val="22"/>
        </w:rPr>
        <w:t xml:space="preserve">• </w:t>
      </w:r>
      <w:r>
        <w:rPr>
          <w:rFonts w:ascii="Calibri" w:hAnsi="Calibri"/>
          <w:b/>
          <w:sz w:val="22"/>
        </w:rPr>
        <w:t>Centralized Rules Management:</w:t>
      </w:r>
      <w:r>
        <w:rPr>
          <w:rFonts w:ascii="Calibri" w:hAnsi="Calibri"/>
          <w:sz w:val="22"/>
        </w:rPr>
        <w:t xml:space="preserve"> Externalizes business policies from application code, enabling versioning, testing, and controlled deployment.</w:t>
      </w:r>
    </w:p>
    <w:p>
      <w:pPr>
        <w:spacing w:after="120"/>
        <w:ind w:left="360" w:hanging="360"/>
      </w:pPr>
      <w:r>
        <w:rPr>
          <w:rFonts w:ascii="Calibri" w:hAnsi="Calibri"/>
          <w:sz w:val="22"/>
        </w:rPr>
        <w:t xml:space="preserve">• </w:t>
      </w:r>
      <w:r>
        <w:rPr>
          <w:rFonts w:ascii="Calibri" w:hAnsi="Calibri"/>
          <w:b/>
          <w:sz w:val="22"/>
        </w:rPr>
        <w:t>Advanced Analytics and Dashboards:</w:t>
      </w:r>
      <w:r>
        <w:rPr>
          <w:rFonts w:ascii="Calibri" w:hAnsi="Calibri"/>
          <w:sz w:val="22"/>
        </w:rPr>
        <w:t xml:space="preserve"> Real-time monitoring of case volumes, SLA performance, workload distribution, and bottlenecks.</w:t>
      </w:r>
    </w:p>
    <w:p>
      <w:pPr>
        <w:spacing w:after="120"/>
        <w:ind w:left="360" w:hanging="360"/>
      </w:pPr>
      <w:r>
        <w:rPr>
          <w:rFonts w:ascii="Calibri" w:hAnsi="Calibri"/>
          <w:sz w:val="22"/>
        </w:rPr>
        <w:t xml:space="preserve">• </w:t>
      </w:r>
      <w:r>
        <w:rPr>
          <w:rFonts w:ascii="Calibri" w:hAnsi="Calibri"/>
          <w:b/>
          <w:sz w:val="22"/>
        </w:rPr>
        <w:t>Secure, Compliant, and Scalable:</w:t>
      </w:r>
      <w:r>
        <w:rPr>
          <w:rFonts w:ascii="Calibri" w:hAnsi="Calibri"/>
          <w:sz w:val="22"/>
        </w:rPr>
        <w:t xml:space="preserve"> Role-based access control, full audit logging, and compliance with national data protection and cybersecurity standards.</w:t>
      </w:r>
    </w:p>
    <w:p>
      <w:pPr>
        <w:spacing w:after="120"/>
        <w:ind w:left="360" w:hanging="360"/>
      </w:pPr>
      <w:r>
        <w:rPr>
          <w:rFonts w:ascii="Calibri" w:hAnsi="Calibri"/>
          <w:sz w:val="22"/>
        </w:rPr>
        <w:t xml:space="preserve">• </w:t>
      </w:r>
      <w:r>
        <w:rPr>
          <w:rFonts w:ascii="Calibri" w:hAnsi="Calibri"/>
          <w:b/>
          <w:sz w:val="22"/>
        </w:rPr>
        <w:t>Proven Implementation Expertise:</w:t>
      </w:r>
      <w:r>
        <w:rPr>
          <w:rFonts w:ascii="Calibri" w:hAnsi="Calibri"/>
          <w:sz w:val="22"/>
        </w:rPr>
        <w:t xml:space="preserve"> Over 20 successful Pega Constellation implementations globally, including government and public sector clients.</w:t>
      </w:r>
    </w:p>
    <w:p>
      <w:pPr>
        <w:spacing w:after="120"/>
        <w:ind w:left="360" w:hanging="360"/>
      </w:pPr>
      <w:r>
        <w:rPr>
          <w:rFonts w:ascii="Calibri" w:hAnsi="Calibri"/>
          <w:sz w:val="22"/>
        </w:rPr>
        <w:t xml:space="preserve">• </w:t>
      </w:r>
      <w:r>
        <w:rPr>
          <w:rFonts w:ascii="Calibri" w:hAnsi="Calibri"/>
          <w:b/>
          <w:sz w:val="22"/>
        </w:rPr>
        <w:t>Comprehensive Support:</w:t>
      </w:r>
      <w:r>
        <w:rPr>
          <w:rFonts w:ascii="Calibri" w:hAnsi="Calibri"/>
          <w:sz w:val="22"/>
        </w:rPr>
        <w:t xml:space="preserve"> Three years of post go-live support and maintenance, including patching, upgrades, and incident resolution under defined SLAs.</w:t>
      </w:r>
    </w:p>
    <w:p>
      <w:r>
        <w:t>FusionAIx’s approach is grounded in collaboration, transparency, and measurable outcomes. We bring a combination of deep BPM expertise, proprietary accelerators (fxAgentSDK, fxAIStudio, fxMockUpToView, fxSmartDCO), and a people-first culture that ensures successful adoption and sustainable transformation.</w:t>
      </w:r>
    </w:p>
    <w:p>
      <w:pPr>
        <w:pStyle w:val="Heading2"/>
      </w:pPr>
      <w:r>
        <w:t>2. Understanding of MTI’s Objectives and Context</w:t>
      </w:r>
    </w:p>
    <w:p>
      <w:r>
        <w:t>MTI’s strategic objective is to modernize and digitize its core business processes to enhance service delivery, transparency, and operational efficiency. The ministry’s current environment involves multiple manual and semi-automated workflows that span licensing, renewals, grants, and internal administrative processes. These processes are often siloed, leading to inefficiencies, delays, and limited visibility into performance metrics.</w:t>
      </w:r>
    </w:p>
    <w:p>
      <w:r>
        <w:t>FusionAIx understands that MTI seeks a unified BPM platform that will:</w:t>
      </w:r>
    </w:p>
    <w:p>
      <w:pPr>
        <w:spacing w:after="120"/>
        <w:ind w:left="360" w:hanging="360"/>
      </w:pPr>
      <w:r>
        <w:rPr>
          <w:rFonts w:ascii="Calibri" w:hAnsi="Calibri"/>
          <w:sz w:val="22"/>
        </w:rPr>
        <w:t xml:space="preserve">• </w:t>
      </w:r>
      <w:r>
        <w:rPr>
          <w:rFonts w:ascii="Calibri" w:hAnsi="Calibri"/>
          <w:b/>
          <w:sz w:val="22"/>
        </w:rPr>
        <w:t>Automate and streamline</w:t>
      </w:r>
      <w:r>
        <w:rPr>
          <w:rFonts w:ascii="Calibri" w:hAnsi="Calibri"/>
          <w:sz w:val="22"/>
        </w:rPr>
        <w:t xml:space="preserve"> end-to-end business processes.</w:t>
      </w:r>
    </w:p>
    <w:p>
      <w:pPr>
        <w:spacing w:after="120"/>
        <w:ind w:left="360" w:hanging="360"/>
      </w:pPr>
      <w:r>
        <w:rPr>
          <w:rFonts w:ascii="Calibri" w:hAnsi="Calibri"/>
          <w:sz w:val="22"/>
        </w:rPr>
        <w:t xml:space="preserve">• </w:t>
      </w:r>
      <w:r>
        <w:rPr>
          <w:rFonts w:ascii="Calibri" w:hAnsi="Calibri"/>
          <w:b/>
          <w:sz w:val="22"/>
        </w:rPr>
        <w:t>Enable dynamic case management</w:t>
      </w:r>
      <w:r>
        <w:rPr>
          <w:rFonts w:ascii="Calibri" w:hAnsi="Calibri"/>
          <w:sz w:val="22"/>
        </w:rPr>
        <w:t xml:space="preserve"> for both structured and unstructured workflows.</w:t>
      </w:r>
    </w:p>
    <w:p>
      <w:pPr>
        <w:spacing w:after="120"/>
        <w:ind w:left="360" w:hanging="360"/>
      </w:pPr>
      <w:r>
        <w:rPr>
          <w:rFonts w:ascii="Calibri" w:hAnsi="Calibri"/>
          <w:sz w:val="22"/>
        </w:rPr>
        <w:t xml:space="preserve">• </w:t>
      </w:r>
      <w:r>
        <w:rPr>
          <w:rFonts w:ascii="Calibri" w:hAnsi="Calibri"/>
          <w:b/>
          <w:sz w:val="22"/>
        </w:rPr>
        <w:t>Provide real-time visibility</w:t>
      </w:r>
      <w:r>
        <w:rPr>
          <w:rFonts w:ascii="Calibri" w:hAnsi="Calibri"/>
          <w:sz w:val="22"/>
        </w:rPr>
        <w:t xml:space="preserve"> into process performance through dashboards and analytics.</w:t>
      </w:r>
    </w:p>
    <w:p>
      <w:pPr>
        <w:spacing w:after="120"/>
        <w:ind w:left="360" w:hanging="360"/>
      </w:pPr>
      <w:r>
        <w:rPr>
          <w:rFonts w:ascii="Calibri" w:hAnsi="Calibri"/>
          <w:sz w:val="22"/>
        </w:rPr>
        <w:t xml:space="preserve">• </w:t>
      </w:r>
      <w:r>
        <w:rPr>
          <w:rFonts w:ascii="Calibri" w:hAnsi="Calibri"/>
          <w:b/>
          <w:sz w:val="22"/>
        </w:rPr>
        <w:t>Empower business users</w:t>
      </w:r>
      <w:r>
        <w:rPr>
          <w:rFonts w:ascii="Calibri" w:hAnsi="Calibri"/>
          <w:sz w:val="22"/>
        </w:rPr>
        <w:t xml:space="preserve"> to configure and adapt processes without heavy IT dependency.</w:t>
      </w:r>
    </w:p>
    <w:p>
      <w:pPr>
        <w:spacing w:after="120"/>
        <w:ind w:left="360" w:hanging="360"/>
      </w:pPr>
      <w:r>
        <w:rPr>
          <w:rFonts w:ascii="Calibri" w:hAnsi="Calibri"/>
          <w:sz w:val="22"/>
        </w:rPr>
        <w:t xml:space="preserve">• </w:t>
      </w:r>
      <w:r>
        <w:rPr>
          <w:rFonts w:ascii="Calibri" w:hAnsi="Calibri"/>
          <w:b/>
          <w:sz w:val="22"/>
        </w:rPr>
        <w:t>Ensure compliance and governance</w:t>
      </w:r>
      <w:r>
        <w:rPr>
          <w:rFonts w:ascii="Calibri" w:hAnsi="Calibri"/>
          <w:sz w:val="22"/>
        </w:rPr>
        <w:t xml:space="preserve"> through robust security, auditability, and role-based access control.</w:t>
      </w:r>
    </w:p>
    <w:p>
      <w:pPr>
        <w:spacing w:after="120"/>
        <w:ind w:left="360" w:hanging="360"/>
      </w:pPr>
      <w:r>
        <w:rPr>
          <w:rFonts w:ascii="Calibri" w:hAnsi="Calibri"/>
          <w:sz w:val="22"/>
        </w:rPr>
        <w:t xml:space="preserve">• </w:t>
      </w:r>
      <w:r>
        <w:rPr>
          <w:rFonts w:ascii="Calibri" w:hAnsi="Calibri"/>
          <w:b/>
          <w:sz w:val="22"/>
        </w:rPr>
        <w:t>Support scalability and extensibility</w:t>
      </w:r>
      <w:r>
        <w:rPr>
          <w:rFonts w:ascii="Calibri" w:hAnsi="Calibri"/>
          <w:sz w:val="22"/>
        </w:rPr>
        <w:t xml:space="preserve"> for future process automation initiatives.</w:t>
      </w:r>
    </w:p>
    <w:p>
      <w:r>
        <w:t>We recognize that MTI’s transformation journey is not just about technology—it’s about enabling a digital operating model that supports policy agility, citizen-centric service delivery, and continuous improvement.</w:t>
      </w:r>
    </w:p>
    <w:p>
      <w:r>
        <w:t>FusionAIx’s experience with government clients has shown that successful BPM implementations require a balance of process standardization and flexibility. Our approach ensures that MTI’s core processes are standardized for efficiency while retaining the flexibility to adapt to evolving regulatory and policy requirements.</w:t>
      </w:r>
    </w:p>
    <w:p>
      <w:r>
        <w:t>We also understand MTI’s emphasis on change management and capacity building. Our proposal includes comprehensive training programs for system administrators, business power users, and end users, along with detailed user guides and training materials.</w:t>
      </w:r>
    </w:p>
    <w:p>
      <w:r>
        <w:t>In summary, fusionAIx’s understanding of MTI’s objectives is centered on delivering a future-ready BPM platform that enhances service delivery, operational agility, and data-driven decision-making.</w:t>
      </w:r>
    </w:p>
    <w:p>
      <w:pPr>
        <w:pStyle w:val="Heading2"/>
      </w:pPr>
      <w:r>
        <w:t>3. Proposed Solution Overview</w:t>
      </w:r>
    </w:p>
    <w:p>
      <w:pPr>
        <w:pStyle w:val="Heading3"/>
      </w:pPr>
      <w:r>
        <w:t>3.1 Solution Architecture</w:t>
      </w:r>
    </w:p>
    <w:p>
      <w:r>
        <w:t>Our proposed solution is based on Pega Constellation, an enterprise-grade BPM and case management platform. It provides a unified environment for process modeling, workflow automation, business rules management, and analytics.</w:t>
      </w:r>
    </w:p>
    <w:p>
      <w:r>
        <w:drawing>
          <wp:inline xmlns:a="http://schemas.openxmlformats.org/drawingml/2006/main" xmlns:pic="http://schemas.openxmlformats.org/drawingml/2006/picture">
            <wp:extent cx="4572000" cy="507352"/>
            <wp:docPr id="2" name="Picture 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72000" cy="507352"/>
                    </a:xfrm>
                    <a:prstGeom prst="rect"/>
                  </pic:spPr>
                </pic:pic>
              </a:graphicData>
            </a:graphic>
          </wp:inline>
        </w:drawing>
      </w:r>
    </w:p>
    <w:p>
      <w:r>
        <w:t>Caption: High-level architecture of the proposed BPM solution for MTI.</w:t>
      </w:r>
    </w:p>
    <w:p>
      <w:pPr>
        <w:pStyle w:val="Heading3"/>
      </w:pPr>
      <w:r>
        <w:t>3.2 Major Components</w:t>
      </w:r>
    </w:p>
    <w:p>
      <w:pPr>
        <w:spacing w:after="120"/>
        <w:ind w:left="360" w:hanging="360"/>
      </w:pPr>
      <w:r>
        <w:rPr>
          <w:rFonts w:ascii="Calibri" w:hAnsi="Calibri"/>
          <w:sz w:val="22"/>
        </w:rPr>
        <w:t xml:space="preserve">• </w:t>
      </w:r>
      <w:r>
        <w:rPr>
          <w:rFonts w:ascii="Calibri" w:hAnsi="Calibri"/>
          <w:b/>
          <w:sz w:val="22"/>
        </w:rPr>
        <w:t>BPM Engine:</w:t>
      </w:r>
      <w:r>
        <w:rPr>
          <w:rFonts w:ascii="Calibri" w:hAnsi="Calibri"/>
          <w:sz w:val="22"/>
        </w:rPr>
        <w:t xml:space="preserve"> Orchestrates end-to-end workflows, supporting both straight-through and human-centric processing.</w:t>
      </w:r>
    </w:p>
    <w:p>
      <w:pPr>
        <w:spacing w:after="120"/>
        <w:ind w:left="360" w:hanging="360"/>
      </w:pPr>
      <w:r>
        <w:rPr>
          <w:rFonts w:ascii="Calibri" w:hAnsi="Calibri"/>
          <w:sz w:val="22"/>
        </w:rPr>
        <w:t xml:space="preserve">• </w:t>
      </w:r>
      <w:r>
        <w:rPr>
          <w:rFonts w:ascii="Calibri" w:hAnsi="Calibri"/>
          <w:b/>
          <w:sz w:val="22"/>
        </w:rPr>
        <w:t>Case Management Module:</w:t>
      </w:r>
      <w:r>
        <w:rPr>
          <w:rFonts w:ascii="Calibri" w:hAnsi="Calibri"/>
          <w:sz w:val="22"/>
        </w:rPr>
        <w:t xml:space="preserve"> Enables dynamic case handling, ad-hoc tasks, attachments, and notes.</w:t>
      </w:r>
    </w:p>
    <w:p>
      <w:pPr>
        <w:spacing w:after="120"/>
        <w:ind w:left="360" w:hanging="360"/>
      </w:pPr>
      <w:r>
        <w:rPr>
          <w:rFonts w:ascii="Calibri" w:hAnsi="Calibri"/>
          <w:sz w:val="22"/>
        </w:rPr>
        <w:t xml:space="preserve">• </w:t>
      </w:r>
      <w:r>
        <w:rPr>
          <w:rFonts w:ascii="Calibri" w:hAnsi="Calibri"/>
          <w:b/>
          <w:sz w:val="22"/>
        </w:rPr>
        <w:t>Business Rules Engine:</w:t>
      </w:r>
      <w:r>
        <w:rPr>
          <w:rFonts w:ascii="Calibri" w:hAnsi="Calibri"/>
          <w:sz w:val="22"/>
        </w:rPr>
        <w:t xml:space="preserve"> Centralized rules management for externalizing business logic, with versioning and controlled deployment.</w:t>
      </w:r>
    </w:p>
    <w:p>
      <w:pPr>
        <w:spacing w:after="120"/>
        <w:ind w:left="360" w:hanging="360"/>
      </w:pPr>
      <w:r>
        <w:rPr>
          <w:rFonts w:ascii="Calibri" w:hAnsi="Calibri"/>
          <w:sz w:val="22"/>
        </w:rPr>
        <w:t xml:space="preserve">• </w:t>
      </w:r>
      <w:r>
        <w:rPr>
          <w:rFonts w:ascii="Calibri" w:hAnsi="Calibri"/>
          <w:b/>
          <w:sz w:val="22"/>
        </w:rPr>
        <w:t>Integration Layer:</w:t>
      </w:r>
      <w:r>
        <w:rPr>
          <w:rFonts w:ascii="Calibri" w:hAnsi="Calibri"/>
          <w:sz w:val="22"/>
        </w:rPr>
        <w:t xml:space="preserve"> REST APIs, message queues, and event-based integration for seamless connectivity with MTI’s systems.</w:t>
      </w:r>
    </w:p>
    <w:p>
      <w:pPr>
        <w:spacing w:after="120"/>
        <w:ind w:left="360" w:hanging="360"/>
      </w:pPr>
      <w:r>
        <w:rPr>
          <w:rFonts w:ascii="Calibri" w:hAnsi="Calibri"/>
          <w:sz w:val="22"/>
        </w:rPr>
        <w:t xml:space="preserve">• </w:t>
      </w:r>
      <w:r>
        <w:rPr>
          <w:rFonts w:ascii="Calibri" w:hAnsi="Calibri"/>
          <w:b/>
          <w:sz w:val="22"/>
        </w:rPr>
        <w:t>User Interfaces:</w:t>
      </w:r>
      <w:r>
        <w:rPr>
          <w:rFonts w:ascii="Calibri" w:hAnsi="Calibri"/>
          <w:sz w:val="22"/>
        </w:rPr>
        <w:t xml:space="preserve"> Web-based, responsive, and accessible via standard browsers, with guided steps and contextual help.</w:t>
      </w:r>
    </w:p>
    <w:p>
      <w:pPr>
        <w:spacing w:after="120"/>
        <w:ind w:left="360" w:hanging="360"/>
      </w:pPr>
      <w:r>
        <w:rPr>
          <w:rFonts w:ascii="Calibri" w:hAnsi="Calibri"/>
          <w:sz w:val="22"/>
        </w:rPr>
        <w:t xml:space="preserve">• </w:t>
      </w:r>
      <w:r>
        <w:rPr>
          <w:rFonts w:ascii="Calibri" w:hAnsi="Calibri"/>
          <w:b/>
          <w:sz w:val="22"/>
        </w:rPr>
        <w:t>Analytics and Dashboards:</w:t>
      </w:r>
      <w:r>
        <w:rPr>
          <w:rFonts w:ascii="Calibri" w:hAnsi="Calibri"/>
          <w:sz w:val="22"/>
        </w:rPr>
        <w:t xml:space="preserve"> Real-time monitoring of SLAs, workload distribution, and performance metrics.</w:t>
      </w:r>
    </w:p>
    <w:p>
      <w:pPr>
        <w:pStyle w:val="Heading3"/>
      </w:pPr>
      <w:r>
        <w:t>3.3 Key Differentiators</w:t>
      </w:r>
    </w:p>
    <w:p>
      <w:pPr>
        <w:spacing w:after="120"/>
        <w:ind w:left="360" w:hanging="360"/>
      </w:pPr>
      <w:r>
        <w:rPr>
          <w:rFonts w:ascii="Calibri" w:hAnsi="Calibri"/>
          <w:sz w:val="22"/>
        </w:rPr>
        <w:t xml:space="preserve">• </w:t>
      </w:r>
      <w:r>
        <w:rPr>
          <w:rFonts w:ascii="Calibri" w:hAnsi="Calibri"/>
          <w:b/>
          <w:sz w:val="22"/>
        </w:rPr>
        <w:t>Low-Code Development:</w:t>
      </w:r>
      <w:r>
        <w:rPr>
          <w:rFonts w:ascii="Calibri" w:hAnsi="Calibri"/>
          <w:sz w:val="22"/>
        </w:rPr>
        <w:t xml:space="preserve"> Model-driven configuration reduces development time and enhances agility.</w:t>
      </w:r>
    </w:p>
    <w:p>
      <w:pPr>
        <w:spacing w:after="120"/>
        <w:ind w:left="360" w:hanging="360"/>
      </w:pPr>
      <w:r>
        <w:rPr>
          <w:rFonts w:ascii="Calibri" w:hAnsi="Calibri"/>
          <w:sz w:val="22"/>
        </w:rPr>
        <w:t xml:space="preserve">• </w:t>
      </w:r>
      <w:r>
        <w:rPr>
          <w:rFonts w:ascii="Calibri" w:hAnsi="Calibri"/>
          <w:b/>
          <w:sz w:val="22"/>
        </w:rPr>
        <w:t>AI-Driven Insights:</w:t>
      </w:r>
      <w:r>
        <w:rPr>
          <w:rFonts w:ascii="Calibri" w:hAnsi="Calibri"/>
          <w:sz w:val="22"/>
        </w:rPr>
        <w:t xml:space="preserve"> fxAIStudio enables predictive analytics and intelligent decisioning.</w:t>
      </w:r>
    </w:p>
    <w:p>
      <w:pPr>
        <w:spacing w:after="120"/>
        <w:ind w:left="360" w:hanging="360"/>
      </w:pPr>
      <w:r>
        <w:rPr>
          <w:rFonts w:ascii="Calibri" w:hAnsi="Calibri"/>
          <w:sz w:val="22"/>
        </w:rPr>
        <w:t xml:space="preserve">• </w:t>
      </w:r>
      <w:r>
        <w:rPr>
          <w:rFonts w:ascii="Calibri" w:hAnsi="Calibri"/>
          <w:b/>
          <w:sz w:val="22"/>
        </w:rPr>
        <w:t>Accelerators:</w:t>
      </w:r>
      <w:r>
        <w:rPr>
          <w:rFonts w:ascii="Calibri" w:hAnsi="Calibri"/>
          <w:sz w:val="22"/>
        </w:rPr>
        <w:t xml:space="preserve"> fxSmartDCO for rapid process discovery and design; fxMockUpToView for quick UI prototyping.</w:t>
      </w:r>
    </w:p>
    <w:p>
      <w:pPr>
        <w:spacing w:after="120"/>
        <w:ind w:left="360" w:hanging="360"/>
      </w:pPr>
      <w:r>
        <w:rPr>
          <w:rFonts w:ascii="Calibri" w:hAnsi="Calibri"/>
          <w:sz w:val="22"/>
        </w:rPr>
        <w:t xml:space="preserve">• </w:t>
      </w:r>
      <w:r>
        <w:rPr>
          <w:rFonts w:ascii="Calibri" w:hAnsi="Calibri"/>
          <w:b/>
          <w:sz w:val="22"/>
        </w:rPr>
        <w:t>Constellation Expertise:</w:t>
      </w:r>
      <w:r>
        <w:rPr>
          <w:rFonts w:ascii="Calibri" w:hAnsi="Calibri"/>
          <w:sz w:val="22"/>
        </w:rPr>
        <w:t xml:space="preserve"> Over 20 successful implementations, including complex government workflows.</w:t>
      </w:r>
    </w:p>
    <w:p>
      <w:pPr>
        <w:spacing w:after="120"/>
        <w:ind w:left="360" w:hanging="360"/>
      </w:pPr>
      <w:r>
        <w:rPr>
          <w:rFonts w:ascii="Calibri" w:hAnsi="Calibri"/>
          <w:sz w:val="22"/>
        </w:rPr>
        <w:t xml:space="preserve">• </w:t>
      </w:r>
      <w:r>
        <w:rPr>
          <w:rFonts w:ascii="Calibri" w:hAnsi="Calibri"/>
          <w:b/>
          <w:sz w:val="22"/>
        </w:rPr>
        <w:t>Security and Compliance:</w:t>
      </w:r>
      <w:r>
        <w:rPr>
          <w:rFonts w:ascii="Calibri" w:hAnsi="Calibri"/>
          <w:sz w:val="22"/>
        </w:rPr>
        <w:t xml:space="preserve"> Role-based access control, full audit logging, and adherence to national cybersecurity standards.</w:t>
      </w:r>
    </w:p>
    <w:p>
      <w:pPr>
        <w:pStyle w:val="Heading3"/>
      </w:pPr>
      <w:r>
        <w:t>3.4 Scalability and Extensibility</w:t>
      </w:r>
    </w:p>
    <w:p>
      <w:r>
        <w:t>The platform supports horizontal and vertical scaling, ensuring performance under high transaction volumes. It is designed for multi-tenancy and can be deployed on-premises, in the cloud, or in hybrid environments.</w:t>
      </w:r>
    </w:p>
    <w:p>
      <w:pPr>
        <w:pStyle w:val="Heading2"/>
      </w:pPr>
      <w:r>
        <w:t>4. Implementation Approach and Methodology</w:t>
      </w:r>
    </w:p>
    <w:p>
      <w:r>
        <w:t>FusionAIx follows a phased, collaborative implementation methodology that ensures alignment with MTI’s objectives, minimizes risk, and accelerates time-to-value.</w:t>
      </w:r>
    </w:p>
    <w:p>
      <w:pPr>
        <w:pStyle w:val="Heading3"/>
      </w:pPr>
      <w:r>
        <w:t>4.1 Phases of Implementation</w:t>
      </w:r>
    </w:p>
    <w:p>
      <w:pPr>
        <w:pStyle w:val="ListNumber"/>
      </w:pPr>
      <w:r>
        <w:rPr>
          <w:b/>
        </w:rPr>
        <w:t>Initiation and Discovery:</w:t>
      </w:r>
    </w:p>
    <w:p>
      <w:pPr>
        <w:spacing w:after="120"/>
        <w:ind w:left="360" w:hanging="360"/>
      </w:pPr>
      <w:r>
        <w:rPr>
          <w:rFonts w:ascii="Calibri" w:hAnsi="Calibri"/>
          <w:sz w:val="22"/>
        </w:rPr>
        <w:t xml:space="preserve">• </w:t>
      </w:r>
      <w:r>
        <w:rPr>
          <w:rFonts w:ascii="Calibri" w:hAnsi="Calibri"/>
          <w:sz w:val="22"/>
        </w:rPr>
        <w:t>Conduct stakeholder workshops to refine requirements.</w:t>
      </w:r>
    </w:p>
    <w:p>
      <w:pPr>
        <w:spacing w:after="120"/>
        <w:ind w:left="360" w:hanging="360"/>
      </w:pPr>
      <w:r>
        <w:rPr>
          <w:rFonts w:ascii="Calibri" w:hAnsi="Calibri"/>
          <w:sz w:val="22"/>
        </w:rPr>
        <w:t xml:space="preserve">• </w:t>
      </w:r>
      <w:r>
        <w:rPr>
          <w:rFonts w:ascii="Calibri" w:hAnsi="Calibri"/>
          <w:sz w:val="22"/>
        </w:rPr>
        <w:t>Use fxSmartDCO to capture process models and business rules collaboratively.</w:t>
      </w:r>
    </w:p>
    <w:p>
      <w:pPr>
        <w:spacing w:after="120"/>
        <w:ind w:left="360" w:hanging="360"/>
      </w:pPr>
      <w:r>
        <w:rPr>
          <w:rFonts w:ascii="Calibri" w:hAnsi="Calibri"/>
          <w:sz w:val="22"/>
        </w:rPr>
        <w:t xml:space="preserve">• </w:t>
      </w:r>
      <w:r>
        <w:rPr>
          <w:rFonts w:ascii="Calibri" w:hAnsi="Calibri"/>
          <w:sz w:val="22"/>
        </w:rPr>
        <w:t>Define success metrics and governance structure.</w:t>
      </w:r>
    </w:p>
    <w:p>
      <w:pPr>
        <w:pStyle w:val="ListNumber"/>
      </w:pPr>
      <w:r>
        <w:rPr>
          <w:b/>
        </w:rPr>
        <w:t>Design and Configuration:</w:t>
      </w:r>
    </w:p>
    <w:p>
      <w:pPr>
        <w:spacing w:after="120"/>
        <w:ind w:left="360" w:hanging="360"/>
      </w:pPr>
      <w:r>
        <w:rPr>
          <w:rFonts w:ascii="Calibri" w:hAnsi="Calibri"/>
          <w:sz w:val="22"/>
        </w:rPr>
        <w:t xml:space="preserve">• </w:t>
      </w:r>
      <w:r>
        <w:rPr>
          <w:rFonts w:ascii="Calibri" w:hAnsi="Calibri"/>
          <w:sz w:val="22"/>
        </w:rPr>
        <w:t>Model processes using Pega’s App Studio.</w:t>
      </w:r>
    </w:p>
    <w:p>
      <w:pPr>
        <w:spacing w:after="120"/>
        <w:ind w:left="360" w:hanging="360"/>
      </w:pPr>
      <w:r>
        <w:rPr>
          <w:rFonts w:ascii="Calibri" w:hAnsi="Calibri"/>
          <w:sz w:val="22"/>
        </w:rPr>
        <w:t xml:space="preserve">• </w:t>
      </w:r>
      <w:r>
        <w:rPr>
          <w:rFonts w:ascii="Calibri" w:hAnsi="Calibri"/>
          <w:sz w:val="22"/>
        </w:rPr>
        <w:t>Configure workflows, case types, and business rules.</w:t>
      </w:r>
    </w:p>
    <w:p>
      <w:pPr>
        <w:spacing w:after="120"/>
        <w:ind w:left="360" w:hanging="360"/>
      </w:pPr>
      <w:r>
        <w:rPr>
          <w:rFonts w:ascii="Calibri" w:hAnsi="Calibri"/>
          <w:sz w:val="22"/>
        </w:rPr>
        <w:t xml:space="preserve">• </w:t>
      </w:r>
      <w:r>
        <w:rPr>
          <w:rFonts w:ascii="Calibri" w:hAnsi="Calibri"/>
          <w:sz w:val="22"/>
        </w:rPr>
        <w:t>Design responsive user interfaces using fxMockUpToView.</w:t>
      </w:r>
    </w:p>
    <w:p>
      <w:pPr>
        <w:pStyle w:val="ListNumber"/>
      </w:pPr>
      <w:r>
        <w:rPr>
          <w:b/>
        </w:rPr>
        <w:t>Integration and Testing:</w:t>
      </w:r>
    </w:p>
    <w:p>
      <w:pPr>
        <w:spacing w:after="120"/>
        <w:ind w:left="360" w:hanging="360"/>
      </w:pPr>
      <w:r>
        <w:rPr>
          <w:rFonts w:ascii="Calibri" w:hAnsi="Calibri"/>
          <w:sz w:val="22"/>
        </w:rPr>
        <w:t xml:space="preserve">• </w:t>
      </w:r>
      <w:r>
        <w:rPr>
          <w:rFonts w:ascii="Calibri" w:hAnsi="Calibri"/>
          <w:sz w:val="22"/>
        </w:rPr>
        <w:t>Develop and test integrations with MTI’s identity management, licensing, and grants systems.</w:t>
      </w:r>
    </w:p>
    <w:p>
      <w:pPr>
        <w:spacing w:after="120"/>
        <w:ind w:left="360" w:hanging="360"/>
      </w:pPr>
      <w:r>
        <w:rPr>
          <w:rFonts w:ascii="Calibri" w:hAnsi="Calibri"/>
          <w:sz w:val="22"/>
        </w:rPr>
        <w:t xml:space="preserve">• </w:t>
      </w:r>
      <w:r>
        <w:rPr>
          <w:rFonts w:ascii="Calibri" w:hAnsi="Calibri"/>
          <w:sz w:val="22"/>
        </w:rPr>
        <w:t>Conduct unit, system, and user acceptance testing.</w:t>
      </w:r>
    </w:p>
    <w:p>
      <w:pPr>
        <w:pStyle w:val="ListNumber"/>
      </w:pPr>
      <w:r>
        <w:rPr>
          <w:b/>
        </w:rPr>
        <w:t>Training and Change Management:</w:t>
      </w:r>
    </w:p>
    <w:p>
      <w:pPr>
        <w:spacing w:after="120"/>
        <w:ind w:left="360" w:hanging="360"/>
      </w:pPr>
      <w:r>
        <w:rPr>
          <w:rFonts w:ascii="Calibri" w:hAnsi="Calibri"/>
          <w:sz w:val="22"/>
        </w:rPr>
        <w:t xml:space="preserve">• </w:t>
      </w:r>
      <w:r>
        <w:rPr>
          <w:rFonts w:ascii="Calibri" w:hAnsi="Calibri"/>
          <w:sz w:val="22"/>
        </w:rPr>
        <w:t>Deliver role-based training for administrators, power users, and end users.</w:t>
      </w:r>
    </w:p>
    <w:p>
      <w:pPr>
        <w:spacing w:after="120"/>
        <w:ind w:left="360" w:hanging="360"/>
      </w:pPr>
      <w:r>
        <w:rPr>
          <w:rFonts w:ascii="Calibri" w:hAnsi="Calibri"/>
          <w:sz w:val="22"/>
        </w:rPr>
        <w:t xml:space="preserve">• </w:t>
      </w:r>
      <w:r>
        <w:rPr>
          <w:rFonts w:ascii="Calibri" w:hAnsi="Calibri"/>
          <w:sz w:val="22"/>
        </w:rPr>
        <w:t>Provide training materials, user guides, and knowledge transfer sessions.</w:t>
      </w:r>
    </w:p>
    <w:p>
      <w:pPr>
        <w:pStyle w:val="ListNumber"/>
      </w:pPr>
      <w:r>
        <w:rPr>
          <w:b/>
        </w:rPr>
        <w:t>Deployment and Go-Live:</w:t>
      </w:r>
    </w:p>
    <w:p>
      <w:pPr>
        <w:spacing w:after="120"/>
        <w:ind w:left="360" w:hanging="360"/>
      </w:pPr>
      <w:r>
        <w:rPr>
          <w:rFonts w:ascii="Calibri" w:hAnsi="Calibri"/>
          <w:sz w:val="22"/>
        </w:rPr>
        <w:t xml:space="preserve">• </w:t>
      </w:r>
      <w:r>
        <w:rPr>
          <w:rFonts w:ascii="Calibri" w:hAnsi="Calibri"/>
          <w:sz w:val="22"/>
        </w:rPr>
        <w:t>Execute cutover plan and migrate configurations to production.</w:t>
      </w:r>
    </w:p>
    <w:p>
      <w:pPr>
        <w:spacing w:after="120"/>
        <w:ind w:left="360" w:hanging="360"/>
      </w:pPr>
      <w:r>
        <w:rPr>
          <w:rFonts w:ascii="Calibri" w:hAnsi="Calibri"/>
          <w:sz w:val="22"/>
        </w:rPr>
        <w:t xml:space="preserve">• </w:t>
      </w:r>
      <w:r>
        <w:rPr>
          <w:rFonts w:ascii="Calibri" w:hAnsi="Calibri"/>
          <w:sz w:val="22"/>
        </w:rPr>
        <w:t>Conduct go-live readiness assessment.</w:t>
      </w:r>
    </w:p>
    <w:p>
      <w:pPr>
        <w:pStyle w:val="ListNumber"/>
      </w:pPr>
      <w:r>
        <w:rPr>
          <w:b/>
        </w:rPr>
        <w:t>Post Go-Live Support:</w:t>
      </w:r>
    </w:p>
    <w:p>
      <w:pPr>
        <w:spacing w:after="120"/>
        <w:ind w:left="360" w:hanging="360"/>
      </w:pPr>
      <w:r>
        <w:rPr>
          <w:rFonts w:ascii="Calibri" w:hAnsi="Calibri"/>
          <w:sz w:val="22"/>
        </w:rPr>
        <w:t xml:space="preserve">• </w:t>
      </w:r>
      <w:r>
        <w:rPr>
          <w:rFonts w:ascii="Calibri" w:hAnsi="Calibri"/>
          <w:sz w:val="22"/>
        </w:rPr>
        <w:t>Provide three years of support and maintenance.</w:t>
      </w:r>
    </w:p>
    <w:p>
      <w:pPr>
        <w:spacing w:after="120"/>
        <w:ind w:left="360" w:hanging="360"/>
      </w:pPr>
      <w:r>
        <w:rPr>
          <w:rFonts w:ascii="Calibri" w:hAnsi="Calibri"/>
          <w:sz w:val="22"/>
        </w:rPr>
        <w:t xml:space="preserve">• </w:t>
      </w:r>
      <w:r>
        <w:rPr>
          <w:rFonts w:ascii="Calibri" w:hAnsi="Calibri"/>
          <w:sz w:val="22"/>
        </w:rPr>
        <w:t>Monitor system performance and user adoption.</w:t>
      </w:r>
    </w:p>
    <w:p>
      <w:pPr>
        <w:pStyle w:val="Heading3"/>
      </w:pPr>
      <w:r>
        <w:t>4.2 Methodology Principles</w:t>
      </w:r>
    </w:p>
    <w:p>
      <w:pPr>
        <w:spacing w:after="120"/>
        <w:ind w:left="360" w:hanging="360"/>
      </w:pPr>
      <w:r>
        <w:rPr>
          <w:rFonts w:ascii="Calibri" w:hAnsi="Calibri"/>
          <w:sz w:val="22"/>
        </w:rPr>
        <w:t xml:space="preserve">• </w:t>
      </w:r>
      <w:r>
        <w:rPr>
          <w:rFonts w:ascii="Calibri" w:hAnsi="Calibri"/>
          <w:b/>
          <w:sz w:val="22"/>
        </w:rPr>
        <w:t>Agile Delivery:</w:t>
      </w:r>
      <w:r>
        <w:rPr>
          <w:rFonts w:ascii="Calibri" w:hAnsi="Calibri"/>
          <w:sz w:val="22"/>
        </w:rPr>
        <w:t xml:space="preserve"> Iterative sprints with continuous stakeholder feedback.</w:t>
      </w:r>
    </w:p>
    <w:p>
      <w:pPr>
        <w:spacing w:after="120"/>
        <w:ind w:left="360" w:hanging="360"/>
      </w:pPr>
      <w:r>
        <w:rPr>
          <w:rFonts w:ascii="Calibri" w:hAnsi="Calibri"/>
          <w:sz w:val="22"/>
        </w:rPr>
        <w:t xml:space="preserve">• </w:t>
      </w:r>
      <w:r>
        <w:rPr>
          <w:rFonts w:ascii="Calibri" w:hAnsi="Calibri"/>
          <w:b/>
          <w:sz w:val="22"/>
        </w:rPr>
        <w:t>Co-Creation:</w:t>
      </w:r>
      <w:r>
        <w:rPr>
          <w:rFonts w:ascii="Calibri" w:hAnsi="Calibri"/>
          <w:sz w:val="22"/>
        </w:rPr>
        <w:t xml:space="preserve"> Joint design sessions with MTI to ensure alignment.</w:t>
      </w:r>
    </w:p>
    <w:p>
      <w:pPr>
        <w:spacing w:after="120"/>
        <w:ind w:left="360" w:hanging="360"/>
      </w:pPr>
      <w:r>
        <w:rPr>
          <w:rFonts w:ascii="Calibri" w:hAnsi="Calibri"/>
          <w:sz w:val="22"/>
        </w:rPr>
        <w:t xml:space="preserve">• </w:t>
      </w:r>
      <w:r>
        <w:rPr>
          <w:rFonts w:ascii="Calibri" w:hAnsi="Calibri"/>
          <w:b/>
          <w:sz w:val="22"/>
        </w:rPr>
        <w:t>Quality Assurance:</w:t>
      </w:r>
      <w:r>
        <w:rPr>
          <w:rFonts w:ascii="Calibri" w:hAnsi="Calibri"/>
          <w:sz w:val="22"/>
        </w:rPr>
        <w:t xml:space="preserve"> Embedded testing and validation at each stage.</w:t>
      </w:r>
    </w:p>
    <w:p>
      <w:pPr>
        <w:spacing w:after="120"/>
        <w:ind w:left="360" w:hanging="360"/>
      </w:pPr>
      <w:r>
        <w:rPr>
          <w:rFonts w:ascii="Calibri" w:hAnsi="Calibri"/>
          <w:sz w:val="22"/>
        </w:rPr>
        <w:t xml:space="preserve">• </w:t>
      </w:r>
      <w:r>
        <w:rPr>
          <w:rFonts w:ascii="Calibri" w:hAnsi="Calibri"/>
          <w:b/>
          <w:sz w:val="22"/>
        </w:rPr>
        <w:t>Governance:</w:t>
      </w:r>
      <w:r>
        <w:rPr>
          <w:rFonts w:ascii="Calibri" w:hAnsi="Calibri"/>
          <w:sz w:val="22"/>
        </w:rPr>
        <w:t xml:space="preserve"> Regular steering committee reviews and progress reporting.</w:t>
      </w:r>
    </w:p>
    <w:p>
      <w:pPr>
        <w:pStyle w:val="Heading2"/>
      </w:pPr>
      <w:r>
        <w:t>5. Project Plan and Timelines</w:t>
      </w:r>
    </w:p>
    <w:p>
      <w:r>
        <w:t>The indicative project timeline is structured over a 12-month period, divided into key milestones:</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Phase</w:t>
            </w:r>
          </w:p>
        </w:tc>
        <w:tc>
          <w:tcPr>
            <w:tcW w:type="dxa" w:w="3120"/>
            <w:shd w:fill="1a5490" w:val="clear"/>
            <w:vAlign w:val="top"/>
            <w:tcMar>
              <w:top w:w="80" w:type="dxa"/>
              <w:right w:w="80" w:type="dxa"/>
              <w:bottom w:w="80" w:type="dxa"/>
              <w:left w:w="80" w:type="dxa"/>
            </w:tcMar>
          </w:tcPr>
          <w:p>
            <w:r>
              <w:rPr>
                <w:b/>
                <w:color w:val="FFFFFF"/>
              </w:rPr>
              <w:t>Duration</w:t>
            </w:r>
          </w:p>
        </w:tc>
        <w:tc>
          <w:tcPr>
            <w:tcW w:type="dxa" w:w="3120"/>
            <w:shd w:fill="1a5490" w:val="clear"/>
            <w:vAlign w:val="top"/>
            <w:tcMar>
              <w:top w:w="80" w:type="dxa"/>
              <w:right w:w="80" w:type="dxa"/>
              <w:bottom w:w="80" w:type="dxa"/>
              <w:left w:w="80" w:type="dxa"/>
            </w:tcMar>
          </w:tcPr>
          <w:p>
            <w:r>
              <w:rPr>
                <w:b/>
                <w:color w:val="FFFFFF"/>
              </w:rPr>
              <w:t>Key Deliverables</w:t>
            </w:r>
          </w:p>
        </w:tc>
      </w:tr>
      <w:tr>
        <w:tc>
          <w:tcPr>
            <w:tcW w:type="dxa" w:w="3120"/>
            <w:vAlign w:val="top"/>
            <w:tcMar>
              <w:top w:w="80" w:type="dxa"/>
              <w:right w:w="80" w:type="dxa"/>
              <w:bottom w:w="80" w:type="dxa"/>
              <w:left w:w="80" w:type="dxa"/>
            </w:tcMar>
          </w:tcPr>
          <w:p>
            <w:r>
              <w:t>Initiation &amp; Discovery</w:t>
            </w:r>
          </w:p>
        </w:tc>
        <w:tc>
          <w:tcPr>
            <w:tcW w:type="dxa" w:w="3120"/>
            <w:vAlign w:val="top"/>
            <w:tcMar>
              <w:top w:w="80" w:type="dxa"/>
              <w:right w:w="80" w:type="dxa"/>
              <w:bottom w:w="80" w:type="dxa"/>
              <w:left w:w="80" w:type="dxa"/>
            </w:tcMar>
          </w:tcPr>
          <w:p>
            <w:r>
              <w:t>4 weeks</w:t>
            </w:r>
          </w:p>
        </w:tc>
        <w:tc>
          <w:tcPr>
            <w:tcW w:type="dxa" w:w="3120"/>
            <w:vAlign w:val="top"/>
            <w:tcMar>
              <w:top w:w="80" w:type="dxa"/>
              <w:right w:w="80" w:type="dxa"/>
              <w:bottom w:w="80" w:type="dxa"/>
              <w:left w:w="80" w:type="dxa"/>
            </w:tcMar>
          </w:tcPr>
          <w:p>
            <w:r>
              <w:t>Requirements baseline, process inventory</w:t>
            </w:r>
          </w:p>
        </w:tc>
      </w:tr>
      <w:tr>
        <w:tc>
          <w:tcPr>
            <w:tcW w:type="dxa" w:w="3120"/>
            <w:vAlign w:val="top"/>
            <w:tcMar>
              <w:top w:w="80" w:type="dxa"/>
              <w:right w:w="80" w:type="dxa"/>
              <w:bottom w:w="80" w:type="dxa"/>
              <w:left w:w="80" w:type="dxa"/>
            </w:tcMar>
          </w:tcPr>
          <w:p>
            <w:r>
              <w:t>Design &amp; Configuration</w:t>
            </w:r>
          </w:p>
        </w:tc>
        <w:tc>
          <w:tcPr>
            <w:tcW w:type="dxa" w:w="3120"/>
            <w:vAlign w:val="top"/>
            <w:tcMar>
              <w:top w:w="80" w:type="dxa"/>
              <w:right w:w="80" w:type="dxa"/>
              <w:bottom w:w="80" w:type="dxa"/>
              <w:left w:w="80" w:type="dxa"/>
            </w:tcMar>
          </w:tcPr>
          <w:p>
            <w:r>
              <w:t>12 weeks</w:t>
            </w:r>
          </w:p>
        </w:tc>
        <w:tc>
          <w:tcPr>
            <w:tcW w:type="dxa" w:w="3120"/>
            <w:vAlign w:val="top"/>
            <w:tcMar>
              <w:top w:w="80" w:type="dxa"/>
              <w:right w:w="80" w:type="dxa"/>
              <w:bottom w:w="80" w:type="dxa"/>
              <w:left w:w="80" w:type="dxa"/>
            </w:tcMar>
          </w:tcPr>
          <w:p>
            <w:r>
              <w:t>Configured workflows, case types, rules</w:t>
            </w:r>
          </w:p>
        </w:tc>
      </w:tr>
      <w:tr>
        <w:tc>
          <w:tcPr>
            <w:tcW w:type="dxa" w:w="3120"/>
            <w:vAlign w:val="top"/>
            <w:tcMar>
              <w:top w:w="80" w:type="dxa"/>
              <w:right w:w="80" w:type="dxa"/>
              <w:bottom w:w="80" w:type="dxa"/>
              <w:left w:w="80" w:type="dxa"/>
            </w:tcMar>
          </w:tcPr>
          <w:p>
            <w:r>
              <w:t>Integration &amp; Testing</w:t>
            </w:r>
          </w:p>
        </w:tc>
        <w:tc>
          <w:tcPr>
            <w:tcW w:type="dxa" w:w="3120"/>
            <w:vAlign w:val="top"/>
            <w:tcMar>
              <w:top w:w="80" w:type="dxa"/>
              <w:right w:w="80" w:type="dxa"/>
              <w:bottom w:w="80" w:type="dxa"/>
              <w:left w:w="80" w:type="dxa"/>
            </w:tcMar>
          </w:tcPr>
          <w:p>
            <w:r>
              <w:t>8 weeks</w:t>
            </w:r>
          </w:p>
        </w:tc>
        <w:tc>
          <w:tcPr>
            <w:tcW w:type="dxa" w:w="3120"/>
            <w:vAlign w:val="top"/>
            <w:tcMar>
              <w:top w:w="80" w:type="dxa"/>
              <w:right w:w="80" w:type="dxa"/>
              <w:bottom w:w="80" w:type="dxa"/>
              <w:left w:w="80" w:type="dxa"/>
            </w:tcMar>
          </w:tcPr>
          <w:p>
            <w:r>
              <w:t>Integrated solution, test results</w:t>
            </w:r>
          </w:p>
        </w:tc>
      </w:tr>
      <w:tr>
        <w:tc>
          <w:tcPr>
            <w:tcW w:type="dxa" w:w="3120"/>
            <w:vAlign w:val="top"/>
            <w:tcMar>
              <w:top w:w="80" w:type="dxa"/>
              <w:right w:w="80" w:type="dxa"/>
              <w:bottom w:w="80" w:type="dxa"/>
              <w:left w:w="80" w:type="dxa"/>
            </w:tcMar>
          </w:tcPr>
          <w:p>
            <w:r>
              <w:t>Training &amp; UAT</w:t>
            </w:r>
          </w:p>
        </w:tc>
        <w:tc>
          <w:tcPr>
            <w:tcW w:type="dxa" w:w="3120"/>
            <w:vAlign w:val="top"/>
            <w:tcMar>
              <w:top w:w="80" w:type="dxa"/>
              <w:right w:w="80" w:type="dxa"/>
              <w:bottom w:w="80" w:type="dxa"/>
              <w:left w:w="80" w:type="dxa"/>
            </w:tcMar>
          </w:tcPr>
          <w:p>
            <w:r>
              <w:t>4 weeks</w:t>
            </w:r>
          </w:p>
        </w:tc>
        <w:tc>
          <w:tcPr>
            <w:tcW w:type="dxa" w:w="3120"/>
            <w:vAlign w:val="top"/>
            <w:tcMar>
              <w:top w:w="80" w:type="dxa"/>
              <w:right w:w="80" w:type="dxa"/>
              <w:bottom w:w="80" w:type="dxa"/>
              <w:left w:w="80" w:type="dxa"/>
            </w:tcMar>
          </w:tcPr>
          <w:p>
            <w:r>
              <w:t>Trained users, UAT sign-off</w:t>
            </w:r>
          </w:p>
        </w:tc>
      </w:tr>
      <w:tr>
        <w:tc>
          <w:tcPr>
            <w:tcW w:type="dxa" w:w="3120"/>
            <w:vAlign w:val="top"/>
            <w:tcMar>
              <w:top w:w="80" w:type="dxa"/>
              <w:right w:w="80" w:type="dxa"/>
              <w:bottom w:w="80" w:type="dxa"/>
              <w:left w:w="80" w:type="dxa"/>
            </w:tcMar>
          </w:tcPr>
          <w:p>
            <w:r>
              <w:t>Deployment &amp; Go-Live</w:t>
            </w:r>
          </w:p>
        </w:tc>
        <w:tc>
          <w:tcPr>
            <w:tcW w:type="dxa" w:w="3120"/>
            <w:vAlign w:val="top"/>
            <w:tcMar>
              <w:top w:w="80" w:type="dxa"/>
              <w:right w:w="80" w:type="dxa"/>
              <w:bottom w:w="80" w:type="dxa"/>
              <w:left w:w="80" w:type="dxa"/>
            </w:tcMar>
          </w:tcPr>
          <w:p>
            <w:r>
              <w:t>2 weeks</w:t>
            </w:r>
          </w:p>
        </w:tc>
        <w:tc>
          <w:tcPr>
            <w:tcW w:type="dxa" w:w="3120"/>
            <w:vAlign w:val="top"/>
            <w:tcMar>
              <w:top w:w="80" w:type="dxa"/>
              <w:right w:w="80" w:type="dxa"/>
              <w:bottom w:w="80" w:type="dxa"/>
              <w:left w:w="80" w:type="dxa"/>
            </w:tcMar>
          </w:tcPr>
          <w:p>
            <w:r>
              <w:t>Production deployment</w:t>
            </w:r>
          </w:p>
        </w:tc>
      </w:tr>
      <w:tr>
        <w:tc>
          <w:tcPr>
            <w:tcW w:type="dxa" w:w="3120"/>
            <w:vAlign w:val="top"/>
            <w:tcMar>
              <w:top w:w="80" w:type="dxa"/>
              <w:right w:w="80" w:type="dxa"/>
              <w:bottom w:w="80" w:type="dxa"/>
              <w:left w:w="80" w:type="dxa"/>
            </w:tcMar>
          </w:tcPr>
          <w:p>
            <w:r>
              <w:t>Post Go-Live Support</w:t>
            </w:r>
          </w:p>
        </w:tc>
        <w:tc>
          <w:tcPr>
            <w:tcW w:type="dxa" w:w="3120"/>
            <w:vAlign w:val="top"/>
            <w:tcMar>
              <w:top w:w="80" w:type="dxa"/>
              <w:right w:w="80" w:type="dxa"/>
              <w:bottom w:w="80" w:type="dxa"/>
              <w:left w:w="80" w:type="dxa"/>
            </w:tcMar>
          </w:tcPr>
          <w:p>
            <w:r>
              <w:t>3 years</w:t>
            </w:r>
          </w:p>
        </w:tc>
        <w:tc>
          <w:tcPr>
            <w:tcW w:type="dxa" w:w="3120"/>
            <w:vAlign w:val="top"/>
            <w:tcMar>
              <w:top w:w="80" w:type="dxa"/>
              <w:right w:w="80" w:type="dxa"/>
              <w:bottom w:w="80" w:type="dxa"/>
              <w:left w:w="80" w:type="dxa"/>
            </w:tcMar>
          </w:tcPr>
          <w:p>
            <w:r>
              <w:t>Ongoing support and maintenance</w:t>
            </w:r>
          </w:p>
        </w:tc>
      </w:tr>
    </w:tbl>
    <w:p>
      <w:r>
        <w:t>FusionAIx will work closely with MTI to refine the detailed project plan during the initiation phase.</w:t>
      </w:r>
    </w:p>
    <w:p>
      <w:pPr>
        <w:pStyle w:val="Heading2"/>
      </w:pPr>
      <w:r>
        <w:t>6. Proposed Team Structure</w:t>
      </w:r>
    </w:p>
    <w:p>
      <w:r>
        <w:t>FusionAIx proposes a dedicated project team comprising experienced professionals with deep expertise in BPM, Pega Constellation, and government process automation.</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Role</w:t>
            </w:r>
          </w:p>
        </w:tc>
        <w:tc>
          <w:tcPr>
            <w:tcW w:type="dxa" w:w="3120"/>
            <w:shd w:fill="1a5490" w:val="clear"/>
            <w:vAlign w:val="top"/>
            <w:tcMar>
              <w:top w:w="80" w:type="dxa"/>
              <w:right w:w="80" w:type="dxa"/>
              <w:bottom w:w="80" w:type="dxa"/>
              <w:left w:w="80" w:type="dxa"/>
            </w:tcMar>
          </w:tcPr>
          <w:p>
            <w:r>
              <w:rPr>
                <w:b/>
                <w:color w:val="FFFFFF"/>
              </w:rPr>
              <w:t>Responsibilities</w:t>
            </w:r>
          </w:p>
        </w:tc>
        <w:tc>
          <w:tcPr>
            <w:tcW w:type="dxa" w:w="3120"/>
            <w:shd w:fill="1a5490" w:val="clear"/>
            <w:vAlign w:val="top"/>
            <w:tcMar>
              <w:top w:w="80" w:type="dxa"/>
              <w:right w:w="80" w:type="dxa"/>
              <w:bottom w:w="80" w:type="dxa"/>
              <w:left w:w="80" w:type="dxa"/>
            </w:tcMar>
          </w:tcPr>
          <w:p>
            <w:r>
              <w:rPr>
                <w:b/>
                <w:color w:val="FFFFFF"/>
              </w:rPr>
              <w:t>Key Personnel</w:t>
            </w:r>
          </w:p>
        </w:tc>
      </w:tr>
      <w:tr>
        <w:tc>
          <w:tcPr>
            <w:tcW w:type="dxa" w:w="3120"/>
            <w:vAlign w:val="top"/>
            <w:tcMar>
              <w:top w:w="80" w:type="dxa"/>
              <w:right w:w="80" w:type="dxa"/>
              <w:bottom w:w="80" w:type="dxa"/>
              <w:left w:w="80" w:type="dxa"/>
            </w:tcMar>
          </w:tcPr>
          <w:p>
            <w:r>
              <w:t>Project Director</w:t>
            </w:r>
          </w:p>
        </w:tc>
        <w:tc>
          <w:tcPr>
            <w:tcW w:type="dxa" w:w="3120"/>
            <w:vAlign w:val="top"/>
            <w:tcMar>
              <w:top w:w="80" w:type="dxa"/>
              <w:right w:w="80" w:type="dxa"/>
              <w:bottom w:w="80" w:type="dxa"/>
              <w:left w:w="80" w:type="dxa"/>
            </w:tcMar>
          </w:tcPr>
          <w:p>
            <w:r>
              <w:t>Executive oversight, governance</w:t>
            </w:r>
          </w:p>
        </w:tc>
        <w:tc>
          <w:tcPr>
            <w:tcW w:type="dxa" w:w="3120"/>
            <w:vAlign w:val="top"/>
            <w:tcMar>
              <w:top w:w="80" w:type="dxa"/>
              <w:right w:w="80" w:type="dxa"/>
              <w:bottom w:w="80" w:type="dxa"/>
              <w:left w:w="80" w:type="dxa"/>
            </w:tcMar>
          </w:tcPr>
          <w:p>
            <w:r>
              <w:t>[Name, CV attached]</w:t>
            </w:r>
          </w:p>
        </w:tc>
      </w:tr>
      <w:tr>
        <w:tc>
          <w:tcPr>
            <w:tcW w:type="dxa" w:w="3120"/>
            <w:vAlign w:val="top"/>
            <w:tcMar>
              <w:top w:w="80" w:type="dxa"/>
              <w:right w:w="80" w:type="dxa"/>
              <w:bottom w:w="80" w:type="dxa"/>
              <w:left w:w="80" w:type="dxa"/>
            </w:tcMar>
          </w:tcPr>
          <w:p>
            <w:r>
              <w:t>Program Manager</w:t>
            </w:r>
          </w:p>
        </w:tc>
        <w:tc>
          <w:tcPr>
            <w:tcW w:type="dxa" w:w="3120"/>
            <w:vAlign w:val="top"/>
            <w:tcMar>
              <w:top w:w="80" w:type="dxa"/>
              <w:right w:w="80" w:type="dxa"/>
              <w:bottom w:w="80" w:type="dxa"/>
              <w:left w:w="80" w:type="dxa"/>
            </w:tcMar>
          </w:tcPr>
          <w:p>
            <w:r>
              <w:t>Day-to-day management, stakeholder coordination</w:t>
            </w:r>
          </w:p>
        </w:tc>
        <w:tc>
          <w:tcPr>
            <w:tcW w:type="dxa" w:w="3120"/>
            <w:vAlign w:val="top"/>
            <w:tcMar>
              <w:top w:w="80" w:type="dxa"/>
              <w:right w:w="80" w:type="dxa"/>
              <w:bottom w:w="80" w:type="dxa"/>
              <w:left w:w="80" w:type="dxa"/>
            </w:tcMar>
          </w:tcPr>
          <w:p>
            <w:r>
              <w:t>[Name, CV attached]</w:t>
            </w:r>
          </w:p>
        </w:tc>
      </w:tr>
      <w:tr>
        <w:tc>
          <w:tcPr>
            <w:tcW w:type="dxa" w:w="3120"/>
            <w:vAlign w:val="top"/>
            <w:tcMar>
              <w:top w:w="80" w:type="dxa"/>
              <w:right w:w="80" w:type="dxa"/>
              <w:bottom w:w="80" w:type="dxa"/>
              <w:left w:w="80" w:type="dxa"/>
            </w:tcMar>
          </w:tcPr>
          <w:p>
            <w:r>
              <w:t>Lead BPM Architect</w:t>
            </w:r>
          </w:p>
        </w:tc>
        <w:tc>
          <w:tcPr>
            <w:tcW w:type="dxa" w:w="3120"/>
            <w:vAlign w:val="top"/>
            <w:tcMar>
              <w:top w:w="80" w:type="dxa"/>
              <w:right w:w="80" w:type="dxa"/>
              <w:bottom w:w="80" w:type="dxa"/>
              <w:left w:w="80" w:type="dxa"/>
            </w:tcMar>
          </w:tcPr>
          <w:p>
            <w:r>
              <w:t>Solution design, architecture</w:t>
            </w:r>
          </w:p>
        </w:tc>
        <w:tc>
          <w:tcPr>
            <w:tcW w:type="dxa" w:w="3120"/>
            <w:vAlign w:val="top"/>
            <w:tcMar>
              <w:top w:w="80" w:type="dxa"/>
              <w:right w:w="80" w:type="dxa"/>
              <w:bottom w:w="80" w:type="dxa"/>
              <w:left w:w="80" w:type="dxa"/>
            </w:tcMar>
          </w:tcPr>
          <w:p>
            <w:r>
              <w:t>[Name, CV attached]</w:t>
            </w:r>
          </w:p>
        </w:tc>
      </w:tr>
      <w:tr>
        <w:tc>
          <w:tcPr>
            <w:tcW w:type="dxa" w:w="3120"/>
            <w:vAlign w:val="top"/>
            <w:tcMar>
              <w:top w:w="80" w:type="dxa"/>
              <w:right w:w="80" w:type="dxa"/>
              <w:bottom w:w="80" w:type="dxa"/>
              <w:left w:w="80" w:type="dxa"/>
            </w:tcMar>
          </w:tcPr>
          <w:p>
            <w:r>
              <w:t>Business Analyst</w:t>
            </w:r>
          </w:p>
        </w:tc>
        <w:tc>
          <w:tcPr>
            <w:tcW w:type="dxa" w:w="3120"/>
            <w:vAlign w:val="top"/>
            <w:tcMar>
              <w:top w:w="80" w:type="dxa"/>
              <w:right w:w="80" w:type="dxa"/>
              <w:bottom w:w="80" w:type="dxa"/>
              <w:left w:w="80" w:type="dxa"/>
            </w:tcMar>
          </w:tcPr>
          <w:p>
            <w:r>
              <w:t>Requirements gathering, process modeling</w:t>
            </w:r>
          </w:p>
        </w:tc>
        <w:tc>
          <w:tcPr>
            <w:tcW w:type="dxa" w:w="3120"/>
            <w:vAlign w:val="top"/>
            <w:tcMar>
              <w:top w:w="80" w:type="dxa"/>
              <w:right w:w="80" w:type="dxa"/>
              <w:bottom w:w="80" w:type="dxa"/>
              <w:left w:w="80" w:type="dxa"/>
            </w:tcMar>
          </w:tcPr>
          <w:p>
            <w:r>
              <w:t>[Name, CV attached]</w:t>
            </w:r>
          </w:p>
        </w:tc>
      </w:tr>
      <w:tr>
        <w:tc>
          <w:tcPr>
            <w:tcW w:type="dxa" w:w="3120"/>
            <w:vAlign w:val="top"/>
            <w:tcMar>
              <w:top w:w="80" w:type="dxa"/>
              <w:right w:w="80" w:type="dxa"/>
              <w:bottom w:w="80" w:type="dxa"/>
              <w:left w:w="80" w:type="dxa"/>
            </w:tcMar>
          </w:tcPr>
          <w:p>
            <w:r>
              <w:t>Integration Specialist</w:t>
            </w:r>
          </w:p>
        </w:tc>
        <w:tc>
          <w:tcPr>
            <w:tcW w:type="dxa" w:w="3120"/>
            <w:vAlign w:val="top"/>
            <w:tcMar>
              <w:top w:w="80" w:type="dxa"/>
              <w:right w:w="80" w:type="dxa"/>
              <w:bottom w:w="80" w:type="dxa"/>
              <w:left w:w="80" w:type="dxa"/>
            </w:tcMar>
          </w:tcPr>
          <w:p>
            <w:r>
              <w:t>API and system integration</w:t>
            </w:r>
          </w:p>
        </w:tc>
        <w:tc>
          <w:tcPr>
            <w:tcW w:type="dxa" w:w="3120"/>
            <w:vAlign w:val="top"/>
            <w:tcMar>
              <w:top w:w="80" w:type="dxa"/>
              <w:right w:w="80" w:type="dxa"/>
              <w:bottom w:w="80" w:type="dxa"/>
              <w:left w:w="80" w:type="dxa"/>
            </w:tcMar>
          </w:tcPr>
          <w:p>
            <w:r>
              <w:t>[Name, CV attached]</w:t>
            </w:r>
          </w:p>
        </w:tc>
      </w:tr>
      <w:tr>
        <w:tc>
          <w:tcPr>
            <w:tcW w:type="dxa" w:w="3120"/>
            <w:vAlign w:val="top"/>
            <w:tcMar>
              <w:top w:w="80" w:type="dxa"/>
              <w:right w:w="80" w:type="dxa"/>
              <w:bottom w:w="80" w:type="dxa"/>
              <w:left w:w="80" w:type="dxa"/>
            </w:tcMar>
          </w:tcPr>
          <w:p>
            <w:r>
              <w:t>QA Lead</w:t>
            </w:r>
          </w:p>
        </w:tc>
        <w:tc>
          <w:tcPr>
            <w:tcW w:type="dxa" w:w="3120"/>
            <w:vAlign w:val="top"/>
            <w:tcMar>
              <w:top w:w="80" w:type="dxa"/>
              <w:right w:w="80" w:type="dxa"/>
              <w:bottom w:w="80" w:type="dxa"/>
              <w:left w:w="80" w:type="dxa"/>
            </w:tcMar>
          </w:tcPr>
          <w:p>
            <w:r>
              <w:t>Testing strategy and execution</w:t>
            </w:r>
          </w:p>
        </w:tc>
        <w:tc>
          <w:tcPr>
            <w:tcW w:type="dxa" w:w="3120"/>
            <w:vAlign w:val="top"/>
            <w:tcMar>
              <w:top w:w="80" w:type="dxa"/>
              <w:right w:w="80" w:type="dxa"/>
              <w:bottom w:w="80" w:type="dxa"/>
              <w:left w:w="80" w:type="dxa"/>
            </w:tcMar>
          </w:tcPr>
          <w:p>
            <w:r>
              <w:t>[Name, CV attached]</w:t>
            </w:r>
          </w:p>
        </w:tc>
      </w:tr>
      <w:tr>
        <w:tc>
          <w:tcPr>
            <w:tcW w:type="dxa" w:w="3120"/>
            <w:vAlign w:val="top"/>
            <w:tcMar>
              <w:top w:w="80" w:type="dxa"/>
              <w:right w:w="80" w:type="dxa"/>
              <w:bottom w:w="80" w:type="dxa"/>
              <w:left w:w="80" w:type="dxa"/>
            </w:tcMar>
          </w:tcPr>
          <w:p>
            <w:r>
              <w:t>Training Lead</w:t>
            </w:r>
          </w:p>
        </w:tc>
        <w:tc>
          <w:tcPr>
            <w:tcW w:type="dxa" w:w="3120"/>
            <w:vAlign w:val="top"/>
            <w:tcMar>
              <w:top w:w="80" w:type="dxa"/>
              <w:right w:w="80" w:type="dxa"/>
              <w:bottom w:w="80" w:type="dxa"/>
              <w:left w:w="80" w:type="dxa"/>
            </w:tcMar>
          </w:tcPr>
          <w:p>
            <w:r>
              <w:t>Training delivery and materials</w:t>
            </w:r>
          </w:p>
        </w:tc>
        <w:tc>
          <w:tcPr>
            <w:tcW w:type="dxa" w:w="3120"/>
            <w:vAlign w:val="top"/>
            <w:tcMar>
              <w:top w:w="80" w:type="dxa"/>
              <w:right w:w="80" w:type="dxa"/>
              <w:bottom w:w="80" w:type="dxa"/>
              <w:left w:w="80" w:type="dxa"/>
            </w:tcMar>
          </w:tcPr>
          <w:p>
            <w:r>
              <w:t>[Name, CV attached]</w:t>
            </w:r>
          </w:p>
        </w:tc>
      </w:tr>
      <w:tr>
        <w:tc>
          <w:tcPr>
            <w:tcW w:type="dxa" w:w="3120"/>
            <w:vAlign w:val="top"/>
            <w:tcMar>
              <w:top w:w="80" w:type="dxa"/>
              <w:right w:w="80" w:type="dxa"/>
              <w:bottom w:w="80" w:type="dxa"/>
              <w:left w:w="80" w:type="dxa"/>
            </w:tcMar>
          </w:tcPr>
          <w:p>
            <w:r>
              <w:t>Support Manager</w:t>
            </w:r>
          </w:p>
        </w:tc>
        <w:tc>
          <w:tcPr>
            <w:tcW w:type="dxa" w:w="3120"/>
            <w:vAlign w:val="top"/>
            <w:tcMar>
              <w:top w:w="80" w:type="dxa"/>
              <w:right w:w="80" w:type="dxa"/>
              <w:bottom w:w="80" w:type="dxa"/>
              <w:left w:w="80" w:type="dxa"/>
            </w:tcMar>
          </w:tcPr>
          <w:p>
            <w:r>
              <w:t>Post go-live support</w:t>
            </w:r>
          </w:p>
        </w:tc>
        <w:tc>
          <w:tcPr>
            <w:tcW w:type="dxa" w:w="3120"/>
            <w:vAlign w:val="top"/>
            <w:tcMar>
              <w:top w:w="80" w:type="dxa"/>
              <w:right w:w="80" w:type="dxa"/>
              <w:bottom w:w="80" w:type="dxa"/>
              <w:left w:w="80" w:type="dxa"/>
            </w:tcMar>
          </w:tcPr>
          <w:p>
            <w:r>
              <w:t>[Name, CV attached]</w:t>
            </w:r>
          </w:p>
        </w:tc>
      </w:tr>
    </w:tbl>
    <w:p>
      <w:r>
        <w:t>Each CV includes detailed experience, certifications, and relevant project history.</w:t>
      </w:r>
    </w:p>
    <w:p>
      <w:pPr>
        <w:pStyle w:val="Heading2"/>
      </w:pPr>
      <w:r>
        <w:t>7. Functional and Technical Compliance Matrix</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fill="1a5490" w:val="clear"/>
            <w:vAlign w:val="top"/>
            <w:tcMar>
              <w:top w:w="80" w:type="dxa"/>
              <w:right w:w="80" w:type="dxa"/>
              <w:bottom w:w="80" w:type="dxa"/>
              <w:left w:w="80" w:type="dxa"/>
            </w:tcMar>
          </w:tcPr>
          <w:p>
            <w:r>
              <w:rPr>
                <w:b/>
                <w:color w:val="FFFFFF"/>
              </w:rPr>
              <w:t>ID</w:t>
            </w:r>
          </w:p>
        </w:tc>
        <w:tc>
          <w:tcPr>
            <w:tcW w:type="dxa" w:w="2340"/>
            <w:shd w:fill="1a5490" w:val="clear"/>
            <w:vAlign w:val="top"/>
            <w:tcMar>
              <w:top w:w="80" w:type="dxa"/>
              <w:right w:w="80" w:type="dxa"/>
              <w:bottom w:w="80" w:type="dxa"/>
              <w:left w:w="80" w:type="dxa"/>
            </w:tcMar>
          </w:tcPr>
          <w:p>
            <w:r>
              <w:rPr>
                <w:b/>
                <w:color w:val="FFFFFF"/>
              </w:rPr>
              <w:t>Requirement</w:t>
            </w:r>
          </w:p>
        </w:tc>
        <w:tc>
          <w:tcPr>
            <w:tcW w:type="dxa" w:w="2340"/>
            <w:shd w:fill="1a5490" w:val="clear"/>
            <w:vAlign w:val="top"/>
            <w:tcMar>
              <w:top w:w="80" w:type="dxa"/>
              <w:right w:w="80" w:type="dxa"/>
              <w:bottom w:w="80" w:type="dxa"/>
              <w:left w:w="80" w:type="dxa"/>
            </w:tcMar>
          </w:tcPr>
          <w:p>
            <w:r>
              <w:rPr>
                <w:b/>
                <w:color w:val="FFFFFF"/>
              </w:rPr>
              <w:t>Compliance</w:t>
            </w:r>
          </w:p>
        </w:tc>
        <w:tc>
          <w:tcPr>
            <w:tcW w:type="dxa" w:w="2340"/>
            <w:shd w:fill="1a5490" w:val="clear"/>
            <w:vAlign w:val="top"/>
            <w:tcMar>
              <w:top w:w="80" w:type="dxa"/>
              <w:right w:w="80" w:type="dxa"/>
              <w:bottom w:w="80" w:type="dxa"/>
              <w:left w:w="80" w:type="dxa"/>
            </w:tcMar>
          </w:tcPr>
          <w:p>
            <w:r>
              <w:rPr>
                <w:b/>
                <w:color w:val="FFFFFF"/>
              </w:rPr>
              <w:t>Response / How We Meet It</w:t>
            </w:r>
          </w:p>
        </w:tc>
      </w:tr>
      <w:tr>
        <w:tc>
          <w:tcPr>
            <w:tcW w:type="dxa" w:w="2340"/>
            <w:vAlign w:val="top"/>
            <w:tcMar>
              <w:top w:w="80" w:type="dxa"/>
              <w:right w:w="80" w:type="dxa"/>
              <w:bottom w:w="80" w:type="dxa"/>
              <w:left w:w="80" w:type="dxa"/>
            </w:tcMar>
          </w:tcPr>
          <w:p>
            <w:r>
              <w:t>5.1.a</w:t>
            </w:r>
          </w:p>
        </w:tc>
        <w:tc>
          <w:tcPr>
            <w:tcW w:type="dxa" w:w="2340"/>
            <w:vAlign w:val="top"/>
            <w:tcMar>
              <w:top w:w="80" w:type="dxa"/>
              <w:right w:w="80" w:type="dxa"/>
              <w:bottom w:w="80" w:type="dxa"/>
              <w:left w:w="80" w:type="dxa"/>
            </w:tcMar>
          </w:tcPr>
          <w:p>
            <w:r>
              <w:t>Straight-through + human-centric workflows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Pega engine supports automated and human tasks in one process.</w:t>
            </w:r>
          </w:p>
        </w:tc>
      </w:tr>
      <w:tr>
        <w:tc>
          <w:tcPr>
            <w:tcW w:type="dxa" w:w="2340"/>
            <w:vAlign w:val="top"/>
            <w:tcMar>
              <w:top w:w="80" w:type="dxa"/>
              <w:right w:w="80" w:type="dxa"/>
              <w:bottom w:w="80" w:type="dxa"/>
              <w:left w:w="80" w:type="dxa"/>
            </w:tcMar>
          </w:tcPr>
          <w:p>
            <w:r>
              <w:t>5.1.b</w:t>
            </w:r>
          </w:p>
        </w:tc>
        <w:tc>
          <w:tcPr>
            <w:tcW w:type="dxa" w:w="2340"/>
            <w:vAlign w:val="top"/>
            <w:tcMar>
              <w:top w:w="80" w:type="dxa"/>
              <w:right w:w="80" w:type="dxa"/>
              <w:bottom w:w="80" w:type="dxa"/>
              <w:left w:w="80" w:type="dxa"/>
            </w:tcMar>
          </w:tcPr>
          <w:p>
            <w:r>
              <w:t>Dynamic case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Supports ad-hoc tasks, attachments, notes, and collaboration.</w:t>
            </w:r>
          </w:p>
        </w:tc>
      </w:tr>
      <w:tr>
        <w:tc>
          <w:tcPr>
            <w:tcW w:type="dxa" w:w="2340"/>
            <w:vAlign w:val="top"/>
            <w:tcMar>
              <w:top w:w="80" w:type="dxa"/>
              <w:right w:w="80" w:type="dxa"/>
              <w:bottom w:w="80" w:type="dxa"/>
              <w:left w:w="80" w:type="dxa"/>
            </w:tcMar>
          </w:tcPr>
          <w:p>
            <w:r>
              <w:t>5.1.c</w:t>
            </w:r>
          </w:p>
        </w:tc>
        <w:tc>
          <w:tcPr>
            <w:tcW w:type="dxa" w:w="2340"/>
            <w:vAlign w:val="top"/>
            <w:tcMar>
              <w:top w:w="80" w:type="dxa"/>
              <w:right w:w="80" w:type="dxa"/>
              <w:bottom w:w="80" w:type="dxa"/>
              <w:left w:w="80" w:type="dxa"/>
            </w:tcMar>
          </w:tcPr>
          <w:p>
            <w:r>
              <w:t>Centralized rules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Business rules externalized, versioned, and deployed via governance.</w:t>
            </w:r>
          </w:p>
        </w:tc>
      </w:tr>
      <w:tr>
        <w:tc>
          <w:tcPr>
            <w:tcW w:type="dxa" w:w="2340"/>
            <w:vAlign w:val="top"/>
            <w:tcMar>
              <w:top w:w="80" w:type="dxa"/>
              <w:right w:w="80" w:type="dxa"/>
              <w:bottom w:w="80" w:type="dxa"/>
              <w:left w:w="80" w:type="dxa"/>
            </w:tcMar>
          </w:tcPr>
          <w:p>
            <w:r>
              <w:t>5.1.d</w:t>
            </w:r>
          </w:p>
        </w:tc>
        <w:tc>
          <w:tcPr>
            <w:tcW w:type="dxa" w:w="2340"/>
            <w:vAlign w:val="top"/>
            <w:tcMar>
              <w:top w:w="80" w:type="dxa"/>
              <w:right w:w="80" w:type="dxa"/>
              <w:bottom w:w="80" w:type="dxa"/>
              <w:left w:w="80" w:type="dxa"/>
            </w:tcMar>
          </w:tcPr>
          <w:p>
            <w:r>
              <w:t>Web-based responsive UI</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Accessible via standard browsers with guided steps.</w:t>
            </w:r>
          </w:p>
        </w:tc>
      </w:tr>
      <w:tr>
        <w:tc>
          <w:tcPr>
            <w:tcW w:type="dxa" w:w="2340"/>
            <w:vAlign w:val="top"/>
            <w:tcMar>
              <w:top w:w="80" w:type="dxa"/>
              <w:right w:w="80" w:type="dxa"/>
              <w:bottom w:w="80" w:type="dxa"/>
              <w:left w:w="80" w:type="dxa"/>
            </w:tcMar>
          </w:tcPr>
          <w:p>
            <w:r>
              <w:t>5.1.e</w:t>
            </w:r>
          </w:p>
        </w:tc>
        <w:tc>
          <w:tcPr>
            <w:tcW w:type="dxa" w:w="2340"/>
            <w:vAlign w:val="top"/>
            <w:tcMar>
              <w:top w:w="80" w:type="dxa"/>
              <w:right w:w="80" w:type="dxa"/>
              <w:bottom w:w="80" w:type="dxa"/>
              <w:left w:w="80" w:type="dxa"/>
            </w:tcMar>
          </w:tcPr>
          <w:p>
            <w:r>
              <w:t>SLA definition and monitoring</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SLA rules per case type, with escalations and notifications.</w:t>
            </w:r>
          </w:p>
        </w:tc>
      </w:tr>
      <w:tr>
        <w:tc>
          <w:tcPr>
            <w:tcW w:type="dxa" w:w="2340"/>
            <w:vAlign w:val="top"/>
            <w:tcMar>
              <w:top w:w="80" w:type="dxa"/>
              <w:right w:w="80" w:type="dxa"/>
              <w:bottom w:w="80" w:type="dxa"/>
              <w:left w:w="80" w:type="dxa"/>
            </w:tcMar>
          </w:tcPr>
          <w:p>
            <w:r>
              <w:t>5.1.f</w:t>
            </w:r>
          </w:p>
        </w:tc>
        <w:tc>
          <w:tcPr>
            <w:tcW w:type="dxa" w:w="2340"/>
            <w:vAlign w:val="top"/>
            <w:tcMar>
              <w:top w:w="80" w:type="dxa"/>
              <w:right w:w="80" w:type="dxa"/>
              <w:bottom w:w="80" w:type="dxa"/>
              <w:left w:w="80" w:type="dxa"/>
            </w:tcMar>
          </w:tcPr>
          <w:p>
            <w:r>
              <w:t>Integration mechanisms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REST APIs, message queues, event-based integration.</w:t>
            </w:r>
          </w:p>
        </w:tc>
      </w:tr>
      <w:tr>
        <w:tc>
          <w:tcPr>
            <w:tcW w:type="dxa" w:w="2340"/>
            <w:vAlign w:val="top"/>
            <w:tcMar>
              <w:top w:w="80" w:type="dxa"/>
              <w:right w:w="80" w:type="dxa"/>
              <w:bottom w:w="80" w:type="dxa"/>
              <w:left w:w="80" w:type="dxa"/>
            </w:tcMar>
          </w:tcPr>
          <w:p>
            <w:r>
              <w:t>5.1.g</w:t>
            </w:r>
          </w:p>
        </w:tc>
        <w:tc>
          <w:tcPr>
            <w:tcW w:type="dxa" w:w="2340"/>
            <w:vAlign w:val="top"/>
            <w:tcMar>
              <w:top w:w="80" w:type="dxa"/>
              <w:right w:w="80" w:type="dxa"/>
              <w:bottom w:w="80" w:type="dxa"/>
              <w:left w:w="80" w:type="dxa"/>
            </w:tcMar>
          </w:tcPr>
          <w:p>
            <w:r>
              <w:t>Security and audit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RBAC, full audit logging, compliance with national standards.</w:t>
            </w:r>
          </w:p>
        </w:tc>
      </w:tr>
      <w:tr>
        <w:tc>
          <w:tcPr>
            <w:tcW w:type="dxa" w:w="2340"/>
            <w:vAlign w:val="top"/>
            <w:tcMar>
              <w:top w:w="80" w:type="dxa"/>
              <w:right w:w="80" w:type="dxa"/>
              <w:bottom w:w="80" w:type="dxa"/>
              <w:left w:w="80" w:type="dxa"/>
            </w:tcMar>
          </w:tcPr>
          <w:p>
            <w:r>
              <w:t>5.1.h</w:t>
            </w:r>
          </w:p>
        </w:tc>
        <w:tc>
          <w:tcPr>
            <w:tcW w:type="dxa" w:w="2340"/>
            <w:vAlign w:val="top"/>
            <w:tcMar>
              <w:top w:w="80" w:type="dxa"/>
              <w:right w:w="80" w:type="dxa"/>
              <w:bottom w:w="80" w:type="dxa"/>
              <w:left w:w="80" w:type="dxa"/>
            </w:tcMar>
          </w:tcPr>
          <w:p>
            <w:r>
              <w:t>Reporting and dashboards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Real-time dashboards for workload, SLA, and performance.</w:t>
            </w:r>
          </w:p>
        </w:tc>
      </w:tr>
      <w:tr>
        <w:tc>
          <w:tcPr>
            <w:tcW w:type="dxa" w:w="2340"/>
            <w:vAlign w:val="top"/>
            <w:tcMar>
              <w:top w:w="80" w:type="dxa"/>
              <w:right w:w="80" w:type="dxa"/>
              <w:bottom w:w="80" w:type="dxa"/>
              <w:left w:w="80" w:type="dxa"/>
            </w:tcMar>
          </w:tcPr>
          <w:p>
            <w:r>
              <w:t>5.1.i</w:t>
            </w:r>
          </w:p>
        </w:tc>
        <w:tc>
          <w:tcPr>
            <w:tcW w:type="dxa" w:w="2340"/>
            <w:vAlign w:val="top"/>
            <w:tcMar>
              <w:top w:w="80" w:type="dxa"/>
              <w:right w:w="80" w:type="dxa"/>
              <w:bottom w:w="80" w:type="dxa"/>
              <w:left w:w="80" w:type="dxa"/>
            </w:tcMar>
          </w:tcPr>
          <w:p>
            <w:r>
              <w:t>Training and change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Comprehensive training and user enablement program.</w:t>
            </w:r>
          </w:p>
        </w:tc>
      </w:tr>
      <w:tr>
        <w:tc>
          <w:tcPr>
            <w:tcW w:type="dxa" w:w="2340"/>
            <w:vAlign w:val="top"/>
            <w:tcMar>
              <w:top w:w="80" w:type="dxa"/>
              <w:right w:w="80" w:type="dxa"/>
              <w:bottom w:w="80" w:type="dxa"/>
              <w:left w:w="80" w:type="dxa"/>
            </w:tcMar>
          </w:tcPr>
          <w:p>
            <w:r>
              <w:t>5.1.j</w:t>
            </w:r>
          </w:p>
        </w:tc>
        <w:tc>
          <w:tcPr>
            <w:tcW w:type="dxa" w:w="2340"/>
            <w:vAlign w:val="top"/>
            <w:tcMar>
              <w:top w:w="80" w:type="dxa"/>
              <w:right w:w="80" w:type="dxa"/>
              <w:bottom w:w="80" w:type="dxa"/>
              <w:left w:w="80" w:type="dxa"/>
            </w:tcMar>
          </w:tcPr>
          <w:p>
            <w:r>
              <w:t>Support and maintenance</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3 years of post go-live support with defined SLAs.</w:t>
            </w:r>
          </w:p>
        </w:tc>
      </w:tr>
    </w:tbl>
    <w:p>
      <w:pPr>
        <w:pStyle w:val="Heading2"/>
      </w:pPr>
      <w:r>
        <w:t>8. Assumptions, Dependencies, and Risks</w:t>
      </w:r>
    </w:p>
    <w:p>
      <w:pPr>
        <w:pStyle w:val="Heading3"/>
      </w:pPr>
      <w:r>
        <w:t>8.1 Assumptions</w:t>
      </w:r>
    </w:p>
    <w:p>
      <w:pPr>
        <w:spacing w:after="120"/>
        <w:ind w:left="360" w:hanging="360"/>
      </w:pPr>
      <w:r>
        <w:rPr>
          <w:rFonts w:ascii="Calibri" w:hAnsi="Calibri"/>
          <w:sz w:val="22"/>
        </w:rPr>
        <w:t xml:space="preserve">• </w:t>
      </w:r>
      <w:r>
        <w:rPr>
          <w:rFonts w:ascii="Calibri" w:hAnsi="Calibri"/>
          <w:sz w:val="22"/>
        </w:rPr>
        <w:t>MTI will provide timely access to subject matter experts and existing systems.</w:t>
      </w:r>
    </w:p>
    <w:p>
      <w:pPr>
        <w:spacing w:after="120"/>
        <w:ind w:left="360" w:hanging="360"/>
      </w:pPr>
      <w:r>
        <w:rPr>
          <w:rFonts w:ascii="Calibri" w:hAnsi="Calibri"/>
          <w:sz w:val="22"/>
        </w:rPr>
        <w:t xml:space="preserve">• </w:t>
      </w:r>
      <w:r>
        <w:rPr>
          <w:rFonts w:ascii="Calibri" w:hAnsi="Calibri"/>
          <w:sz w:val="22"/>
        </w:rPr>
        <w:t>Required infrastructure (servers, network, security) will be provisioned by MTI.</w:t>
      </w:r>
    </w:p>
    <w:p>
      <w:pPr>
        <w:spacing w:after="120"/>
        <w:ind w:left="360" w:hanging="360"/>
      </w:pPr>
      <w:r>
        <w:rPr>
          <w:rFonts w:ascii="Calibri" w:hAnsi="Calibri"/>
          <w:sz w:val="22"/>
        </w:rPr>
        <w:t xml:space="preserve">• </w:t>
      </w:r>
      <w:r>
        <w:rPr>
          <w:rFonts w:ascii="Calibri" w:hAnsi="Calibri"/>
          <w:sz w:val="22"/>
        </w:rPr>
        <w:t>MTI will designate a project sponsor and steering committee.</w:t>
      </w:r>
    </w:p>
    <w:p>
      <w:pPr>
        <w:pStyle w:val="Heading3"/>
      </w:pPr>
      <w:r>
        <w:t>8.2 Dependencies</w:t>
      </w:r>
    </w:p>
    <w:p>
      <w:pPr>
        <w:spacing w:after="120"/>
        <w:ind w:left="360" w:hanging="360"/>
      </w:pPr>
      <w:r>
        <w:rPr>
          <w:rFonts w:ascii="Calibri" w:hAnsi="Calibri"/>
          <w:sz w:val="22"/>
        </w:rPr>
        <w:t xml:space="preserve">• </w:t>
      </w:r>
      <w:r>
        <w:rPr>
          <w:rFonts w:ascii="Calibri" w:hAnsi="Calibri"/>
          <w:sz w:val="22"/>
        </w:rPr>
        <w:t>Integration with MTI’s identity management and core systems.</w:t>
      </w:r>
    </w:p>
    <w:p>
      <w:pPr>
        <w:spacing w:after="120"/>
        <w:ind w:left="360" w:hanging="360"/>
      </w:pPr>
      <w:r>
        <w:rPr>
          <w:rFonts w:ascii="Calibri" w:hAnsi="Calibri"/>
          <w:sz w:val="22"/>
        </w:rPr>
        <w:t xml:space="preserve">• </w:t>
      </w:r>
      <w:r>
        <w:rPr>
          <w:rFonts w:ascii="Calibri" w:hAnsi="Calibri"/>
          <w:sz w:val="22"/>
        </w:rPr>
        <w:t>Availability of test data and environments.</w:t>
      </w:r>
    </w:p>
    <w:p>
      <w:pPr>
        <w:pStyle w:val="Heading3"/>
      </w:pPr>
      <w:r>
        <w:t>8.3 Risks and Mitigation</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Risk</w:t>
            </w:r>
          </w:p>
        </w:tc>
        <w:tc>
          <w:tcPr>
            <w:tcW w:type="dxa" w:w="3120"/>
            <w:shd w:fill="1a5490" w:val="clear"/>
            <w:vAlign w:val="top"/>
            <w:tcMar>
              <w:top w:w="80" w:type="dxa"/>
              <w:right w:w="80" w:type="dxa"/>
              <w:bottom w:w="80" w:type="dxa"/>
              <w:left w:w="80" w:type="dxa"/>
            </w:tcMar>
          </w:tcPr>
          <w:p>
            <w:r>
              <w:rPr>
                <w:b/>
                <w:color w:val="FFFFFF"/>
              </w:rPr>
              <w:t>Impact</w:t>
            </w:r>
          </w:p>
        </w:tc>
        <w:tc>
          <w:tcPr>
            <w:tcW w:type="dxa" w:w="3120"/>
            <w:shd w:fill="1a5490" w:val="clear"/>
            <w:vAlign w:val="top"/>
            <w:tcMar>
              <w:top w:w="80" w:type="dxa"/>
              <w:right w:w="80" w:type="dxa"/>
              <w:bottom w:w="80" w:type="dxa"/>
              <w:left w:w="80" w:type="dxa"/>
            </w:tcMar>
          </w:tcPr>
          <w:p>
            <w:r>
              <w:rPr>
                <w:b/>
                <w:color w:val="FFFFFF"/>
              </w:rPr>
              <w:t>Mitigation</w:t>
            </w:r>
          </w:p>
        </w:tc>
      </w:tr>
      <w:tr>
        <w:tc>
          <w:tcPr>
            <w:tcW w:type="dxa" w:w="3120"/>
            <w:vAlign w:val="top"/>
            <w:tcMar>
              <w:top w:w="80" w:type="dxa"/>
              <w:right w:w="80" w:type="dxa"/>
              <w:bottom w:w="80" w:type="dxa"/>
              <w:left w:w="80" w:type="dxa"/>
            </w:tcMar>
          </w:tcPr>
          <w:p>
            <w:r>
              <w:t>Delayed stakeholder feedback</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Weekly review sessions and escalation path.</w:t>
            </w:r>
          </w:p>
        </w:tc>
      </w:tr>
      <w:tr>
        <w:tc>
          <w:tcPr>
            <w:tcW w:type="dxa" w:w="3120"/>
            <w:vAlign w:val="top"/>
            <w:tcMar>
              <w:top w:w="80" w:type="dxa"/>
              <w:right w:w="80" w:type="dxa"/>
              <w:bottom w:w="80" w:type="dxa"/>
              <w:left w:w="80" w:type="dxa"/>
            </w:tcMar>
          </w:tcPr>
          <w:p>
            <w:r>
              <w:t>Integration complexity</w:t>
            </w:r>
          </w:p>
        </w:tc>
        <w:tc>
          <w:tcPr>
            <w:tcW w:type="dxa" w:w="3120"/>
            <w:vAlign w:val="top"/>
            <w:tcMar>
              <w:top w:w="80" w:type="dxa"/>
              <w:right w:w="80" w:type="dxa"/>
              <w:bottom w:w="80" w:type="dxa"/>
              <w:left w:w="80" w:type="dxa"/>
            </w:tcMar>
          </w:tcPr>
          <w:p>
            <w:r>
              <w:t>High</w:t>
            </w:r>
          </w:p>
        </w:tc>
        <w:tc>
          <w:tcPr>
            <w:tcW w:type="dxa" w:w="3120"/>
            <w:vAlign w:val="top"/>
            <w:tcMar>
              <w:top w:w="80" w:type="dxa"/>
              <w:right w:w="80" w:type="dxa"/>
              <w:bottom w:w="80" w:type="dxa"/>
              <w:left w:w="80" w:type="dxa"/>
            </w:tcMar>
          </w:tcPr>
          <w:p>
            <w:r>
              <w:t>Early integration testing and mock services.</w:t>
            </w:r>
          </w:p>
        </w:tc>
      </w:tr>
      <w:tr>
        <w:tc>
          <w:tcPr>
            <w:tcW w:type="dxa" w:w="3120"/>
            <w:vAlign w:val="top"/>
            <w:tcMar>
              <w:top w:w="80" w:type="dxa"/>
              <w:right w:w="80" w:type="dxa"/>
              <w:bottom w:w="80" w:type="dxa"/>
              <w:left w:w="80" w:type="dxa"/>
            </w:tcMar>
          </w:tcPr>
          <w:p>
            <w:r>
              <w:t>Change resistance</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Comprehensive change management and training.</w:t>
            </w:r>
          </w:p>
        </w:tc>
      </w:tr>
      <w:tr>
        <w:tc>
          <w:tcPr>
            <w:tcW w:type="dxa" w:w="3120"/>
            <w:vAlign w:val="top"/>
            <w:tcMar>
              <w:top w:w="80" w:type="dxa"/>
              <w:right w:w="80" w:type="dxa"/>
              <w:bottom w:w="80" w:type="dxa"/>
              <w:left w:w="80" w:type="dxa"/>
            </w:tcMar>
          </w:tcPr>
          <w:p>
            <w:r>
              <w:t>Data migration issues</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Data validation and dry-run testing.</w:t>
            </w:r>
          </w:p>
        </w:tc>
      </w:tr>
    </w:tbl>
    <w:p>
      <w:pPr>
        <w:pStyle w:val="Heading2"/>
      </w:pPr>
      <w:r>
        <w:t>9. Support and Maintenance Model</w:t>
      </w:r>
    </w:p>
    <w:p>
      <w:r>
        <w:t>FusionAIx offers a three-year post go-live support and maintenance program covering:</w:t>
      </w:r>
    </w:p>
    <w:p>
      <w:pPr>
        <w:spacing w:after="120"/>
        <w:ind w:left="360" w:hanging="360"/>
      </w:pPr>
      <w:r>
        <w:rPr>
          <w:rFonts w:ascii="Calibri" w:hAnsi="Calibri"/>
          <w:sz w:val="22"/>
        </w:rPr>
        <w:t xml:space="preserve">• </w:t>
      </w:r>
      <w:r>
        <w:rPr>
          <w:rFonts w:ascii="Calibri" w:hAnsi="Calibri"/>
          <w:b/>
          <w:sz w:val="22"/>
        </w:rPr>
        <w:t>Incident Management:</w:t>
      </w:r>
      <w:r>
        <w:rPr>
          <w:rFonts w:ascii="Calibri" w:hAnsi="Calibri"/>
          <w:sz w:val="22"/>
        </w:rPr>
        <w:t xml:space="preserve"> 24x7 support for critical issues.</w:t>
      </w:r>
    </w:p>
    <w:p>
      <w:pPr>
        <w:spacing w:after="120"/>
        <w:ind w:left="360" w:hanging="360"/>
      </w:pPr>
      <w:r>
        <w:rPr>
          <w:rFonts w:ascii="Calibri" w:hAnsi="Calibri"/>
          <w:sz w:val="22"/>
        </w:rPr>
        <w:t xml:space="preserve">• </w:t>
      </w:r>
      <w:r>
        <w:rPr>
          <w:rFonts w:ascii="Calibri" w:hAnsi="Calibri"/>
          <w:b/>
          <w:sz w:val="22"/>
        </w:rPr>
        <w:t>Patch and Upgrade Management:</w:t>
      </w:r>
      <w:r>
        <w:rPr>
          <w:rFonts w:ascii="Calibri" w:hAnsi="Calibri"/>
          <w:sz w:val="22"/>
        </w:rPr>
        <w:t xml:space="preserve"> Regular updates and version upgrades.</w:t>
      </w:r>
    </w:p>
    <w:p>
      <w:pPr>
        <w:spacing w:after="120"/>
        <w:ind w:left="360" w:hanging="360"/>
      </w:pPr>
      <w:r>
        <w:rPr>
          <w:rFonts w:ascii="Calibri" w:hAnsi="Calibri"/>
          <w:sz w:val="22"/>
        </w:rPr>
        <w:t xml:space="preserve">• </w:t>
      </w:r>
      <w:r>
        <w:rPr>
          <w:rFonts w:ascii="Calibri" w:hAnsi="Calibri"/>
          <w:b/>
          <w:sz w:val="22"/>
        </w:rPr>
        <w:t>Performance Monitoring:</w:t>
      </w:r>
      <w:r>
        <w:rPr>
          <w:rFonts w:ascii="Calibri" w:hAnsi="Calibri"/>
          <w:sz w:val="22"/>
        </w:rPr>
        <w:t xml:space="preserve"> Proactive monitoring and optimization.</w:t>
      </w:r>
    </w:p>
    <w:p>
      <w:pPr>
        <w:spacing w:after="120"/>
        <w:ind w:left="360" w:hanging="360"/>
      </w:pPr>
      <w:r>
        <w:rPr>
          <w:rFonts w:ascii="Calibri" w:hAnsi="Calibri"/>
          <w:sz w:val="22"/>
        </w:rPr>
        <w:t xml:space="preserve">• </w:t>
      </w:r>
      <w:r>
        <w:rPr>
          <w:rFonts w:ascii="Calibri" w:hAnsi="Calibri"/>
          <w:b/>
          <w:sz w:val="22"/>
        </w:rPr>
        <w:t>Knowledge Management:</w:t>
      </w:r>
      <w:r>
        <w:rPr>
          <w:rFonts w:ascii="Calibri" w:hAnsi="Calibri"/>
          <w:sz w:val="22"/>
        </w:rPr>
        <w:t xml:space="preserve"> Continuous documentation and training refreshers.</w:t>
      </w:r>
    </w:p>
    <w:p>
      <w:pPr>
        <w:pStyle w:val="Heading3"/>
      </w:pPr>
      <w:r>
        <w:t>SLA Targets</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Severity</w:t>
            </w:r>
          </w:p>
        </w:tc>
        <w:tc>
          <w:tcPr>
            <w:tcW w:type="dxa" w:w="3120"/>
            <w:shd w:fill="1a5490" w:val="clear"/>
            <w:vAlign w:val="top"/>
            <w:tcMar>
              <w:top w:w="80" w:type="dxa"/>
              <w:right w:w="80" w:type="dxa"/>
              <w:bottom w:w="80" w:type="dxa"/>
              <w:left w:w="80" w:type="dxa"/>
            </w:tcMar>
          </w:tcPr>
          <w:p>
            <w:r>
              <w:rPr>
                <w:b/>
                <w:color w:val="FFFFFF"/>
              </w:rPr>
              <w:t>Response Time</w:t>
            </w:r>
          </w:p>
        </w:tc>
        <w:tc>
          <w:tcPr>
            <w:tcW w:type="dxa" w:w="3120"/>
            <w:shd w:fill="1a5490" w:val="clear"/>
            <w:vAlign w:val="top"/>
            <w:tcMar>
              <w:top w:w="80" w:type="dxa"/>
              <w:right w:w="80" w:type="dxa"/>
              <w:bottom w:w="80" w:type="dxa"/>
              <w:left w:w="80" w:type="dxa"/>
            </w:tcMar>
          </w:tcPr>
          <w:p>
            <w:r>
              <w:rPr>
                <w:b/>
                <w:color w:val="FFFFFF"/>
              </w:rPr>
              <w:t>Resolution Time</w:t>
            </w:r>
          </w:p>
        </w:tc>
      </w:tr>
      <w:tr>
        <w:tc>
          <w:tcPr>
            <w:tcW w:type="dxa" w:w="3120"/>
            <w:vAlign w:val="top"/>
            <w:tcMar>
              <w:top w:w="80" w:type="dxa"/>
              <w:right w:w="80" w:type="dxa"/>
              <w:bottom w:w="80" w:type="dxa"/>
              <w:left w:w="80" w:type="dxa"/>
            </w:tcMar>
          </w:tcPr>
          <w:p>
            <w:r>
              <w:t>Sev 1 (Critical)</w:t>
            </w:r>
          </w:p>
        </w:tc>
        <w:tc>
          <w:tcPr>
            <w:tcW w:type="dxa" w:w="3120"/>
            <w:vAlign w:val="top"/>
            <w:tcMar>
              <w:top w:w="80" w:type="dxa"/>
              <w:right w:w="80" w:type="dxa"/>
              <w:bottom w:w="80" w:type="dxa"/>
              <w:left w:w="80" w:type="dxa"/>
            </w:tcMar>
          </w:tcPr>
          <w:p>
            <w:r>
              <w:t>1 hour</w:t>
            </w:r>
          </w:p>
        </w:tc>
        <w:tc>
          <w:tcPr>
            <w:tcW w:type="dxa" w:w="3120"/>
            <w:vAlign w:val="top"/>
            <w:tcMar>
              <w:top w:w="80" w:type="dxa"/>
              <w:right w:w="80" w:type="dxa"/>
              <w:bottom w:w="80" w:type="dxa"/>
              <w:left w:w="80" w:type="dxa"/>
            </w:tcMar>
          </w:tcPr>
          <w:p>
            <w:r>
              <w:t>4 hours</w:t>
            </w:r>
          </w:p>
        </w:tc>
      </w:tr>
      <w:tr>
        <w:tc>
          <w:tcPr>
            <w:tcW w:type="dxa" w:w="3120"/>
            <w:vAlign w:val="top"/>
            <w:tcMar>
              <w:top w:w="80" w:type="dxa"/>
              <w:right w:w="80" w:type="dxa"/>
              <w:bottom w:w="80" w:type="dxa"/>
              <w:left w:w="80" w:type="dxa"/>
            </w:tcMar>
          </w:tcPr>
          <w:p>
            <w:r>
              <w:t>Sev 2 (High)</w:t>
            </w:r>
          </w:p>
        </w:tc>
        <w:tc>
          <w:tcPr>
            <w:tcW w:type="dxa" w:w="3120"/>
            <w:vAlign w:val="top"/>
            <w:tcMar>
              <w:top w:w="80" w:type="dxa"/>
              <w:right w:w="80" w:type="dxa"/>
              <w:bottom w:w="80" w:type="dxa"/>
              <w:left w:w="80" w:type="dxa"/>
            </w:tcMar>
          </w:tcPr>
          <w:p>
            <w:r>
              <w:t>2 hours</w:t>
            </w:r>
          </w:p>
        </w:tc>
        <w:tc>
          <w:tcPr>
            <w:tcW w:type="dxa" w:w="3120"/>
            <w:vAlign w:val="top"/>
            <w:tcMar>
              <w:top w:w="80" w:type="dxa"/>
              <w:right w:w="80" w:type="dxa"/>
              <w:bottom w:w="80" w:type="dxa"/>
              <w:left w:w="80" w:type="dxa"/>
            </w:tcMar>
          </w:tcPr>
          <w:p>
            <w:r>
              <w:t>8 hours</w:t>
            </w:r>
          </w:p>
        </w:tc>
      </w:tr>
      <w:tr>
        <w:tc>
          <w:tcPr>
            <w:tcW w:type="dxa" w:w="3120"/>
            <w:vAlign w:val="top"/>
            <w:tcMar>
              <w:top w:w="80" w:type="dxa"/>
              <w:right w:w="80" w:type="dxa"/>
              <w:bottom w:w="80" w:type="dxa"/>
              <w:left w:w="80" w:type="dxa"/>
            </w:tcMar>
          </w:tcPr>
          <w:p>
            <w:r>
              <w:t>Sev 3 (Medium)</w:t>
            </w:r>
          </w:p>
        </w:tc>
        <w:tc>
          <w:tcPr>
            <w:tcW w:type="dxa" w:w="3120"/>
            <w:vAlign w:val="top"/>
            <w:tcMar>
              <w:top w:w="80" w:type="dxa"/>
              <w:right w:w="80" w:type="dxa"/>
              <w:bottom w:w="80" w:type="dxa"/>
              <w:left w:w="80" w:type="dxa"/>
            </w:tcMar>
          </w:tcPr>
          <w:p>
            <w:r>
              <w:t>4 hours</w:t>
            </w:r>
          </w:p>
        </w:tc>
        <w:tc>
          <w:tcPr>
            <w:tcW w:type="dxa" w:w="3120"/>
            <w:vAlign w:val="top"/>
            <w:tcMar>
              <w:top w:w="80" w:type="dxa"/>
              <w:right w:w="80" w:type="dxa"/>
              <w:bottom w:w="80" w:type="dxa"/>
              <w:left w:w="80" w:type="dxa"/>
            </w:tcMar>
          </w:tcPr>
          <w:p>
            <w:r>
              <w:t>24 hours</w:t>
            </w:r>
          </w:p>
        </w:tc>
      </w:tr>
      <w:tr>
        <w:tc>
          <w:tcPr>
            <w:tcW w:type="dxa" w:w="3120"/>
            <w:vAlign w:val="top"/>
            <w:tcMar>
              <w:top w:w="80" w:type="dxa"/>
              <w:right w:w="80" w:type="dxa"/>
              <w:bottom w:w="80" w:type="dxa"/>
              <w:left w:w="80" w:type="dxa"/>
            </w:tcMar>
          </w:tcPr>
          <w:p>
            <w:r>
              <w:t>Sev 4 (Low)</w:t>
            </w:r>
          </w:p>
        </w:tc>
        <w:tc>
          <w:tcPr>
            <w:tcW w:type="dxa" w:w="3120"/>
            <w:vAlign w:val="top"/>
            <w:tcMar>
              <w:top w:w="80" w:type="dxa"/>
              <w:right w:w="80" w:type="dxa"/>
              <w:bottom w:w="80" w:type="dxa"/>
              <w:left w:w="80" w:type="dxa"/>
            </w:tcMar>
          </w:tcPr>
          <w:p>
            <w:r>
              <w:t>8 hours</w:t>
            </w:r>
          </w:p>
        </w:tc>
        <w:tc>
          <w:tcPr>
            <w:tcW w:type="dxa" w:w="3120"/>
            <w:vAlign w:val="top"/>
            <w:tcMar>
              <w:top w:w="80" w:type="dxa"/>
              <w:right w:w="80" w:type="dxa"/>
              <w:bottom w:w="80" w:type="dxa"/>
              <w:left w:w="80" w:type="dxa"/>
            </w:tcMar>
          </w:tcPr>
          <w:p>
            <w:r>
              <w:t>48 hours</w:t>
            </w:r>
          </w:p>
        </w:tc>
      </w:tr>
    </w:tbl>
    <w:p>
      <w:pPr>
        <w:pStyle w:val="Heading3"/>
      </w:pPr>
      <w:r>
        <w:t>Escalation and Governance</w:t>
      </w:r>
    </w:p>
    <w:p>
      <w:pPr>
        <w:spacing w:after="120"/>
        <w:ind w:left="360" w:hanging="360"/>
      </w:pPr>
      <w:r>
        <w:rPr>
          <w:rFonts w:ascii="Calibri" w:hAnsi="Calibri"/>
          <w:sz w:val="22"/>
        </w:rPr>
        <w:t xml:space="preserve">• </w:t>
      </w:r>
      <w:r>
        <w:rPr>
          <w:rFonts w:ascii="Calibri" w:hAnsi="Calibri"/>
          <w:b/>
          <w:sz w:val="22"/>
        </w:rPr>
        <w:t>Incident Manager:</w:t>
      </w:r>
      <w:r>
        <w:rPr>
          <w:rFonts w:ascii="Calibri" w:hAnsi="Calibri"/>
          <w:sz w:val="22"/>
        </w:rPr>
        <w:t xml:space="preserve"> Assigned for Sev 1/2 issues.</w:t>
      </w:r>
    </w:p>
    <w:p>
      <w:pPr>
        <w:spacing w:after="120"/>
        <w:ind w:left="360" w:hanging="360"/>
      </w:pPr>
      <w:r>
        <w:rPr>
          <w:rFonts w:ascii="Calibri" w:hAnsi="Calibri"/>
          <w:sz w:val="22"/>
        </w:rPr>
        <w:t xml:space="preserve">• </w:t>
      </w:r>
      <w:r>
        <w:rPr>
          <w:rFonts w:ascii="Calibri" w:hAnsi="Calibri"/>
          <w:b/>
          <w:sz w:val="22"/>
        </w:rPr>
        <w:t>Escalation Ladder:</w:t>
      </w:r>
      <w:r>
        <w:rPr>
          <w:rFonts w:ascii="Calibri" w:hAnsi="Calibri"/>
          <w:sz w:val="22"/>
        </w:rPr>
        <w:t xml:space="preserve"> Support Lead → Program Manager → Executive Sponsor.</w:t>
      </w:r>
    </w:p>
    <w:p>
      <w:pPr>
        <w:spacing w:after="120"/>
        <w:ind w:left="360" w:hanging="360"/>
      </w:pPr>
      <w:r>
        <w:rPr>
          <w:rFonts w:ascii="Calibri" w:hAnsi="Calibri"/>
          <w:sz w:val="22"/>
        </w:rPr>
        <w:t xml:space="preserve">• </w:t>
      </w:r>
      <w:r>
        <w:rPr>
          <w:rFonts w:ascii="Calibri" w:hAnsi="Calibri"/>
          <w:b/>
          <w:sz w:val="22"/>
        </w:rPr>
        <w:t>Monthly Reviews:</w:t>
      </w:r>
      <w:r>
        <w:rPr>
          <w:rFonts w:ascii="Calibri" w:hAnsi="Calibri"/>
          <w:sz w:val="22"/>
        </w:rPr>
        <w:t xml:space="preserve"> SLA performance, root cause analysis, and improvement actions.</w:t>
      </w:r>
    </w:p>
    <w:p>
      <w:pPr>
        <w:pStyle w:val="Heading2"/>
      </w:pPr>
      <w:r>
        <w:t>10. Commercial Proposal</w:t>
      </w:r>
    </w:p>
    <w:p>
      <w:r>
        <w:t>FusionAIx will provide a detailed commercial proposal in the final submission package, including:</w:t>
      </w:r>
    </w:p>
    <w:p>
      <w:pPr>
        <w:spacing w:after="120"/>
        <w:ind w:left="360" w:hanging="360"/>
      </w:pPr>
      <w:r>
        <w:rPr>
          <w:rFonts w:ascii="Calibri" w:hAnsi="Calibri"/>
          <w:sz w:val="22"/>
        </w:rPr>
        <w:t xml:space="preserve">• </w:t>
      </w:r>
      <w:r>
        <w:rPr>
          <w:rFonts w:ascii="Calibri" w:hAnsi="Calibri"/>
          <w:b/>
          <w:sz w:val="22"/>
        </w:rPr>
        <w:t>Licensing Costs:</w:t>
      </w:r>
      <w:r>
        <w:rPr>
          <w:rFonts w:ascii="Calibri" w:hAnsi="Calibri"/>
          <w:sz w:val="22"/>
        </w:rPr>
        <w:t xml:space="preserve"> Based on internal and external user volumes.</w:t>
      </w:r>
    </w:p>
    <w:p>
      <w:pPr>
        <w:spacing w:after="120"/>
        <w:ind w:left="360" w:hanging="360"/>
      </w:pPr>
      <w:r>
        <w:rPr>
          <w:rFonts w:ascii="Calibri" w:hAnsi="Calibri"/>
          <w:sz w:val="22"/>
        </w:rPr>
        <w:t xml:space="preserve">• </w:t>
      </w:r>
      <w:r>
        <w:rPr>
          <w:rFonts w:ascii="Calibri" w:hAnsi="Calibri"/>
          <w:b/>
          <w:sz w:val="22"/>
        </w:rPr>
        <w:t>Implementation Services:</w:t>
      </w:r>
      <w:r>
        <w:rPr>
          <w:rFonts w:ascii="Calibri" w:hAnsi="Calibri"/>
          <w:sz w:val="22"/>
        </w:rPr>
        <w:t xml:space="preserve"> Discovery, design, configuration, integration, testing, and training.</w:t>
      </w:r>
    </w:p>
    <w:p>
      <w:pPr>
        <w:spacing w:after="120"/>
        <w:ind w:left="360" w:hanging="360"/>
      </w:pPr>
      <w:r>
        <w:rPr>
          <w:rFonts w:ascii="Calibri" w:hAnsi="Calibri"/>
          <w:sz w:val="22"/>
        </w:rPr>
        <w:t xml:space="preserve">• </w:t>
      </w:r>
      <w:r>
        <w:rPr>
          <w:rFonts w:ascii="Calibri" w:hAnsi="Calibri"/>
          <w:b/>
          <w:sz w:val="22"/>
        </w:rPr>
        <w:t>Support and Maintenance:</w:t>
      </w:r>
      <w:r>
        <w:rPr>
          <w:rFonts w:ascii="Calibri" w:hAnsi="Calibri"/>
          <w:sz w:val="22"/>
        </w:rPr>
        <w:t xml:space="preserve"> Three-year post go-live support.</w:t>
      </w:r>
    </w:p>
    <w:p>
      <w:pPr>
        <w:spacing w:after="120"/>
        <w:ind w:left="360" w:hanging="360"/>
      </w:pPr>
      <w:r>
        <w:rPr>
          <w:rFonts w:ascii="Calibri" w:hAnsi="Calibri"/>
          <w:sz w:val="22"/>
        </w:rPr>
        <w:t xml:space="preserve">• </w:t>
      </w:r>
      <w:r>
        <w:rPr>
          <w:rFonts w:ascii="Calibri" w:hAnsi="Calibri"/>
          <w:b/>
          <w:sz w:val="22"/>
        </w:rPr>
        <w:t>Optional Components:</w:t>
      </w:r>
      <w:r>
        <w:rPr>
          <w:rFonts w:ascii="Calibri" w:hAnsi="Calibri"/>
          <w:sz w:val="22"/>
        </w:rPr>
        <w:t xml:space="preserve"> Advanced analytics, additional environments, disaster recovery enhancements, and AI-assisted features.</w:t>
      </w:r>
    </w:p>
    <w:p>
      <w:r>
        <w:t>A five-year Total Cost of Ownership (TCO) view will be included, with transparent cost breakdowns and assumptions.</w:t>
      </w:r>
    </w:p>
    <w:p>
      <w:r>
        <w:t>End of Document</w:t>
      </w:r>
    </w:p>
    <w:p>
      <w:r>
        <w:t>FusionAIx – Empowering Digital Transformation through Intelligent Automation</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6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