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040"/>
            <w:vAlign w:val="center"/>
          </w:tcPr>
          <w:p>
            <w:r>
              <w:drawing>
                <wp:inline distT="0" distB="0" distL="0" distR="0">
                  <wp:extent cx="130492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28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p>
      <w:pPr>
        <w:pStyle w:val="Heading1"/>
        <w:spacing w:after="200"/>
        <w:jc w:val="center"/>
      </w:pPr>
      <w:r>
        <w:rPr>
          <w:b/>
          <w:bCs/>
          <w:sz w:val="28"/>
          <w:szCs w:val="28"/>
        </w:rPr>
        <w:t xml:space="preserve">Data Flow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 March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SB-FL-2026-01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Rising Waters – Flood Prediction System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Data Flow Diagram</w:t>
      </w:r>
    </w:p>
    <w:p>
      <w:pPr>
        <w:spacing w:after="200"/>
      </w:pPr>
      <w:r>
        <w:rPr>
          <w:sz w:val="20"/>
          <w:szCs w:val="20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DFD Symbol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Oval / Rounded shape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External Entity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 person, organization, or system outside the project that sends or receives data (e.g., Weather Station, Disaster Management Authority).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Rectangle with numbered header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An activity that transforms incoming data into outgoing data (e.g., Validate Weather Data, Predict Flood Risk).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Rectangle (solid fill, no number)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Store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 place where data is held for later use (e.g., Weather Dataset, Prediction Log).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Labeled arrow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Flow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100" w:before="24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Flood Prediction System – Data Flow Diagram</w:t>
      </w:r>
    </w:p>
    <w:p>
      <w:pPr>
        <w:spacing w:after="150"/>
      </w:pPr>
      <w:r>
        <w:rPr>
          <w:sz w:val="20"/>
          <w:szCs w:val="20"/>
        </w:rPr>
        <w:t xml:space="preserve">The diagram below shows how weather data flows through the flood prediction system, from data collection to risk prediction and alert generation.</w:t>
      </w:r>
    </w:p>
    <w:p>
      <w:pPr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image" Target="media/8c031b407a404fadd4b38f158bb9f3208bc1cd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2026-07-14T07:30:03.249Z</dcterms:created>
  <dcterms:modified xsi:type="dcterms:W3CDTF">2026-07-14T07:30:03.261Z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