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D4A017"/>
          <w:spacing w:val="20"/>
          <w:sz w:val="24"/>
          <w:szCs w:val="24"/>
        </w:rPr>
        <w:t xml:space="preserve">PRODUCT REQUIREMENTS DOCUMENT</w:t>
      </w:r>
    </w:p>
    <w:p>
      <w:pPr>
        <w:spacing w:before="200"/>
        <w:jc w:val="center"/>
      </w:pPr>
      <w:r>
        <w:rPr>
          <w:b/>
          <w:bCs/>
          <w:color w:val="0B1E3F"/>
          <w:sz w:val="72"/>
          <w:szCs w:val="72"/>
        </w:rPr>
        <w:t xml:space="preserve">CrimeIntel</w:t>
      </w:r>
    </w:p>
    <w:p>
      <w:pPr>
        <w:spacing w:after="100" w:before="100"/>
        <w:jc w:val="center"/>
      </w:pPr>
      <w:r>
        <w:rPr>
          <w:color w:val="2B2B2B"/>
          <w:sz w:val="26"/>
          <w:szCs w:val="26"/>
        </w:rPr>
        <w:t xml:space="preserve">AI Investigator Copilot &amp; Analytics Platform for Karnataka State Police</w:t>
      </w:r>
    </w:p>
    <w:p>
      <w:pPr>
        <w:spacing w:before="60"/>
        <w:jc w:val="center"/>
      </w:pPr>
      <w:r>
        <w:rPr>
          <w:i/>
          <w:iCs/>
          <w:color w:val="2B2B2B"/>
          <w:sz w:val="21"/>
          <w:szCs w:val="21"/>
        </w:rPr>
        <w:t xml:space="preserve">Built natively on Zoho Catalyst — Datathon 2026, Challenge 01 &amp; Challenge 02</w:t>
      </w:r>
    </w:p>
    <w:p>
      <w:pPr>
        <w:spacing w:before="900"/>
        <w:jc w:val="center"/>
      </w:pPr>
      <w:r>
        <w:rPr>
          <w:color w:val="2B2B2B"/>
          <w:sz w:val="20"/>
          <w:szCs w:val="20"/>
        </w:rPr>
        <w:t xml:space="preserve">Document Version: 1.0</w:t>
      </w:r>
    </w:p>
    <w:p>
      <w:pPr>
        <w:jc w:val="center"/>
      </w:pPr>
      <w:r>
        <w:rPr>
          <w:color w:val="2B2B2B"/>
          <w:sz w:val="20"/>
          <w:szCs w:val="20"/>
        </w:rPr>
        <w:t xml:space="preserve">Status: Draft for Build — Companion to the Technical Requirements Document (TRD)</w:t>
      </w:r>
    </w:p>
    <w:p>
      <w:pPr>
        <w:spacing w:before="60"/>
        <w:jc w:val="center"/>
      </w:pPr>
      <w:r>
        <w:rPr>
          <w:color w:val="2B2B2B"/>
          <w:sz w:val="20"/>
          <w:szCs w:val="20"/>
        </w:rPr>
        <w:t xml:space="preserve">Owner: CrimeIntel Product &amp; Engineering Team</w:t>
      </w:r>
    </w:p>
    <w:p>
      <w:r>
        <w:br w:type="page"/>
      </w:r>
    </w:p>
    <w:p>
      <w:pPr>
        <w:pStyle w:val="Heading1"/>
        <w:pBdr>
          <w:bottom w:val="single" w:color="D4A017" w:sz="8" w:space="4"/>
        </w:pBdr>
        <w:spacing w:after="200" w:before="400"/>
      </w:pPr>
      <w:r>
        <w:rPr>
          <w:b/>
          <w:bCs/>
          <w:color w:val="0B1E3F"/>
          <w:sz w:val="30"/>
          <w:szCs w:val="30"/>
        </w:rPr>
        <w:t xml:space="preserve">Document Control</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1600"/>
        <w:gridCol w:w="1800"/>
        <w:gridCol w:w="2400"/>
        <w:gridCol w:w="3550"/>
      </w:tblGrid>
      <w:tr>
        <w:trPr>
          <w:tblHeader/>
        </w:trPr>
        <w:tc>
          <w:tcPr>
            <w:tcW w:type="dxa" w:w="1600"/>
            <w:shd w:fill="0B1E3F" w:color="auto" w:val="clear"/>
            <w:tcMar>
              <w:top w:type="dxa" w:w="60"/>
              <w:left w:type="dxa" w:w="100"/>
              <w:bottom w:type="dxa" w:w="60"/>
              <w:right w:type="dxa" w:w="100"/>
            </w:tcMar>
          </w:tcPr>
          <w:p>
            <w:pPr>
              <w:spacing w:after="40" w:before="40" w:line="252"/>
            </w:pPr>
            <w:r>
              <w:rPr>
                <w:b/>
                <w:bCs/>
                <w:color w:val="FFFFFF"/>
                <w:sz w:val="19"/>
                <w:szCs w:val="19"/>
              </w:rPr>
              <w:t xml:space="preserve">Version</w:t>
            </w:r>
          </w:p>
        </w:tc>
        <w:tc>
          <w:tcPr>
            <w:tcW w:type="dxa" w:w="1800"/>
            <w:shd w:fill="0B1E3F" w:color="auto" w:val="clear"/>
            <w:tcMar>
              <w:top w:type="dxa" w:w="60"/>
              <w:left w:type="dxa" w:w="100"/>
              <w:bottom w:type="dxa" w:w="60"/>
              <w:right w:type="dxa" w:w="100"/>
            </w:tcMar>
          </w:tcPr>
          <w:p>
            <w:pPr>
              <w:spacing w:after="40" w:before="40" w:line="252"/>
            </w:pPr>
            <w:r>
              <w:rPr>
                <w:b/>
                <w:bCs/>
                <w:color w:val="FFFFFF"/>
                <w:sz w:val="19"/>
                <w:szCs w:val="19"/>
              </w:rPr>
              <w:t xml:space="preserve">Date</w:t>
            </w:r>
          </w:p>
        </w:tc>
        <w:tc>
          <w:tcPr>
            <w:tcW w:type="dxa" w:w="2400"/>
            <w:shd w:fill="0B1E3F" w:color="auto" w:val="clear"/>
            <w:tcMar>
              <w:top w:type="dxa" w:w="60"/>
              <w:left w:type="dxa" w:w="100"/>
              <w:bottom w:type="dxa" w:w="60"/>
              <w:right w:type="dxa" w:w="100"/>
            </w:tcMar>
          </w:tcPr>
          <w:p>
            <w:pPr>
              <w:spacing w:after="40" w:before="40" w:line="252"/>
            </w:pPr>
            <w:r>
              <w:rPr>
                <w:b/>
                <w:bCs/>
                <w:color w:val="FFFFFF"/>
                <w:sz w:val="19"/>
                <w:szCs w:val="19"/>
              </w:rPr>
              <w:t xml:space="preserve">Author</w:t>
            </w:r>
          </w:p>
        </w:tc>
        <w:tc>
          <w:tcPr>
            <w:tcW w:type="dxa" w:w="3550"/>
            <w:shd w:fill="0B1E3F" w:color="auto" w:val="clear"/>
            <w:tcMar>
              <w:top w:type="dxa" w:w="60"/>
              <w:left w:type="dxa" w:w="100"/>
              <w:bottom w:type="dxa" w:w="60"/>
              <w:right w:type="dxa" w:w="100"/>
            </w:tcMar>
          </w:tcPr>
          <w:p>
            <w:pPr>
              <w:spacing w:after="40" w:before="40" w:line="252"/>
            </w:pPr>
            <w:r>
              <w:rPr>
                <w:b/>
                <w:bCs/>
                <w:color w:val="FFFFFF"/>
                <w:sz w:val="19"/>
                <w:szCs w:val="19"/>
              </w:rPr>
              <w:t xml:space="preserve">Summary of Changes</w:t>
            </w:r>
          </w:p>
        </w:tc>
      </w:tr>
      <w:tr>
        <w:tc>
          <w:tcPr>
            <w:tcW w:type="dxa" w:w="16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0.1</w:t>
            </w:r>
          </w:p>
        </w:tc>
        <w:tc>
          <w:tcPr>
            <w:tcW w:type="dxa" w:w="18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Draft</w:t>
            </w:r>
          </w:p>
        </w:tc>
        <w:tc>
          <w:tcPr>
            <w:tcW w:type="dxa" w:w="2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Product Team</w:t>
            </w:r>
          </w:p>
        </w:tc>
        <w:tc>
          <w:tcPr>
            <w:tcW w:type="dxa" w:w="35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Initial scope pulled from 26-phase development blueprint</w:t>
            </w:r>
          </w:p>
        </w:tc>
      </w:tr>
      <w:tr>
        <w:tc>
          <w:tcPr>
            <w:tcW w:type="dxa" w:w="16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1.0</w:t>
            </w:r>
          </w:p>
        </w:tc>
        <w:tc>
          <w:tcPr>
            <w:tcW w:type="dxa" w:w="18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Current</w:t>
            </w:r>
          </w:p>
        </w:tc>
        <w:tc>
          <w:tcPr>
            <w:tcW w:type="dxa" w:w="24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Product Team</w:t>
            </w:r>
          </w:p>
        </w:tc>
        <w:tc>
          <w:tcPr>
            <w:tcW w:type="dxa" w:w="35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Full PRD: requirements, personas, RBAC, NFRs, KPIs, roadmap</w:t>
            </w:r>
          </w:p>
        </w:tc>
      </w:tr>
    </w:tbl>
    <w:p>
      <w:r>
        <w:br w:type="page"/>
      </w:r>
    </w:p>
    <w:p>
      <w:pPr>
        <w:pStyle w:val="Heading1"/>
        <w:pBdr>
          <w:bottom w:val="single" w:color="D4A017" w:sz="8" w:space="4"/>
        </w:pBdr>
        <w:spacing w:after="200" w:before="400"/>
      </w:pPr>
      <w:r>
        <w:rPr>
          <w:b/>
          <w:bCs/>
          <w:color w:val="0B1E3F"/>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D4A017" w:sz="8" w:space="4"/>
        </w:pBdr>
        <w:spacing w:after="200" w:before="400"/>
      </w:pPr>
      <w:r>
        <w:rPr>
          <w:b/>
          <w:bCs/>
          <w:color w:val="0B1E3F"/>
          <w:sz w:val="30"/>
          <w:szCs w:val="30"/>
        </w:rPr>
        <w:t xml:space="preserve">1. Executive Summary</w:t>
      </w:r>
    </w:p>
    <w:p>
      <w:pPr>
        <w:spacing w:after="160" w:before="80" w:line="276"/>
        <w:jc w:val="both"/>
      </w:pPr>
      <w:r>
        <w:rPr>
          <w:b w:val="false"/>
          <w:bCs w:val="false"/>
          <w:i w:val="false"/>
          <w:iCs w:val="false"/>
          <w:color w:val="2B2B2B"/>
          <w:sz w:val="21"/>
          <w:szCs w:val="21"/>
        </w:rPr>
        <w:t xml:space="preserve">CrimeIntel is an AI-native investigator copilot and crime analytics platform built for the Karnataka State Police (KSP), designed to answer two Datathon 2026 challenge briefs from a single, shared intelligence substrate: a conversational AI copilot that lets an investigator interrogate case data in natural language (English and Kannada), and an analytics/visualization platform that turns siloed FIR data into proactive, explainable intelligence.</w:t>
      </w:r>
    </w:p>
    <w:p>
      <w:pPr>
        <w:spacing w:after="160" w:before="80" w:line="276"/>
        <w:jc w:val="both"/>
      </w:pPr>
      <w:r>
        <w:rPr>
          <w:b w:val="false"/>
          <w:bCs w:val="false"/>
          <w:i w:val="false"/>
          <w:iCs w:val="false"/>
          <w:color w:val="2B2B2B"/>
          <w:sz w:val="21"/>
          <w:szCs w:val="21"/>
        </w:rPr>
        <w:t xml:space="preserve">Today, FIR data across 1,100+ KSP stations is siloed, dashboards are static and backward-looking, and there is no standing layer that surfaces risk, linkages, or emerging patterns before an investigator has to go looking for them. CrimeIntel replaces this with a standing precomputation and retrieval substrate, a multi-agent reasoning layer that cites its evidence, and a governance layer that treats caste, religion, juvenile-victim and informant data as first-class sensitive fields rather than an afterthought.</w:t>
      </w:r>
    </w:p>
    <w:p>
      <w:pPr>
        <w:spacing w:after="160" w:before="80" w:line="276"/>
        <w:jc w:val="both"/>
      </w:pPr>
      <w:r>
        <w:rPr>
          <w:b w:val="false"/>
          <w:bCs w:val="false"/>
          <w:i w:val="false"/>
          <w:iCs w:val="false"/>
          <w:color w:val="2B2B2B"/>
          <w:sz w:val="21"/>
          <w:szCs w:val="21"/>
        </w:rPr>
        <w:t xml:space="preserve">The platform is built Catalyst-first: every capability in Zoho Catalyst's service catalogue — compute, data, AI/ML, events, workflow, security, and delivery — is mapped to a concrete feature in this product (see the companion Technical Requirements Document, Section 4, for the full 26-service inventory). Where Catalyst has no native capability — for example, map-tile rendering or Kannada-specific speech models beyond Zia's coverage — an external, clearly labelled dependency is used instead, so no functionality is ever sacrificed to stay "Catalyst-native."</w:t>
      </w:r>
    </w:p>
    <w:p>
      <w:pPr>
        <w:pStyle w:val="Heading1"/>
        <w:pBdr>
          <w:bottom w:val="single" w:color="D4A017" w:sz="8" w:space="4"/>
        </w:pBdr>
        <w:spacing w:after="200" w:before="400"/>
      </w:pPr>
      <w:r>
        <w:rPr>
          <w:b/>
          <w:bCs/>
          <w:color w:val="0B1E3F"/>
          <w:sz w:val="30"/>
          <w:szCs w:val="30"/>
        </w:rPr>
        <w:t xml:space="preserve">2. Problem Statement &amp; Background</w:t>
      </w:r>
    </w:p>
    <w:p>
      <w:pPr>
        <w:pStyle w:val="Heading2"/>
        <w:spacing w:after="140" w:before="300"/>
      </w:pPr>
      <w:r>
        <w:rPr>
          <w:b/>
          <w:bCs/>
          <w:color w:val="0B1E3F"/>
          <w:sz w:val="25"/>
          <w:szCs w:val="25"/>
        </w:rPr>
        <w:t xml:space="preserve">2.1 The Problem</w:t>
      </w:r>
    </w:p>
    <w:p>
      <w:pPr>
        <w:pStyle w:val="ListParagraph"/>
        <w:numPr>
          <w:ilvl w:val="0"/>
          <w:numId w:val="2"/>
        </w:numPr>
        <w:spacing w:after="40" w:before="40" w:line="264"/>
      </w:pPr>
      <w:r>
        <w:rPr>
          <w:color w:val="2B2B2B"/>
          <w:sz w:val="21"/>
          <w:szCs w:val="21"/>
        </w:rPr>
        <w:t xml:space="preserve">FIR data is captured consistently at the station level but is not usable as intelligence — it sits in silos with no cross-station or cross-district correlation.</w:t>
      </w:r>
    </w:p>
    <w:p>
      <w:pPr>
        <w:pStyle w:val="ListParagraph"/>
        <w:numPr>
          <w:ilvl w:val="0"/>
          <w:numId w:val="2"/>
        </w:numPr>
        <w:spacing w:after="40" w:before="40" w:line="264"/>
      </w:pPr>
      <w:r>
        <w:rPr>
          <w:color w:val="2B2B2B"/>
          <w:sz w:val="21"/>
          <w:szCs w:val="21"/>
        </w:rPr>
        <w:t xml:space="preserve">Existing dashboards are static: they report what already happened, with no standing computation of hotspots, gang activity, or offender risk ahead of time.</w:t>
      </w:r>
    </w:p>
    <w:p>
      <w:pPr>
        <w:pStyle w:val="ListParagraph"/>
        <w:numPr>
          <w:ilvl w:val="0"/>
          <w:numId w:val="2"/>
        </w:numPr>
        <w:spacing w:after="40" w:before="40" w:line="264"/>
      </w:pPr>
      <w:r>
        <w:rPr>
          <w:color w:val="2B2B2B"/>
          <w:sz w:val="21"/>
          <w:szCs w:val="21"/>
        </w:rPr>
        <w:t xml:space="preserve">Investigators lack a natural-language way to ask cross-cutting questions ("why is Whitefield flagged this month?") and get a cited, verifiable answer instead of a raw LLM guess.</w:t>
      </w:r>
    </w:p>
    <w:p>
      <w:pPr>
        <w:pStyle w:val="ListParagraph"/>
        <w:numPr>
          <w:ilvl w:val="0"/>
          <w:numId w:val="2"/>
        </w:numPr>
        <w:spacing w:after="40" w:before="40" w:line="264"/>
      </w:pPr>
      <w:r>
        <w:rPr>
          <w:color w:val="2B2B2B"/>
          <w:sz w:val="21"/>
          <w:szCs w:val="21"/>
        </w:rPr>
        <w:t xml:space="preserve">Network and financial-crime linkages between accused, victims, and cases are not visualised; they must be reconstructed manually, case file by case file.</w:t>
      </w:r>
    </w:p>
    <w:p>
      <w:pPr>
        <w:pStyle w:val="ListParagraph"/>
        <w:numPr>
          <w:ilvl w:val="0"/>
          <w:numId w:val="2"/>
        </w:numPr>
        <w:spacing w:after="40" w:before="40" w:line="264"/>
      </w:pPr>
      <w:r>
        <w:rPr>
          <w:color w:val="2B2B2B"/>
          <w:sz w:val="21"/>
          <w:szCs w:val="21"/>
        </w:rPr>
        <w:t xml:space="preserve">Sensitive attributes (caste, religion, juvenile-victim identity) are not consistently protected at the field level, creating both an ethical and a compliance risk.</w:t>
      </w:r>
    </w:p>
    <w:p>
      <w:pPr>
        <w:pStyle w:val="ListParagraph"/>
        <w:numPr>
          <w:ilvl w:val="0"/>
          <w:numId w:val="2"/>
        </w:numPr>
        <w:spacing w:after="40" w:before="40" w:line="264"/>
      </w:pPr>
      <w:r>
        <w:rPr>
          <w:color w:val="2B2B2B"/>
          <w:sz w:val="21"/>
          <w:szCs w:val="21"/>
        </w:rPr>
        <w:t xml:space="preserve">Kannada-speaking officers and the wider public-facing use case are not well served by English-only tooling.</w:t>
      </w:r>
    </w:p>
    <w:p>
      <w:pPr>
        <w:pStyle w:val="Heading2"/>
        <w:spacing w:after="140" w:before="300"/>
      </w:pPr>
      <w:r>
        <w:rPr>
          <w:b/>
          <w:bCs/>
          <w:color w:val="0B1E3F"/>
          <w:sz w:val="25"/>
          <w:szCs w:val="25"/>
        </w:rPr>
        <w:t xml:space="preserve">2.2 Why Now</w:t>
      </w:r>
    </w:p>
    <w:p>
      <w:pPr>
        <w:spacing w:after="160" w:before="80" w:line="276"/>
        <w:jc w:val="both"/>
      </w:pPr>
      <w:r>
        <w:rPr>
          <w:b w:val="false"/>
          <w:bCs w:val="false"/>
          <w:i w:val="false"/>
          <w:iCs w:val="false"/>
          <w:color w:val="2B2B2B"/>
          <w:sz w:val="21"/>
          <w:szCs w:val="21"/>
        </w:rPr>
        <w:t xml:space="preserve">KSP's Datathon 2026 defines two connected challenge briefs — a conversational AI investigator copilot (Challenge 01) and an analytics/visualisation platform with predictive risk scoring (Challenge 02). Building both on one shared intelligence substrate, rather than as two disconnected apps, is both more efficient to build and more convincing to demonstrate: the same evidence that answers a chat question also drives the dashboard, the network graph, and the forecast.</w:t>
      </w:r>
    </w:p>
    <w:p>
      <w:pPr>
        <w:pStyle w:val="Heading2"/>
        <w:spacing w:after="140" w:before="300"/>
      </w:pPr>
      <w:r>
        <w:rPr>
          <w:b/>
          <w:bCs/>
          <w:color w:val="0B1E3F"/>
          <w:sz w:val="25"/>
          <w:szCs w:val="25"/>
        </w:rPr>
        <w:t xml:space="preserve">2.3 Source Data</w:t>
      </w:r>
    </w:p>
    <w:p>
      <w:pPr>
        <w:spacing w:after="160" w:before="80" w:line="276"/>
        <w:jc w:val="both"/>
      </w:pPr>
      <w:r>
        <w:rPr>
          <w:b w:val="false"/>
          <w:bCs w:val="false"/>
          <w:i w:val="false"/>
          <w:iCs w:val="false"/>
          <w:color w:val="2B2B2B"/>
          <w:sz w:val="21"/>
          <w:szCs w:val="21"/>
        </w:rPr>
        <w:t xml:space="preserve">The system is built against the KSP Police FIR ER schema (23 tables spanning Case Core, Legal Classification, Socio-Demographic Lookups, Case Metadata, Org/Geo Structure, and Personnel domains), with CaseMasterID as the spine every subsystem joins through. Full schema-to-subsystem mapping and sensitivity classification live in the TRD, Section 5.</w:t>
      </w:r>
    </w:p>
    <w:p>
      <w:pPr>
        <w:pStyle w:val="Heading1"/>
        <w:pBdr>
          <w:bottom w:val="single" w:color="D4A017" w:sz="8" w:space="4"/>
        </w:pBdr>
        <w:spacing w:after="200" w:before="400"/>
      </w:pPr>
      <w:r>
        <w:rPr>
          <w:b/>
          <w:bCs/>
          <w:color w:val="0B1E3F"/>
          <w:sz w:val="30"/>
          <w:szCs w:val="30"/>
        </w:rPr>
        <w:t xml:space="preserve">3. Goals &amp; Objectives</w:t>
      </w:r>
    </w:p>
    <w:p>
      <w:pPr>
        <w:pStyle w:val="Heading2"/>
        <w:spacing w:after="140" w:before="300"/>
      </w:pPr>
      <w:r>
        <w:rPr>
          <w:b/>
          <w:bCs/>
          <w:color w:val="0B1E3F"/>
          <w:sz w:val="25"/>
          <w:szCs w:val="25"/>
        </w:rPr>
        <w:t xml:space="preserve">3.1 Business / Mission Goals</w:t>
      </w:r>
    </w:p>
    <w:p>
      <w:pPr>
        <w:pStyle w:val="ListParagraph"/>
        <w:numPr>
          <w:ilvl w:val="0"/>
          <w:numId w:val="3"/>
        </w:numPr>
        <w:spacing w:after="40" w:before="40" w:line="264"/>
      </w:pPr>
      <w:r>
        <w:rPr>
          <w:color w:val="2B2B2B"/>
          <w:sz w:val="21"/>
          <w:szCs w:val="21"/>
        </w:rPr>
        <w:t xml:space="preserve">Give every investigator a single place to ask a question and get a cited, trustworthy answer — not a black-box AI guess.</w:t>
      </w:r>
    </w:p>
    <w:p>
      <w:pPr>
        <w:pStyle w:val="ListParagraph"/>
        <w:numPr>
          <w:ilvl w:val="0"/>
          <w:numId w:val="3"/>
        </w:numPr>
        <w:spacing w:after="40" w:before="40" w:line="264"/>
      </w:pPr>
      <w:r>
        <w:rPr>
          <w:color w:val="2B2B2B"/>
          <w:sz w:val="21"/>
          <w:szCs w:val="21"/>
        </w:rPr>
        <w:t xml:space="preserve">Move KSP from reactive, static dashboards to a standing intelligence layer that computes hotspots, gang activity, and offender risk continuously.</w:t>
      </w:r>
    </w:p>
    <w:p>
      <w:pPr>
        <w:pStyle w:val="ListParagraph"/>
        <w:numPr>
          <w:ilvl w:val="0"/>
          <w:numId w:val="3"/>
        </w:numPr>
        <w:spacing w:after="40" w:before="40" w:line="264"/>
      </w:pPr>
      <w:r>
        <w:rPr>
          <w:color w:val="2B2B2B"/>
          <w:sz w:val="21"/>
          <w:szCs w:val="21"/>
        </w:rPr>
        <w:t xml:space="preserve">Make criminal network and financial-crime linkages visible and explorable, not something reconstructed manually per case.</w:t>
      </w:r>
    </w:p>
    <w:p>
      <w:pPr>
        <w:pStyle w:val="ListParagraph"/>
        <w:numPr>
          <w:ilvl w:val="0"/>
          <w:numId w:val="3"/>
        </w:numPr>
        <w:spacing w:after="40" w:before="40" w:line="264"/>
      </w:pPr>
      <w:r>
        <w:rPr>
          <w:color w:val="2B2B2B"/>
          <w:sz w:val="21"/>
          <w:szCs w:val="21"/>
        </w:rPr>
        <w:t xml:space="preserve">Build in data governance (masking, field-level encryption, audit) as a first-class design constraint, not a bolt-on.</w:t>
      </w:r>
    </w:p>
    <w:p>
      <w:pPr>
        <w:pStyle w:val="ListParagraph"/>
        <w:numPr>
          <w:ilvl w:val="0"/>
          <w:numId w:val="3"/>
        </w:numPr>
        <w:spacing w:after="40" w:before="40" w:line="264"/>
      </w:pPr>
      <w:r>
        <w:rPr>
          <w:color w:val="2B2B2B"/>
          <w:sz w:val="21"/>
          <w:szCs w:val="21"/>
        </w:rPr>
        <w:t xml:space="preserve">Serve KSP officers in both English and Kannada, including voice, without a second-class experience in either language.</w:t>
      </w:r>
    </w:p>
    <w:p>
      <w:pPr>
        <w:pStyle w:val="ListParagraph"/>
        <w:numPr>
          <w:ilvl w:val="0"/>
          <w:numId w:val="3"/>
        </w:numPr>
        <w:spacing w:after="40" w:before="40" w:line="264"/>
      </w:pPr>
      <w:r>
        <w:rPr>
          <w:color w:val="2B2B2B"/>
          <w:sz w:val="21"/>
          <w:szCs w:val="21"/>
        </w:rPr>
        <w:t xml:space="preserve">Demonstrate a credible, cost-aware, production path from hackathon build to a genuine pilot deployment.</w:t>
      </w:r>
    </w:p>
    <w:p>
      <w:pPr>
        <w:pStyle w:val="Heading2"/>
        <w:spacing w:after="140" w:before="300"/>
      </w:pPr>
      <w:r>
        <w:rPr>
          <w:b/>
          <w:bCs/>
          <w:color w:val="0B1E3F"/>
          <w:sz w:val="25"/>
          <w:szCs w:val="25"/>
        </w:rPr>
        <w:t xml:space="preserve">3.2 Success Definition</w:t>
      </w:r>
    </w:p>
    <w:p>
      <w:pPr>
        <w:spacing w:after="160" w:before="80" w:line="276"/>
        <w:jc w:val="both"/>
      </w:pPr>
      <w:r>
        <w:rPr>
          <w:b w:val="false"/>
          <w:bCs w:val="false"/>
          <w:i w:val="false"/>
          <w:iCs w:val="false"/>
          <w:color w:val="2B2B2B"/>
          <w:sz w:val="21"/>
          <w:szCs w:val="21"/>
        </w:rPr>
        <w:t xml:space="preserve">The product succeeds if an Inspector can hold a multi-turn conversation about a real investigative question, receive an answer with clickable evidence citations, see that evidence highlighted live on a network graph and a map, and export the whole exchange as a professional report — all within a role-appropriate, audited, and masked view of the underlying data. Section 10 (Success Metrics) defines the quantitative bar.</w:t>
      </w:r>
    </w:p>
    <w:p>
      <w:pPr>
        <w:pStyle w:val="Heading1"/>
        <w:pBdr>
          <w:bottom w:val="single" w:color="D4A017" w:sz="8" w:space="4"/>
        </w:pBdr>
        <w:spacing w:after="200" w:before="400"/>
      </w:pPr>
      <w:r>
        <w:rPr>
          <w:b/>
          <w:bCs/>
          <w:color w:val="0B1E3F"/>
          <w:sz w:val="30"/>
          <w:szCs w:val="30"/>
        </w:rPr>
        <w:t xml:space="preserve">4. Target Users &amp; Personas</w:t>
      </w:r>
    </w:p>
    <w:p>
      <w:pPr>
        <w:spacing w:after="160" w:before="80" w:line="276"/>
        <w:jc w:val="both"/>
      </w:pPr>
      <w:r>
        <w:rPr>
          <w:b w:val="false"/>
          <w:bCs w:val="false"/>
          <w:i w:val="false"/>
          <w:iCs w:val="false"/>
          <w:color w:val="2B2B2B"/>
          <w:sz w:val="21"/>
          <w:szCs w:val="21"/>
        </w:rPr>
        <w:t xml:space="preserve">CrimeIntel implements a 5-role RBAC model. Each role sees the same underlying platform through a progressively wider, and independently audited, lens.</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1500"/>
        <w:gridCol w:w="1900"/>
        <w:gridCol w:w="3700"/>
        <w:gridCol w:w="2250"/>
      </w:tblGrid>
      <w:tr>
        <w:trPr>
          <w:tblHeader/>
        </w:trPr>
        <w:tc>
          <w:tcPr>
            <w:tcW w:type="dxa" w:w="1500"/>
            <w:shd w:fill="0B1E3F" w:color="auto" w:val="clear"/>
            <w:tcMar>
              <w:top w:type="dxa" w:w="60"/>
              <w:left w:type="dxa" w:w="100"/>
              <w:bottom w:type="dxa" w:w="60"/>
              <w:right w:type="dxa" w:w="100"/>
            </w:tcMar>
          </w:tcPr>
          <w:p>
            <w:pPr>
              <w:spacing w:after="40" w:before="40" w:line="252"/>
            </w:pPr>
            <w:r>
              <w:rPr>
                <w:b/>
                <w:bCs/>
                <w:color w:val="FFFFFF"/>
                <w:sz w:val="19"/>
                <w:szCs w:val="19"/>
              </w:rPr>
              <w:t xml:space="preserve">Role</w:t>
            </w:r>
          </w:p>
        </w:tc>
        <w:tc>
          <w:tcPr>
            <w:tcW w:type="dxa" w:w="1900"/>
            <w:shd w:fill="0B1E3F" w:color="auto" w:val="clear"/>
            <w:tcMar>
              <w:top w:type="dxa" w:w="60"/>
              <w:left w:type="dxa" w:w="100"/>
              <w:bottom w:type="dxa" w:w="60"/>
              <w:right w:type="dxa" w:w="100"/>
            </w:tcMar>
          </w:tcPr>
          <w:p>
            <w:pPr>
              <w:spacing w:after="40" w:before="40" w:line="252"/>
            </w:pPr>
            <w:r>
              <w:rPr>
                <w:b/>
                <w:bCs/>
                <w:color w:val="FFFFFF"/>
                <w:sz w:val="19"/>
                <w:szCs w:val="19"/>
              </w:rPr>
              <w:t xml:space="preserve">Profile</w:t>
            </w:r>
          </w:p>
        </w:tc>
        <w:tc>
          <w:tcPr>
            <w:tcW w:type="dxa" w:w="3700"/>
            <w:shd w:fill="0B1E3F" w:color="auto" w:val="clear"/>
            <w:tcMar>
              <w:top w:type="dxa" w:w="60"/>
              <w:left w:type="dxa" w:w="100"/>
              <w:bottom w:type="dxa" w:w="60"/>
              <w:right w:type="dxa" w:w="100"/>
            </w:tcMar>
          </w:tcPr>
          <w:p>
            <w:pPr>
              <w:spacing w:after="40" w:before="40" w:line="252"/>
            </w:pPr>
            <w:r>
              <w:rPr>
                <w:b/>
                <w:bCs/>
                <w:color w:val="FFFFFF"/>
                <w:sz w:val="19"/>
                <w:szCs w:val="19"/>
              </w:rPr>
              <w:t xml:space="preserve">Core Needs</w:t>
            </w:r>
          </w:p>
        </w:tc>
        <w:tc>
          <w:tcPr>
            <w:tcW w:type="dxa" w:w="2250"/>
            <w:shd w:fill="0B1E3F" w:color="auto" w:val="clear"/>
            <w:tcMar>
              <w:top w:type="dxa" w:w="60"/>
              <w:left w:type="dxa" w:w="100"/>
              <w:bottom w:type="dxa" w:w="60"/>
              <w:right w:type="dxa" w:w="100"/>
            </w:tcMar>
          </w:tcPr>
          <w:p>
            <w:pPr>
              <w:spacing w:after="40" w:before="40" w:line="252"/>
            </w:pPr>
            <w:r>
              <w:rPr>
                <w:b/>
                <w:bCs/>
                <w:color w:val="FFFFFF"/>
                <w:sz w:val="19"/>
                <w:szCs w:val="19"/>
              </w:rPr>
              <w:t xml:space="preserve">Notes</w:t>
            </w:r>
          </w:p>
        </w:tc>
      </w:tr>
      <w:tr>
        <w:tc>
          <w:tcPr>
            <w:tcW w:type="dxa" w:w="15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Constable</w:t>
            </w:r>
          </w:p>
        </w:tc>
        <w:tc>
          <w:tcPr>
            <w:tcW w:type="dxa" w:w="19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Frontline duty officer, station level</w:t>
            </w:r>
          </w:p>
        </w:tc>
        <w:tc>
          <w:tcPr>
            <w:tcW w:type="dxa" w:w="37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Look up case status, log basic queries, view district-level (not cross-district) data</w:t>
            </w:r>
          </w:p>
        </w:tc>
        <w:tc>
          <w:tcPr>
            <w:tcW w:type="dxa" w:w="22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Narrowest data scope; no reveal permission on Restricted/Highly Restricted fields</w:t>
            </w:r>
          </w:p>
        </w:tc>
      </w:tr>
      <w:tr>
        <w:tc>
          <w:tcPr>
            <w:tcW w:type="dxa" w:w="15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Investigator (SI/PSI)</w:t>
            </w:r>
          </w:p>
        </w:tc>
        <w:tc>
          <w:tcPr>
            <w:tcW w:type="dxa" w:w="19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Investigating officer assigned to active cases</w:t>
            </w:r>
          </w:p>
        </w:tc>
        <w:tc>
          <w:tcPr>
            <w:tcW w:type="dxa" w:w="37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Ask multi-turn investigative questions, explore network graph, view reasoning &amp; evidence, request masked-field reveal with justification</w:t>
            </w:r>
          </w:p>
        </w:tc>
        <w:tc>
          <w:tcPr>
            <w:tcW w:type="dxa" w:w="22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Primary persona for Challenge 01's conversational copilot</w:t>
            </w:r>
          </w:p>
        </w:tc>
      </w:tr>
      <w:tr>
        <w:tc>
          <w:tcPr>
            <w:tcW w:type="dxa" w:w="15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Inspector</w:t>
            </w:r>
          </w:p>
        </w:tc>
        <w:tc>
          <w:tcPr>
            <w:tcW w:type="dxa" w:w="19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Station house officer / case supervisor</w:t>
            </w:r>
          </w:p>
        </w:tc>
        <w:tc>
          <w:tcPr>
            <w:tcW w:type="dxa" w:w="37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All Investigator capabilities + cross-case comparison, dashboard drilldowns, offender profiling</w:t>
            </w:r>
          </w:p>
        </w:tc>
        <w:tc>
          <w:tcPr>
            <w:tcW w:type="dxa" w:w="22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Primary persona for the Phase 15/26 flagship demo flow</w:t>
            </w:r>
          </w:p>
        </w:tc>
      </w:tr>
      <w:tr>
        <w:tc>
          <w:tcPr>
            <w:tcW w:type="dxa" w:w="15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Supervisor (DySP / higher)</w:t>
            </w:r>
          </w:p>
        </w:tc>
        <w:tc>
          <w:tcPr>
            <w:tcW w:type="dxa" w:w="19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District/range-level oversight</w:t>
            </w:r>
          </w:p>
        </w:tc>
        <w:tc>
          <w:tcPr>
            <w:tcW w:type="dxa" w:w="37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Approve reveal requests, review "needs review" AI flags, access district-wide analytics and forecast alerts</w:t>
            </w:r>
          </w:p>
        </w:tc>
        <w:tc>
          <w:tcPr>
            <w:tcW w:type="dxa" w:w="22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Human-in-the-loop approver for Phase 0.14's feedback loop</w:t>
            </w:r>
          </w:p>
        </w:tc>
      </w:tr>
      <w:tr>
        <w:tc>
          <w:tcPr>
            <w:tcW w:type="dxa" w:w="15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Administrator</w:t>
            </w:r>
          </w:p>
        </w:tc>
        <w:tc>
          <w:tcPr>
            <w:tcW w:type="dxa" w:w="19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IT/platform administrator</w:t>
            </w:r>
          </w:p>
        </w:tc>
        <w:tc>
          <w:tcPr>
            <w:tcW w:type="dxa" w:w="37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User &amp; role management, audit log review, cost/credit monitoring, anomaly-access alerts, system configuration</w:t>
            </w:r>
          </w:p>
        </w:tc>
        <w:tc>
          <w:tcPr>
            <w:tcW w:type="dxa" w:w="22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Only role with visibility into the Admin Panel and Catalyst cost dashboard</w:t>
            </w:r>
          </w:p>
        </w:tc>
      </w:tr>
    </w:tbl>
    <w:p>
      <w:pPr>
        <w:pStyle w:val="Heading1"/>
        <w:pBdr>
          <w:bottom w:val="single" w:color="D4A017" w:sz="8" w:space="4"/>
        </w:pBdr>
        <w:spacing w:after="200" w:before="400"/>
      </w:pPr>
      <w:r>
        <w:rPr>
          <w:b/>
          <w:bCs/>
          <w:color w:val="0B1E3F"/>
          <w:sz w:val="30"/>
          <w:szCs w:val="30"/>
        </w:rPr>
        <w:t xml:space="preserve">5. Scope</w:t>
      </w:r>
    </w:p>
    <w:p>
      <w:pPr>
        <w:pStyle w:val="Heading2"/>
        <w:spacing w:after="140" w:before="300"/>
      </w:pPr>
      <w:r>
        <w:rPr>
          <w:b/>
          <w:bCs/>
          <w:color w:val="0B1E3F"/>
          <w:sz w:val="25"/>
          <w:szCs w:val="25"/>
        </w:rPr>
        <w:t xml:space="preserve">5.1 In Scope (Build Phases 1–15)</w:t>
      </w:r>
    </w:p>
    <w:p>
      <w:pPr>
        <w:pStyle w:val="ListParagraph"/>
        <w:numPr>
          <w:ilvl w:val="0"/>
          <w:numId w:val="2"/>
        </w:numPr>
        <w:spacing w:after="40" w:before="40" w:line="264"/>
      </w:pPr>
      <w:r>
        <w:rPr>
          <w:color w:val="2B2B2B"/>
          <w:sz w:val="21"/>
          <w:szCs w:val="21"/>
        </w:rPr>
        <w:t xml:space="preserve">Conversational AI investigator copilot with multi-turn context, bilingual (EN/KN) and voice support</w:t>
      </w:r>
    </w:p>
    <w:p>
      <w:pPr>
        <w:pStyle w:val="ListParagraph"/>
        <w:numPr>
          <w:ilvl w:val="0"/>
          <w:numId w:val="2"/>
        </w:numPr>
        <w:spacing w:after="40" w:before="40" w:line="264"/>
      </w:pPr>
      <w:r>
        <w:rPr>
          <w:color w:val="2B2B2B"/>
          <w:sz w:val="21"/>
          <w:szCs w:val="21"/>
        </w:rPr>
        <w:t xml:space="preserve">Hybrid retrieval (SQL + Graph + Vector + OCR + Analytics) feeding a multi-agent reasoning pipeline with citations and a Verifier check</w:t>
      </w:r>
    </w:p>
    <w:p>
      <w:pPr>
        <w:pStyle w:val="ListParagraph"/>
        <w:numPr>
          <w:ilvl w:val="0"/>
          <w:numId w:val="2"/>
        </w:numPr>
        <w:spacing w:after="40" w:before="40" w:line="264"/>
      </w:pPr>
      <w:r>
        <w:rPr>
          <w:color w:val="2B2B2B"/>
          <w:sz w:val="21"/>
          <w:szCs w:val="21"/>
        </w:rPr>
        <w:t xml:space="preserve">Criminal network graph with auto-surfaced leads and link-analysis algorithms</w:t>
      </w:r>
    </w:p>
    <w:p>
      <w:pPr>
        <w:pStyle w:val="ListParagraph"/>
        <w:numPr>
          <w:ilvl w:val="0"/>
          <w:numId w:val="2"/>
        </w:numPr>
        <w:spacing w:after="40" w:before="40" w:line="264"/>
      </w:pPr>
      <w:r>
        <w:rPr>
          <w:color w:val="2B2B2B"/>
          <w:sz w:val="21"/>
          <w:szCs w:val="21"/>
        </w:rPr>
        <w:t xml:space="preserve">Theory-driven reasoning engine (four investigative theories, confidence scoring, alternative explanations)</w:t>
      </w:r>
    </w:p>
    <w:p>
      <w:pPr>
        <w:pStyle w:val="ListParagraph"/>
        <w:numPr>
          <w:ilvl w:val="0"/>
          <w:numId w:val="2"/>
        </w:numPr>
        <w:spacing w:after="40" w:before="40" w:line="264"/>
      </w:pPr>
      <w:r>
        <w:rPr>
          <w:color w:val="2B2B2B"/>
          <w:sz w:val="21"/>
          <w:szCs w:val="21"/>
        </w:rPr>
        <w:t xml:space="preserve">Analytics dashboard: hotspot heatmap, 7+ charts, cross-filtering, time slider, district drilldowns</w:t>
      </w:r>
    </w:p>
    <w:p>
      <w:pPr>
        <w:pStyle w:val="ListParagraph"/>
        <w:numPr>
          <w:ilvl w:val="0"/>
          <w:numId w:val="2"/>
        </w:numPr>
        <w:spacing w:after="40" w:before="40" w:line="264"/>
      </w:pPr>
      <w:r>
        <w:rPr>
          <w:color w:val="2B2B2B"/>
          <w:sz w:val="21"/>
          <w:szCs w:val="21"/>
        </w:rPr>
        <w:t xml:space="preserve">Offender profiling, case management, and similar-case retrieval</w:t>
      </w:r>
    </w:p>
    <w:p>
      <w:pPr>
        <w:pStyle w:val="ListParagraph"/>
        <w:numPr>
          <w:ilvl w:val="0"/>
          <w:numId w:val="2"/>
        </w:numPr>
        <w:spacing w:after="40" w:before="40" w:line="264"/>
      </w:pPr>
      <w:r>
        <w:rPr>
          <w:color w:val="2B2B2B"/>
          <w:sz w:val="21"/>
          <w:szCs w:val="21"/>
        </w:rPr>
        <w:t xml:space="preserve">Financial crime / money-trail analysis with mule detection and circular-flow visualisation</w:t>
      </w:r>
    </w:p>
    <w:p>
      <w:pPr>
        <w:pStyle w:val="ListParagraph"/>
        <w:numPr>
          <w:ilvl w:val="0"/>
          <w:numId w:val="2"/>
        </w:numPr>
        <w:spacing w:after="40" w:before="40" w:line="264"/>
      </w:pPr>
      <w:r>
        <w:rPr>
          <w:color w:val="2B2B2B"/>
          <w:sz w:val="21"/>
          <w:szCs w:val="21"/>
        </w:rPr>
        <w:t xml:space="preserve">Crime forecasting, early-warning scoring, and alerting</w:t>
      </w:r>
    </w:p>
    <w:p>
      <w:pPr>
        <w:pStyle w:val="ListParagraph"/>
        <w:numPr>
          <w:ilvl w:val="0"/>
          <w:numId w:val="2"/>
        </w:numPr>
        <w:spacing w:after="40" w:before="40" w:line="264"/>
      </w:pPr>
      <w:r>
        <w:rPr>
          <w:color w:val="2B2B2B"/>
          <w:sz w:val="21"/>
          <w:szCs w:val="21"/>
        </w:rPr>
        <w:t xml:space="preserve">Explainability, audit trail, and data governance (masking, field-level encryption)</w:t>
      </w:r>
    </w:p>
    <w:p>
      <w:pPr>
        <w:pStyle w:val="ListParagraph"/>
        <w:numPr>
          <w:ilvl w:val="0"/>
          <w:numId w:val="2"/>
        </w:numPr>
        <w:spacing w:after="40" w:before="40" w:line="264"/>
      </w:pPr>
      <w:r>
        <w:rPr>
          <w:color w:val="2B2B2B"/>
          <w:sz w:val="21"/>
          <w:szCs w:val="21"/>
        </w:rPr>
        <w:t xml:space="preserve">PDF/report export and conversation export</w:t>
      </w:r>
    </w:p>
    <w:p>
      <w:pPr>
        <w:pStyle w:val="ListParagraph"/>
        <w:numPr>
          <w:ilvl w:val="0"/>
          <w:numId w:val="2"/>
        </w:numPr>
        <w:spacing w:after="40" w:before="40" w:line="264"/>
      </w:pPr>
      <w:r>
        <w:rPr>
          <w:color w:val="2B2B2B"/>
          <w:sz w:val="21"/>
          <w:szCs w:val="21"/>
        </w:rPr>
        <w:t xml:space="preserve">Sociological insights module (socio-demographic correlations, anomaly detection)</w:t>
      </w:r>
    </w:p>
    <w:p>
      <w:pPr>
        <w:pStyle w:val="Heading2"/>
        <w:spacing w:after="140" w:before="300"/>
      </w:pPr>
      <w:r>
        <w:rPr>
          <w:b/>
          <w:bCs/>
          <w:color w:val="0B1E3F"/>
          <w:sz w:val="25"/>
          <w:szCs w:val="25"/>
        </w:rPr>
        <w:t xml:space="preserve">5.2 In Scope (Upgrade Phases 16–25 — Enterprise Hardening)</w:t>
      </w:r>
    </w:p>
    <w:p>
      <w:pPr>
        <w:pStyle w:val="ListParagraph"/>
        <w:numPr>
          <w:ilvl w:val="0"/>
          <w:numId w:val="2"/>
        </w:numPr>
        <w:spacing w:after="40" w:before="40" w:line="264"/>
      </w:pPr>
      <w:r>
        <w:rPr>
          <w:color w:val="2B2B2B"/>
          <w:sz w:val="21"/>
          <w:szCs w:val="21"/>
        </w:rPr>
        <w:t xml:space="preserve">Advanced NLP/RAG with production-grade embeddings and semantic search</w:t>
      </w:r>
    </w:p>
    <w:p>
      <w:pPr>
        <w:pStyle w:val="ListParagraph"/>
        <w:numPr>
          <w:ilvl w:val="0"/>
          <w:numId w:val="2"/>
        </w:numPr>
        <w:spacing w:after="40" w:before="40" w:line="264"/>
      </w:pPr>
      <w:r>
        <w:rPr>
          <w:color w:val="2B2B2B"/>
          <w:sz w:val="21"/>
          <w:szCs w:val="21"/>
        </w:rPr>
        <w:t xml:space="preserve">Real-time event processing and live dashboard/graph updates</w:t>
      </w:r>
    </w:p>
    <w:p>
      <w:pPr>
        <w:pStyle w:val="ListParagraph"/>
        <w:numPr>
          <w:ilvl w:val="0"/>
          <w:numId w:val="2"/>
        </w:numPr>
        <w:spacing w:after="40" w:before="40" w:line="264"/>
      </w:pPr>
      <w:r>
        <w:rPr>
          <w:color w:val="2B2B2B"/>
          <w:sz w:val="21"/>
          <w:szCs w:val="21"/>
        </w:rPr>
        <w:t xml:space="preserve">Graph neural network (GNN)-based community evolution and influence propagation</w:t>
      </w:r>
    </w:p>
    <w:p>
      <w:pPr>
        <w:pStyle w:val="ListParagraph"/>
        <w:numPr>
          <w:ilvl w:val="0"/>
          <w:numId w:val="2"/>
        </w:numPr>
        <w:spacing w:after="40" w:before="40" w:line="264"/>
      </w:pPr>
      <w:r>
        <w:rPr>
          <w:color w:val="2B2B2B"/>
          <w:sz w:val="21"/>
          <w:szCs w:val="21"/>
        </w:rPr>
        <w:t xml:space="preserve">Mobile-optimised PWA with offline support and push notifications</w:t>
      </w:r>
    </w:p>
    <w:p>
      <w:pPr>
        <w:pStyle w:val="ListParagraph"/>
        <w:numPr>
          <w:ilvl w:val="0"/>
          <w:numId w:val="2"/>
        </w:numPr>
        <w:spacing w:after="40" w:before="40" w:line="264"/>
      </w:pPr>
      <w:r>
        <w:rPr>
          <w:color w:val="2B2B2B"/>
          <w:sz w:val="21"/>
          <w:szCs w:val="21"/>
        </w:rPr>
        <w:t xml:space="preserve">OCR document intelligence for scanned FIRs with auto-linking</w:t>
      </w:r>
    </w:p>
    <w:p>
      <w:pPr>
        <w:pStyle w:val="ListParagraph"/>
        <w:numPr>
          <w:ilvl w:val="0"/>
          <w:numId w:val="2"/>
        </w:numPr>
        <w:spacing w:after="40" w:before="40" w:line="264"/>
      </w:pPr>
      <w:r>
        <w:rPr>
          <w:color w:val="2B2B2B"/>
          <w:sz w:val="21"/>
          <w:szCs w:val="21"/>
        </w:rPr>
        <w:t xml:space="preserve">Multi-agent orchestration via Catalyst Circuits at scale</w:t>
      </w:r>
    </w:p>
    <w:p>
      <w:pPr>
        <w:pStyle w:val="ListParagraph"/>
        <w:numPr>
          <w:ilvl w:val="0"/>
          <w:numId w:val="2"/>
        </w:numPr>
        <w:spacing w:after="40" w:before="40" w:line="264"/>
      </w:pPr>
      <w:r>
        <w:rPr>
          <w:color w:val="2B2B2B"/>
          <w:sz w:val="21"/>
          <w:szCs w:val="21"/>
        </w:rPr>
        <w:t xml:space="preserve">Advanced, customisable visualisation and report builder</w:t>
      </w:r>
    </w:p>
    <w:p>
      <w:pPr>
        <w:pStyle w:val="ListParagraph"/>
        <w:numPr>
          <w:ilvl w:val="0"/>
          <w:numId w:val="2"/>
        </w:numPr>
        <w:spacing w:after="40" w:before="40" w:line="264"/>
      </w:pPr>
      <w:r>
        <w:rPr>
          <w:color w:val="2B2B2B"/>
          <w:sz w:val="21"/>
          <w:szCs w:val="21"/>
        </w:rPr>
        <w:t xml:space="preserve">Security hardening, penetration testing, and compliance sign-off</w:t>
      </w:r>
    </w:p>
    <w:p>
      <w:pPr>
        <w:pStyle w:val="ListParagraph"/>
        <w:numPr>
          <w:ilvl w:val="0"/>
          <w:numId w:val="2"/>
        </w:numPr>
        <w:spacing w:after="40" w:before="40" w:line="264"/>
      </w:pPr>
      <w:r>
        <w:rPr>
          <w:color w:val="2B2B2B"/>
          <w:sz w:val="21"/>
          <w:szCs w:val="21"/>
        </w:rPr>
        <w:t xml:space="preserve">Performance engineering, load testing, and full observability</w:t>
      </w:r>
    </w:p>
    <w:p>
      <w:pPr>
        <w:pStyle w:val="ListParagraph"/>
        <w:numPr>
          <w:ilvl w:val="0"/>
          <w:numId w:val="2"/>
        </w:numPr>
        <w:spacing w:after="40" w:before="40" w:line="264"/>
      </w:pPr>
      <w:r>
        <w:rPr>
          <w:color w:val="2B2B2B"/>
          <w:sz w:val="21"/>
          <w:szCs w:val="21"/>
        </w:rPr>
        <w:t xml:space="preserve">Extensibility: plugin architecture, public API docs, multi-tenancy</w:t>
      </w:r>
    </w:p>
    <w:p>
      <w:pPr>
        <w:pStyle w:val="Heading2"/>
        <w:spacing w:after="140" w:before="300"/>
      </w:pPr>
      <w:r>
        <w:rPr>
          <w:b/>
          <w:bCs/>
          <w:color w:val="0B1E3F"/>
          <w:sz w:val="25"/>
          <w:szCs w:val="25"/>
        </w:rPr>
        <w:t xml:space="preserve">5.3 Out of Scope (this release)</w:t>
      </w:r>
    </w:p>
    <w:p>
      <w:pPr>
        <w:pStyle w:val="ListParagraph"/>
        <w:numPr>
          <w:ilvl w:val="0"/>
          <w:numId w:val="2"/>
        </w:numPr>
        <w:spacing w:after="40" w:before="40" w:line="264"/>
      </w:pPr>
      <w:r>
        <w:rPr>
          <w:color w:val="2B2B2B"/>
          <w:sz w:val="21"/>
          <w:szCs w:val="21"/>
        </w:rPr>
        <w:t xml:space="preserve">Direct write-back or integration into KSP's production CCTNS/ICJS systems (read/ingest-oriented for the pilot; write-back is a future-phase decision requiring KSP sign-off)</w:t>
      </w:r>
    </w:p>
    <w:p>
      <w:pPr>
        <w:pStyle w:val="ListParagraph"/>
        <w:numPr>
          <w:ilvl w:val="0"/>
          <w:numId w:val="2"/>
        </w:numPr>
        <w:spacing w:after="40" w:before="40" w:line="264"/>
      </w:pPr>
      <w:r>
        <w:rPr>
          <w:color w:val="2B2B2B"/>
          <w:sz w:val="21"/>
          <w:szCs w:val="21"/>
        </w:rPr>
        <w:t xml:space="preserve">Predictive policing decisions that trigger automated field action without human review — every forecast/alert routes to a human Supervisor</w:t>
      </w:r>
    </w:p>
    <w:p>
      <w:pPr>
        <w:pStyle w:val="ListParagraph"/>
        <w:numPr>
          <w:ilvl w:val="0"/>
          <w:numId w:val="2"/>
        </w:numPr>
        <w:spacing w:after="40" w:before="40" w:line="264"/>
      </w:pPr>
      <w:r>
        <w:rPr>
          <w:color w:val="2B2B2B"/>
          <w:sz w:val="21"/>
          <w:szCs w:val="21"/>
        </w:rPr>
        <w:t xml:space="preserve">Languages beyond English and Kannada in this release</w:t>
      </w:r>
    </w:p>
    <w:p>
      <w:pPr>
        <w:pStyle w:val="ListParagraph"/>
        <w:numPr>
          <w:ilvl w:val="0"/>
          <w:numId w:val="2"/>
        </w:numPr>
        <w:spacing w:after="40" w:before="40" w:line="264"/>
      </w:pPr>
      <w:r>
        <w:rPr>
          <w:color w:val="2B2B2B"/>
          <w:sz w:val="21"/>
          <w:szCs w:val="21"/>
        </w:rPr>
        <w:t xml:space="preserve">Native iOS/Android app store builds (PWA only; Section 5.2 covers install-to-homescreen)</w:t>
      </w:r>
    </w:p>
    <w:p>
      <w:r>
        <w:br w:type="page"/>
      </w:r>
    </w:p>
    <w:p>
      <w:pPr>
        <w:pStyle w:val="Heading1"/>
        <w:pBdr>
          <w:bottom w:val="single" w:color="D4A017" w:sz="8" w:space="4"/>
        </w:pBdr>
        <w:spacing w:after="200" w:before="400"/>
      </w:pPr>
      <w:r>
        <w:rPr>
          <w:b/>
          <w:bCs/>
          <w:color w:val="0B1E3F"/>
          <w:sz w:val="30"/>
          <w:szCs w:val="30"/>
        </w:rPr>
        <w:t xml:space="preserve">6. Functional Requirements</w:t>
      </w:r>
    </w:p>
    <w:p>
      <w:pPr>
        <w:spacing w:after="160" w:before="80" w:line="276"/>
        <w:jc w:val="both"/>
      </w:pPr>
      <w:r>
        <w:rPr>
          <w:b w:val="false"/>
          <w:bCs w:val="false"/>
          <w:i w:val="false"/>
          <w:iCs w:val="false"/>
          <w:color w:val="2B2B2B"/>
          <w:sz w:val="21"/>
          <w:szCs w:val="21"/>
        </w:rPr>
        <w:t xml:space="preserve">Requirements are grouped by product module. Priority: P0 = required for the flagship demo and MVP pilot; P1 = required for enterprise upgrade; P2 = stretch / extensibility.</w:t>
      </w:r>
    </w:p>
    <w:p>
      <w:pPr>
        <w:pStyle w:val="Heading2"/>
        <w:spacing w:after="140" w:before="300"/>
      </w:pPr>
      <w:r>
        <w:rPr>
          <w:b/>
          <w:bCs/>
          <w:color w:val="0B1E3F"/>
          <w:sz w:val="25"/>
          <w:szCs w:val="25"/>
        </w:rPr>
        <w:t xml:space="preserve">6.1 Conversational AI Investigator Copilot  (Blueprint Phase 4, 0.2, 0.4, 0.5, 0.11)</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900"/>
        <w:gridCol w:w="3300"/>
        <w:gridCol w:w="1000"/>
        <w:gridCol w:w="4150"/>
      </w:tblGrid>
      <w:tr>
        <w:trPr>
          <w:tblHeader/>
        </w:trPr>
        <w:tc>
          <w:tcPr>
            <w:tcW w:type="dxa" w:w="900"/>
            <w:shd w:fill="0B1E3F" w:color="auto" w:val="clear"/>
            <w:tcMar>
              <w:top w:type="dxa" w:w="60"/>
              <w:left w:type="dxa" w:w="100"/>
              <w:bottom w:type="dxa" w:w="60"/>
              <w:right w:type="dxa" w:w="100"/>
            </w:tcMar>
          </w:tcPr>
          <w:p>
            <w:pPr>
              <w:spacing w:after="40" w:before="40" w:line="252"/>
            </w:pPr>
            <w:r>
              <w:rPr>
                <w:b/>
                <w:bCs/>
                <w:color w:val="FFFFFF"/>
                <w:sz w:val="19"/>
                <w:szCs w:val="19"/>
              </w:rPr>
              <w:t xml:space="preserve">ID</w:t>
            </w:r>
          </w:p>
        </w:tc>
        <w:tc>
          <w:tcPr>
            <w:tcW w:type="dxa" w:w="3300"/>
            <w:shd w:fill="0B1E3F" w:color="auto" w:val="clear"/>
            <w:tcMar>
              <w:top w:type="dxa" w:w="60"/>
              <w:left w:type="dxa" w:w="100"/>
              <w:bottom w:type="dxa" w:w="60"/>
              <w:right w:type="dxa" w:w="100"/>
            </w:tcMar>
          </w:tcPr>
          <w:p>
            <w:pPr>
              <w:spacing w:after="40" w:before="40" w:line="252"/>
            </w:pPr>
            <w:r>
              <w:rPr>
                <w:b/>
                <w:bCs/>
                <w:color w:val="FFFFFF"/>
                <w:sz w:val="19"/>
                <w:szCs w:val="19"/>
              </w:rPr>
              <w:t xml:space="preserve">Requirement</w:t>
            </w:r>
          </w:p>
        </w:tc>
        <w:tc>
          <w:tcPr>
            <w:tcW w:type="dxa" w:w="1000"/>
            <w:shd w:fill="0B1E3F" w:color="auto" w:val="clear"/>
            <w:tcMar>
              <w:top w:type="dxa" w:w="60"/>
              <w:left w:type="dxa" w:w="100"/>
              <w:bottom w:type="dxa" w:w="60"/>
              <w:right w:type="dxa" w:w="100"/>
            </w:tcMar>
          </w:tcPr>
          <w:p>
            <w:pPr>
              <w:spacing w:after="40" w:before="40" w:line="252"/>
            </w:pPr>
            <w:r>
              <w:rPr>
                <w:b/>
                <w:bCs/>
                <w:color w:val="FFFFFF"/>
                <w:sz w:val="19"/>
                <w:szCs w:val="19"/>
              </w:rPr>
              <w:t xml:space="preserve">Priority</w:t>
            </w:r>
          </w:p>
        </w:tc>
        <w:tc>
          <w:tcPr>
            <w:tcW w:type="dxa" w:w="4150"/>
            <w:shd w:fill="0B1E3F" w:color="auto" w:val="clear"/>
            <w:tcMar>
              <w:top w:type="dxa" w:w="60"/>
              <w:left w:type="dxa" w:w="100"/>
              <w:bottom w:type="dxa" w:w="60"/>
              <w:right w:type="dxa" w:w="100"/>
            </w:tcMar>
          </w:tcPr>
          <w:p>
            <w:pPr>
              <w:spacing w:after="40" w:before="40" w:line="252"/>
            </w:pPr>
            <w:r>
              <w:rPr>
                <w:b/>
                <w:bCs/>
                <w:color w:val="FFFFFF"/>
                <w:sz w:val="19"/>
                <w:szCs w:val="19"/>
              </w:rPr>
              <w:t xml:space="preserve">Acceptance Criteria</w:t>
            </w:r>
          </w:p>
        </w:tc>
      </w:tr>
      <w:tr>
        <w:tc>
          <w:tcPr>
            <w:tcW w:type="dxa" w:w="9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FR-1.1</w:t>
            </w:r>
          </w:p>
        </w:tc>
        <w:tc>
          <w:tcPr>
            <w:tcW w:type="dxa" w:w="3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User can ask free-text investigative questions in a chat interface and receive a natural-language answer.</w:t>
            </w:r>
          </w:p>
        </w:tc>
        <w:tc>
          <w:tcPr>
            <w:tcW w:type="dxa" w:w="1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P0</w:t>
            </w:r>
          </w:p>
        </w:tc>
        <w:tc>
          <w:tcPr>
            <w:tcW w:type="dxa" w:w="41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Answer returned in &lt;3s p50 for cached retrieval paths; includes at least one evidence citation when evidence exists.</w:t>
            </w:r>
          </w:p>
        </w:tc>
      </w:tr>
      <w:tr>
        <w:tc>
          <w:tcPr>
            <w:tcW w:type="dxa" w:w="9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FR-1.2</w:t>
            </w:r>
          </w:p>
        </w:tc>
        <w:tc>
          <w:tcPr>
            <w:tcW w:type="dxa" w:w="33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System retains conversational context across turns (district, crime type, timeframe) without the user repeating it.</w:t>
            </w:r>
          </w:p>
        </w:tc>
        <w:tc>
          <w:tcPr>
            <w:tcW w:type="dxa" w:w="10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P0</w:t>
            </w:r>
          </w:p>
        </w:tc>
        <w:tc>
          <w:tcPr>
            <w:tcW w:type="dxa" w:w="41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A follow-up question like "show only repeat offenders" correctly narrows the prior result set.</w:t>
            </w:r>
          </w:p>
        </w:tc>
      </w:tr>
      <w:tr>
        <w:tc>
          <w:tcPr>
            <w:tcW w:type="dxa" w:w="9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FR-1.3</w:t>
            </w:r>
          </w:p>
        </w:tc>
        <w:tc>
          <w:tcPr>
            <w:tcW w:type="dxa" w:w="3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Every answer includes clickable citations linking to the underlying SQL row, graph node, document span, or aggregate that produced it.</w:t>
            </w:r>
          </w:p>
        </w:tc>
        <w:tc>
          <w:tcPr>
            <w:tcW w:type="dxa" w:w="1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P0</w:t>
            </w:r>
          </w:p>
        </w:tc>
        <w:tc>
          <w:tcPr>
            <w:tcW w:type="dxa" w:w="41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100% of factual claims in a sampled answer set trace to a real evidence item; unsupported claims are flagged, not presented as fact.</w:t>
            </w:r>
          </w:p>
        </w:tc>
      </w:tr>
      <w:tr>
        <w:tc>
          <w:tcPr>
            <w:tcW w:type="dxa" w:w="9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FR-1.4</w:t>
            </w:r>
          </w:p>
        </w:tc>
        <w:tc>
          <w:tcPr>
            <w:tcW w:type="dxa" w:w="33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System supports voice input/output in English and Kannada.</w:t>
            </w:r>
          </w:p>
        </w:tc>
        <w:tc>
          <w:tcPr>
            <w:tcW w:type="dxa" w:w="10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P1</w:t>
            </w:r>
          </w:p>
        </w:tc>
        <w:tc>
          <w:tcPr>
            <w:tcW w:type="dxa" w:w="41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Spoken Kannada query returns a spoken Kannada answer with equivalent accuracy to the English path.</w:t>
            </w:r>
          </w:p>
        </w:tc>
      </w:tr>
      <w:tr>
        <w:tc>
          <w:tcPr>
            <w:tcW w:type="dxa" w:w="9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FR-1.5</w:t>
            </w:r>
          </w:p>
        </w:tc>
        <w:tc>
          <w:tcPr>
            <w:tcW w:type="dxa" w:w="3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A "needs review" flag is shown, and answer is routed to a Supervisor, when the Verifier agent cannot confirm a claim against evidence.</w:t>
            </w:r>
          </w:p>
        </w:tc>
        <w:tc>
          <w:tcPr>
            <w:tcW w:type="dxa" w:w="1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P0</w:t>
            </w:r>
          </w:p>
        </w:tc>
        <w:tc>
          <w:tcPr>
            <w:tcW w:type="dxa" w:w="41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Flagged answers are visibly distinguished in the UI and appear in the Supervisor review queue.</w:t>
            </w:r>
          </w:p>
        </w:tc>
      </w:tr>
    </w:tbl>
    <w:p>
      <w:pPr>
        <w:spacing w:after="160" w:before="0"/>
      </w:pPr>
    </w:p>
    <w:p>
      <w:pPr>
        <w:pStyle w:val="Heading2"/>
        <w:spacing w:after="140" w:before="300"/>
      </w:pPr>
      <w:r>
        <w:rPr>
          <w:b/>
          <w:bCs/>
          <w:color w:val="0B1E3F"/>
          <w:sz w:val="25"/>
          <w:szCs w:val="25"/>
        </w:rPr>
        <w:t xml:space="preserve">6.2 Criminal Network Graph  (Blueprint Phase 5, 0.3)</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900"/>
        <w:gridCol w:w="3300"/>
        <w:gridCol w:w="1000"/>
        <w:gridCol w:w="4150"/>
      </w:tblGrid>
      <w:tr>
        <w:trPr>
          <w:tblHeader/>
        </w:trPr>
        <w:tc>
          <w:tcPr>
            <w:tcW w:type="dxa" w:w="900"/>
            <w:shd w:fill="0B1E3F" w:color="auto" w:val="clear"/>
            <w:tcMar>
              <w:top w:type="dxa" w:w="60"/>
              <w:left w:type="dxa" w:w="100"/>
              <w:bottom w:type="dxa" w:w="60"/>
              <w:right w:type="dxa" w:w="100"/>
            </w:tcMar>
          </w:tcPr>
          <w:p>
            <w:pPr>
              <w:spacing w:after="40" w:before="40" w:line="252"/>
            </w:pPr>
            <w:r>
              <w:rPr>
                <w:b/>
                <w:bCs/>
                <w:color w:val="FFFFFF"/>
                <w:sz w:val="19"/>
                <w:szCs w:val="19"/>
              </w:rPr>
              <w:t xml:space="preserve">ID</w:t>
            </w:r>
          </w:p>
        </w:tc>
        <w:tc>
          <w:tcPr>
            <w:tcW w:type="dxa" w:w="3300"/>
            <w:shd w:fill="0B1E3F" w:color="auto" w:val="clear"/>
            <w:tcMar>
              <w:top w:type="dxa" w:w="60"/>
              <w:left w:type="dxa" w:w="100"/>
              <w:bottom w:type="dxa" w:w="60"/>
              <w:right w:type="dxa" w:w="100"/>
            </w:tcMar>
          </w:tcPr>
          <w:p>
            <w:pPr>
              <w:spacing w:after="40" w:before="40" w:line="252"/>
            </w:pPr>
            <w:r>
              <w:rPr>
                <w:b/>
                <w:bCs/>
                <w:color w:val="FFFFFF"/>
                <w:sz w:val="19"/>
                <w:szCs w:val="19"/>
              </w:rPr>
              <w:t xml:space="preserve">Requirement</w:t>
            </w:r>
          </w:p>
        </w:tc>
        <w:tc>
          <w:tcPr>
            <w:tcW w:type="dxa" w:w="1000"/>
            <w:shd w:fill="0B1E3F" w:color="auto" w:val="clear"/>
            <w:tcMar>
              <w:top w:type="dxa" w:w="60"/>
              <w:left w:type="dxa" w:w="100"/>
              <w:bottom w:type="dxa" w:w="60"/>
              <w:right w:type="dxa" w:w="100"/>
            </w:tcMar>
          </w:tcPr>
          <w:p>
            <w:pPr>
              <w:spacing w:after="40" w:before="40" w:line="252"/>
            </w:pPr>
            <w:r>
              <w:rPr>
                <w:b/>
                <w:bCs/>
                <w:color w:val="FFFFFF"/>
                <w:sz w:val="19"/>
                <w:szCs w:val="19"/>
              </w:rPr>
              <w:t xml:space="preserve">Priority</w:t>
            </w:r>
          </w:p>
        </w:tc>
        <w:tc>
          <w:tcPr>
            <w:tcW w:type="dxa" w:w="4150"/>
            <w:shd w:fill="0B1E3F" w:color="auto" w:val="clear"/>
            <w:tcMar>
              <w:top w:type="dxa" w:w="60"/>
              <w:left w:type="dxa" w:w="100"/>
              <w:bottom w:type="dxa" w:w="60"/>
              <w:right w:type="dxa" w:w="100"/>
            </w:tcMar>
          </w:tcPr>
          <w:p>
            <w:pPr>
              <w:spacing w:after="40" w:before="40" w:line="252"/>
            </w:pPr>
            <w:r>
              <w:rPr>
                <w:b/>
                <w:bCs/>
                <w:color w:val="FFFFFF"/>
                <w:sz w:val="19"/>
                <w:szCs w:val="19"/>
              </w:rPr>
              <w:t xml:space="preserve">Acceptance Criteria</w:t>
            </w:r>
          </w:p>
        </w:tc>
      </w:tr>
      <w:tr>
        <w:tc>
          <w:tcPr>
            <w:tcW w:type="dxa" w:w="9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FR-2.1</w:t>
            </w:r>
          </w:p>
        </w:tc>
        <w:tc>
          <w:tcPr>
            <w:tcW w:type="dxa" w:w="3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Interactive network graph renders accused/victim/complainant relationships derived from shared case membership.</w:t>
            </w:r>
          </w:p>
        </w:tc>
        <w:tc>
          <w:tcPr>
            <w:tcW w:type="dxa" w:w="1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P0</w:t>
            </w:r>
          </w:p>
        </w:tc>
        <w:tc>
          <w:tcPr>
            <w:tcW w:type="dxa" w:w="41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Graph renders 500+ node synthetic dataset without visible lag on interaction.</w:t>
            </w:r>
          </w:p>
        </w:tc>
      </w:tr>
      <w:tr>
        <w:tc>
          <w:tcPr>
            <w:tcW w:type="dxa" w:w="9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FR-2.2</w:t>
            </w:r>
          </w:p>
        </w:tc>
        <w:tc>
          <w:tcPr>
            <w:tcW w:type="dxa" w:w="33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System auto-surfaces candidate leads (e.g., activity/node overlap) without the user having to search for them.</w:t>
            </w:r>
          </w:p>
        </w:tc>
        <w:tc>
          <w:tcPr>
            <w:tcW w:type="dxa" w:w="10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P0</w:t>
            </w:r>
          </w:p>
        </w:tc>
        <w:tc>
          <w:tcPr>
            <w:tcW w:type="dxa" w:w="41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At least one auto-surfaced lead is present for the seeded gang-cluster demo scenario.</w:t>
            </w:r>
          </w:p>
        </w:tc>
      </w:tr>
      <w:tr>
        <w:tc>
          <w:tcPr>
            <w:tcW w:type="dxa" w:w="9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FR-2.3</w:t>
            </w:r>
          </w:p>
        </w:tc>
        <w:tc>
          <w:tcPr>
            <w:tcW w:type="dxa" w:w="3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Entity resolution merges aliases, duplicate names, and shared vehicle/phone identifiers into a canonical person record.</w:t>
            </w:r>
          </w:p>
        </w:tc>
        <w:tc>
          <w:tcPr>
            <w:tcW w:type="dxa" w:w="1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P0</w:t>
            </w:r>
          </w:p>
        </w:tc>
        <w:tc>
          <w:tcPr>
            <w:tcW w:type="dxa" w:w="41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Seeded alias pairs resolve to one canonical node with a reviewable merge decision.</w:t>
            </w:r>
          </w:p>
        </w:tc>
      </w:tr>
      <w:tr>
        <w:tc>
          <w:tcPr>
            <w:tcW w:type="dxa" w:w="9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FR-2.4</w:t>
            </w:r>
          </w:p>
        </w:tc>
        <w:tc>
          <w:tcPr>
            <w:tcW w:type="dxa" w:w="33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Clicking a graph node/edge highlights the same entity in chat citations and the map, and vice versa.</w:t>
            </w:r>
          </w:p>
        </w:tc>
        <w:tc>
          <w:tcPr>
            <w:tcW w:type="dxa" w:w="10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P1</w:t>
            </w:r>
          </w:p>
        </w:tc>
        <w:tc>
          <w:tcPr>
            <w:tcW w:type="dxa" w:w="41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Cross-highlighting verified across chat → graph → map in the demo flow.</w:t>
            </w:r>
          </w:p>
        </w:tc>
      </w:tr>
    </w:tbl>
    <w:p>
      <w:pPr>
        <w:spacing w:after="160" w:before="0"/>
      </w:pPr>
    </w:p>
    <w:p>
      <w:pPr>
        <w:pStyle w:val="Heading2"/>
        <w:spacing w:after="140" w:before="300"/>
      </w:pPr>
      <w:r>
        <w:rPr>
          <w:b/>
          <w:bCs/>
          <w:color w:val="0B1E3F"/>
          <w:sz w:val="25"/>
          <w:szCs w:val="25"/>
        </w:rPr>
        <w:t xml:space="preserve">6.3 Theory-Driven Reasoning Engine  (Blueprint Phase 6)</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900"/>
        <w:gridCol w:w="3300"/>
        <w:gridCol w:w="1000"/>
        <w:gridCol w:w="4150"/>
      </w:tblGrid>
      <w:tr>
        <w:trPr>
          <w:tblHeader/>
        </w:trPr>
        <w:tc>
          <w:tcPr>
            <w:tcW w:type="dxa" w:w="900"/>
            <w:shd w:fill="0B1E3F" w:color="auto" w:val="clear"/>
            <w:tcMar>
              <w:top w:type="dxa" w:w="60"/>
              <w:left w:type="dxa" w:w="100"/>
              <w:bottom w:type="dxa" w:w="60"/>
              <w:right w:type="dxa" w:w="100"/>
            </w:tcMar>
          </w:tcPr>
          <w:p>
            <w:pPr>
              <w:spacing w:after="40" w:before="40" w:line="252"/>
            </w:pPr>
            <w:r>
              <w:rPr>
                <w:b/>
                <w:bCs/>
                <w:color w:val="FFFFFF"/>
                <w:sz w:val="19"/>
                <w:szCs w:val="19"/>
              </w:rPr>
              <w:t xml:space="preserve">ID</w:t>
            </w:r>
          </w:p>
        </w:tc>
        <w:tc>
          <w:tcPr>
            <w:tcW w:type="dxa" w:w="3300"/>
            <w:shd w:fill="0B1E3F" w:color="auto" w:val="clear"/>
            <w:tcMar>
              <w:top w:type="dxa" w:w="60"/>
              <w:left w:type="dxa" w:w="100"/>
              <w:bottom w:type="dxa" w:w="60"/>
              <w:right w:type="dxa" w:w="100"/>
            </w:tcMar>
          </w:tcPr>
          <w:p>
            <w:pPr>
              <w:spacing w:after="40" w:before="40" w:line="252"/>
            </w:pPr>
            <w:r>
              <w:rPr>
                <w:b/>
                <w:bCs/>
                <w:color w:val="FFFFFF"/>
                <w:sz w:val="19"/>
                <w:szCs w:val="19"/>
              </w:rPr>
              <w:t xml:space="preserve">Requirement</w:t>
            </w:r>
          </w:p>
        </w:tc>
        <w:tc>
          <w:tcPr>
            <w:tcW w:type="dxa" w:w="1000"/>
            <w:shd w:fill="0B1E3F" w:color="auto" w:val="clear"/>
            <w:tcMar>
              <w:top w:type="dxa" w:w="60"/>
              <w:left w:type="dxa" w:w="100"/>
              <w:bottom w:type="dxa" w:w="60"/>
              <w:right w:type="dxa" w:w="100"/>
            </w:tcMar>
          </w:tcPr>
          <w:p>
            <w:pPr>
              <w:spacing w:after="40" w:before="40" w:line="252"/>
            </w:pPr>
            <w:r>
              <w:rPr>
                <w:b/>
                <w:bCs/>
                <w:color w:val="FFFFFF"/>
                <w:sz w:val="19"/>
                <w:szCs w:val="19"/>
              </w:rPr>
              <w:t xml:space="preserve">Priority</w:t>
            </w:r>
          </w:p>
        </w:tc>
        <w:tc>
          <w:tcPr>
            <w:tcW w:type="dxa" w:w="4150"/>
            <w:shd w:fill="0B1E3F" w:color="auto" w:val="clear"/>
            <w:tcMar>
              <w:top w:type="dxa" w:w="60"/>
              <w:left w:type="dxa" w:w="100"/>
              <w:bottom w:type="dxa" w:w="60"/>
              <w:right w:type="dxa" w:w="100"/>
            </w:tcMar>
          </w:tcPr>
          <w:p>
            <w:pPr>
              <w:spacing w:after="40" w:before="40" w:line="252"/>
            </w:pPr>
            <w:r>
              <w:rPr>
                <w:b/>
                <w:bCs/>
                <w:color w:val="FFFFFF"/>
                <w:sz w:val="19"/>
                <w:szCs w:val="19"/>
              </w:rPr>
              <w:t xml:space="preserve">Acceptance Criteria</w:t>
            </w:r>
          </w:p>
        </w:tc>
      </w:tr>
      <w:tr>
        <w:tc>
          <w:tcPr>
            <w:tcW w:type="dxa" w:w="9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FR-3.1</w:t>
            </w:r>
          </w:p>
        </w:tc>
        <w:tc>
          <w:tcPr>
            <w:tcW w:type="dxa" w:w="3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System proposes up to four investigative theories for a flagged case/area with supporting evidence per theory.</w:t>
            </w:r>
          </w:p>
        </w:tc>
        <w:tc>
          <w:tcPr>
            <w:tcW w:type="dxa" w:w="1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P0</w:t>
            </w:r>
          </w:p>
        </w:tc>
        <w:tc>
          <w:tcPr>
            <w:tcW w:type="dxa" w:w="41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Each theory lists at least one distinct evidence citation and a confidence score.</w:t>
            </w:r>
          </w:p>
        </w:tc>
      </w:tr>
      <w:tr>
        <w:tc>
          <w:tcPr>
            <w:tcW w:type="dxa" w:w="9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FR-3.2</w:t>
            </w:r>
          </w:p>
        </w:tc>
        <w:tc>
          <w:tcPr>
            <w:tcW w:type="dxa" w:w="33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System explicitly surfaces alternative explanations, not only its top theory.</w:t>
            </w:r>
          </w:p>
        </w:tc>
        <w:tc>
          <w:tcPr>
            <w:tcW w:type="dxa" w:w="10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P0</w:t>
            </w:r>
          </w:p>
        </w:tc>
        <w:tc>
          <w:tcPr>
            <w:tcW w:type="dxa" w:w="41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UI displays at least one alternative theory alongside the primary one.</w:t>
            </w:r>
          </w:p>
        </w:tc>
      </w:tr>
      <w:tr>
        <w:tc>
          <w:tcPr>
            <w:tcW w:type="dxa" w:w="9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FR-3.3</w:t>
            </w:r>
          </w:p>
        </w:tc>
        <w:tc>
          <w:tcPr>
            <w:tcW w:type="dxa" w:w="3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Every reasoning output is logged for audit with the evidence snapshot version used.</w:t>
            </w:r>
          </w:p>
        </w:tc>
        <w:tc>
          <w:tcPr>
            <w:tcW w:type="dxa" w:w="1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P0</w:t>
            </w:r>
          </w:p>
        </w:tc>
        <w:tc>
          <w:tcPr>
            <w:tcW w:type="dxa" w:w="41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Audit log entry exists and is retrievable per reasoning output (ties to FR-9.x).</w:t>
            </w:r>
          </w:p>
        </w:tc>
      </w:tr>
    </w:tbl>
    <w:p>
      <w:pPr>
        <w:spacing w:after="160" w:before="0"/>
      </w:pPr>
    </w:p>
    <w:p>
      <w:pPr>
        <w:pStyle w:val="Heading2"/>
        <w:spacing w:after="140" w:before="300"/>
      </w:pPr>
      <w:r>
        <w:rPr>
          <w:b/>
          <w:bCs/>
          <w:color w:val="0B1E3F"/>
          <w:sz w:val="25"/>
          <w:szCs w:val="25"/>
        </w:rPr>
        <w:t xml:space="preserve">6.4 Analytics Dashboard &amp; Geospatial Intelligence  (Blueprint Phase 7)</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900"/>
        <w:gridCol w:w="3300"/>
        <w:gridCol w:w="1000"/>
        <w:gridCol w:w="4150"/>
      </w:tblGrid>
      <w:tr>
        <w:trPr>
          <w:tblHeader/>
        </w:trPr>
        <w:tc>
          <w:tcPr>
            <w:tcW w:type="dxa" w:w="900"/>
            <w:shd w:fill="0B1E3F" w:color="auto" w:val="clear"/>
            <w:tcMar>
              <w:top w:type="dxa" w:w="60"/>
              <w:left w:type="dxa" w:w="100"/>
              <w:bottom w:type="dxa" w:w="60"/>
              <w:right w:type="dxa" w:w="100"/>
            </w:tcMar>
          </w:tcPr>
          <w:p>
            <w:pPr>
              <w:spacing w:after="40" w:before="40" w:line="252"/>
            </w:pPr>
            <w:r>
              <w:rPr>
                <w:b/>
                <w:bCs/>
                <w:color w:val="FFFFFF"/>
                <w:sz w:val="19"/>
                <w:szCs w:val="19"/>
              </w:rPr>
              <w:t xml:space="preserve">ID</w:t>
            </w:r>
          </w:p>
        </w:tc>
        <w:tc>
          <w:tcPr>
            <w:tcW w:type="dxa" w:w="3300"/>
            <w:shd w:fill="0B1E3F" w:color="auto" w:val="clear"/>
            <w:tcMar>
              <w:top w:type="dxa" w:w="60"/>
              <w:left w:type="dxa" w:w="100"/>
              <w:bottom w:type="dxa" w:w="60"/>
              <w:right w:type="dxa" w:w="100"/>
            </w:tcMar>
          </w:tcPr>
          <w:p>
            <w:pPr>
              <w:spacing w:after="40" w:before="40" w:line="252"/>
            </w:pPr>
            <w:r>
              <w:rPr>
                <w:b/>
                <w:bCs/>
                <w:color w:val="FFFFFF"/>
                <w:sz w:val="19"/>
                <w:szCs w:val="19"/>
              </w:rPr>
              <w:t xml:space="preserve">Requirement</w:t>
            </w:r>
          </w:p>
        </w:tc>
        <w:tc>
          <w:tcPr>
            <w:tcW w:type="dxa" w:w="1000"/>
            <w:shd w:fill="0B1E3F" w:color="auto" w:val="clear"/>
            <w:tcMar>
              <w:top w:type="dxa" w:w="60"/>
              <w:left w:type="dxa" w:w="100"/>
              <w:bottom w:type="dxa" w:w="60"/>
              <w:right w:type="dxa" w:w="100"/>
            </w:tcMar>
          </w:tcPr>
          <w:p>
            <w:pPr>
              <w:spacing w:after="40" w:before="40" w:line="252"/>
            </w:pPr>
            <w:r>
              <w:rPr>
                <w:b/>
                <w:bCs/>
                <w:color w:val="FFFFFF"/>
                <w:sz w:val="19"/>
                <w:szCs w:val="19"/>
              </w:rPr>
              <w:t xml:space="preserve">Priority</w:t>
            </w:r>
          </w:p>
        </w:tc>
        <w:tc>
          <w:tcPr>
            <w:tcW w:type="dxa" w:w="4150"/>
            <w:shd w:fill="0B1E3F" w:color="auto" w:val="clear"/>
            <w:tcMar>
              <w:top w:type="dxa" w:w="60"/>
              <w:left w:type="dxa" w:w="100"/>
              <w:bottom w:type="dxa" w:w="60"/>
              <w:right w:type="dxa" w:w="100"/>
            </w:tcMar>
          </w:tcPr>
          <w:p>
            <w:pPr>
              <w:spacing w:after="40" w:before="40" w:line="252"/>
            </w:pPr>
            <w:r>
              <w:rPr>
                <w:b/>
                <w:bCs/>
                <w:color w:val="FFFFFF"/>
                <w:sz w:val="19"/>
                <w:szCs w:val="19"/>
              </w:rPr>
              <w:t xml:space="preserve">Acceptance Criteria</w:t>
            </w:r>
          </w:p>
        </w:tc>
      </w:tr>
      <w:tr>
        <w:tc>
          <w:tcPr>
            <w:tcW w:type="dxa" w:w="9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FR-4.1</w:t>
            </w:r>
          </w:p>
        </w:tc>
        <w:tc>
          <w:tcPr>
            <w:tcW w:type="dxa" w:w="3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Dashboard shows a crime hotspot heatmap at district → station → beat granularity.</w:t>
            </w:r>
          </w:p>
        </w:tc>
        <w:tc>
          <w:tcPr>
            <w:tcW w:type="dxa" w:w="1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P0</w:t>
            </w:r>
          </w:p>
        </w:tc>
        <w:tc>
          <w:tcPr>
            <w:tcW w:type="dxa" w:w="41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Heatmap renders from CaseMaster.latitude/longitude with correct point-level accuracy where present, district-level fallback elsewhere.</w:t>
            </w:r>
          </w:p>
        </w:tc>
      </w:tr>
      <w:tr>
        <w:tc>
          <w:tcPr>
            <w:tcW w:type="dxa" w:w="9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FR-4.2</w:t>
            </w:r>
          </w:p>
        </w:tc>
        <w:tc>
          <w:tcPr>
            <w:tcW w:type="dxa" w:w="33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Dashboard includes 7+ interactive charts (trend, category mix, comparison) with cross-filtering.</w:t>
            </w:r>
          </w:p>
        </w:tc>
        <w:tc>
          <w:tcPr>
            <w:tcW w:type="dxa" w:w="10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P0</w:t>
            </w:r>
          </w:p>
        </w:tc>
        <w:tc>
          <w:tcPr>
            <w:tcW w:type="dxa" w:w="41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Selecting a filter on one chart updates all others on the same view within 500ms.</w:t>
            </w:r>
          </w:p>
        </w:tc>
      </w:tr>
      <w:tr>
        <w:tc>
          <w:tcPr>
            <w:tcW w:type="dxa" w:w="9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FR-4.3</w:t>
            </w:r>
          </w:p>
        </w:tc>
        <w:tc>
          <w:tcPr>
            <w:tcW w:type="dxa" w:w="3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A time slider lets the user scrub historical trend data.</w:t>
            </w:r>
          </w:p>
        </w:tc>
        <w:tc>
          <w:tcPr>
            <w:tcW w:type="dxa" w:w="1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P1</w:t>
            </w:r>
          </w:p>
        </w:tc>
        <w:tc>
          <w:tcPr>
            <w:tcW w:type="dxa" w:w="41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Slider updates the heatmap and charts in sync.</w:t>
            </w:r>
          </w:p>
        </w:tc>
      </w:tr>
    </w:tbl>
    <w:p>
      <w:pPr>
        <w:spacing w:after="160" w:before="0"/>
      </w:pPr>
    </w:p>
    <w:p>
      <w:pPr>
        <w:pStyle w:val="Heading2"/>
        <w:spacing w:after="140" w:before="300"/>
      </w:pPr>
      <w:r>
        <w:rPr>
          <w:b/>
          <w:bCs/>
          <w:color w:val="0B1E3F"/>
          <w:sz w:val="25"/>
          <w:szCs w:val="25"/>
        </w:rPr>
        <w:t xml:space="preserve">6.5 Offender Profiling &amp; Case Management  (Blueprint Phase 8)</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900"/>
        <w:gridCol w:w="3300"/>
        <w:gridCol w:w="1000"/>
        <w:gridCol w:w="4150"/>
      </w:tblGrid>
      <w:tr>
        <w:trPr>
          <w:tblHeader/>
        </w:trPr>
        <w:tc>
          <w:tcPr>
            <w:tcW w:type="dxa" w:w="900"/>
            <w:shd w:fill="0B1E3F" w:color="auto" w:val="clear"/>
            <w:tcMar>
              <w:top w:type="dxa" w:w="60"/>
              <w:left w:type="dxa" w:w="100"/>
              <w:bottom w:type="dxa" w:w="60"/>
              <w:right w:type="dxa" w:w="100"/>
            </w:tcMar>
          </w:tcPr>
          <w:p>
            <w:pPr>
              <w:spacing w:after="40" w:before="40" w:line="252"/>
            </w:pPr>
            <w:r>
              <w:rPr>
                <w:b/>
                <w:bCs/>
                <w:color w:val="FFFFFF"/>
                <w:sz w:val="19"/>
                <w:szCs w:val="19"/>
              </w:rPr>
              <w:t xml:space="preserve">ID</w:t>
            </w:r>
          </w:p>
        </w:tc>
        <w:tc>
          <w:tcPr>
            <w:tcW w:type="dxa" w:w="3300"/>
            <w:shd w:fill="0B1E3F" w:color="auto" w:val="clear"/>
            <w:tcMar>
              <w:top w:type="dxa" w:w="60"/>
              <w:left w:type="dxa" w:w="100"/>
              <w:bottom w:type="dxa" w:w="60"/>
              <w:right w:type="dxa" w:w="100"/>
            </w:tcMar>
          </w:tcPr>
          <w:p>
            <w:pPr>
              <w:spacing w:after="40" w:before="40" w:line="252"/>
            </w:pPr>
            <w:r>
              <w:rPr>
                <w:b/>
                <w:bCs/>
                <w:color w:val="FFFFFF"/>
                <w:sz w:val="19"/>
                <w:szCs w:val="19"/>
              </w:rPr>
              <w:t xml:space="preserve">Requirement</w:t>
            </w:r>
          </w:p>
        </w:tc>
        <w:tc>
          <w:tcPr>
            <w:tcW w:type="dxa" w:w="1000"/>
            <w:shd w:fill="0B1E3F" w:color="auto" w:val="clear"/>
            <w:tcMar>
              <w:top w:type="dxa" w:w="60"/>
              <w:left w:type="dxa" w:w="100"/>
              <w:bottom w:type="dxa" w:w="60"/>
              <w:right w:type="dxa" w:w="100"/>
            </w:tcMar>
          </w:tcPr>
          <w:p>
            <w:pPr>
              <w:spacing w:after="40" w:before="40" w:line="252"/>
            </w:pPr>
            <w:r>
              <w:rPr>
                <w:b/>
                <w:bCs/>
                <w:color w:val="FFFFFF"/>
                <w:sz w:val="19"/>
                <w:szCs w:val="19"/>
              </w:rPr>
              <w:t xml:space="preserve">Priority</w:t>
            </w:r>
          </w:p>
        </w:tc>
        <w:tc>
          <w:tcPr>
            <w:tcW w:type="dxa" w:w="4150"/>
            <w:shd w:fill="0B1E3F" w:color="auto" w:val="clear"/>
            <w:tcMar>
              <w:top w:type="dxa" w:w="60"/>
              <w:left w:type="dxa" w:w="100"/>
              <w:bottom w:type="dxa" w:w="60"/>
              <w:right w:type="dxa" w:w="100"/>
            </w:tcMar>
          </w:tcPr>
          <w:p>
            <w:pPr>
              <w:spacing w:after="40" w:before="40" w:line="252"/>
            </w:pPr>
            <w:r>
              <w:rPr>
                <w:b/>
                <w:bCs/>
                <w:color w:val="FFFFFF"/>
                <w:sz w:val="19"/>
                <w:szCs w:val="19"/>
              </w:rPr>
              <w:t xml:space="preserve">Acceptance Criteria</w:t>
            </w:r>
          </w:p>
        </w:tc>
      </w:tr>
      <w:tr>
        <w:tc>
          <w:tcPr>
            <w:tcW w:type="dxa" w:w="9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FR-5.1</w:t>
            </w:r>
          </w:p>
        </w:tc>
        <w:tc>
          <w:tcPr>
            <w:tcW w:type="dxa" w:w="3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System generates an offender profile with a computed recidivism/risk score and case history.</w:t>
            </w:r>
          </w:p>
        </w:tc>
        <w:tc>
          <w:tcPr>
            <w:tcW w:type="dxa" w:w="1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P0</w:t>
            </w:r>
          </w:p>
        </w:tc>
        <w:tc>
          <w:tcPr>
            <w:tcW w:type="dxa" w:w="41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Profile score recalculates automatically as new cases link to the person.</w:t>
            </w:r>
          </w:p>
        </w:tc>
      </w:tr>
      <w:tr>
        <w:tc>
          <w:tcPr>
            <w:tcW w:type="dxa" w:w="9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FR-5.2</w:t>
            </w:r>
          </w:p>
        </w:tc>
        <w:tc>
          <w:tcPr>
            <w:tcW w:type="dxa" w:w="33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System surfaces similar past cases by outcome and MO similarity.</w:t>
            </w:r>
          </w:p>
        </w:tc>
        <w:tc>
          <w:tcPr>
            <w:tcW w:type="dxa" w:w="10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P1</w:t>
            </w:r>
          </w:p>
        </w:tc>
        <w:tc>
          <w:tcPr>
            <w:tcW w:type="dxa" w:w="41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Top-5 similar cases ranked by a documented similarity metric.</w:t>
            </w:r>
          </w:p>
        </w:tc>
      </w:tr>
      <w:tr>
        <w:tc>
          <w:tcPr>
            <w:tcW w:type="dxa" w:w="9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FR-5.3</w:t>
            </w:r>
          </w:p>
        </w:tc>
        <w:tc>
          <w:tcPr>
            <w:tcW w:type="dxa" w:w="3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Case management view tracks status, assigned officer, and chargesheet outcome.</w:t>
            </w:r>
          </w:p>
        </w:tc>
        <w:tc>
          <w:tcPr>
            <w:tcW w:type="dxa" w:w="1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P0</w:t>
            </w:r>
          </w:p>
        </w:tc>
        <w:tc>
          <w:tcPr>
            <w:tcW w:type="dxa" w:w="41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Status updates are reflected in the profile and dashboard without manual resync.</w:t>
            </w:r>
          </w:p>
        </w:tc>
      </w:tr>
    </w:tbl>
    <w:p>
      <w:pPr>
        <w:spacing w:after="160" w:before="0"/>
      </w:pPr>
    </w:p>
    <w:p>
      <w:pPr>
        <w:pStyle w:val="Heading2"/>
        <w:spacing w:after="140" w:before="300"/>
      </w:pPr>
      <w:r>
        <w:rPr>
          <w:b/>
          <w:bCs/>
          <w:color w:val="0B1E3F"/>
          <w:sz w:val="25"/>
          <w:szCs w:val="25"/>
        </w:rPr>
        <w:t xml:space="preserve">6.6 Financial Crime &amp; Transaction Analysis  (Blueprint Phase 9)</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900"/>
        <w:gridCol w:w="3300"/>
        <w:gridCol w:w="1000"/>
        <w:gridCol w:w="4150"/>
      </w:tblGrid>
      <w:tr>
        <w:trPr>
          <w:tblHeader/>
        </w:trPr>
        <w:tc>
          <w:tcPr>
            <w:tcW w:type="dxa" w:w="900"/>
            <w:shd w:fill="0B1E3F" w:color="auto" w:val="clear"/>
            <w:tcMar>
              <w:top w:type="dxa" w:w="60"/>
              <w:left w:type="dxa" w:w="100"/>
              <w:bottom w:type="dxa" w:w="60"/>
              <w:right w:type="dxa" w:w="100"/>
            </w:tcMar>
          </w:tcPr>
          <w:p>
            <w:pPr>
              <w:spacing w:after="40" w:before="40" w:line="252"/>
            </w:pPr>
            <w:r>
              <w:rPr>
                <w:b/>
                <w:bCs/>
                <w:color w:val="FFFFFF"/>
                <w:sz w:val="19"/>
                <w:szCs w:val="19"/>
              </w:rPr>
              <w:t xml:space="preserve">ID</w:t>
            </w:r>
          </w:p>
        </w:tc>
        <w:tc>
          <w:tcPr>
            <w:tcW w:type="dxa" w:w="3300"/>
            <w:shd w:fill="0B1E3F" w:color="auto" w:val="clear"/>
            <w:tcMar>
              <w:top w:type="dxa" w:w="60"/>
              <w:left w:type="dxa" w:w="100"/>
              <w:bottom w:type="dxa" w:w="60"/>
              <w:right w:type="dxa" w:w="100"/>
            </w:tcMar>
          </w:tcPr>
          <w:p>
            <w:pPr>
              <w:spacing w:after="40" w:before="40" w:line="252"/>
            </w:pPr>
            <w:r>
              <w:rPr>
                <w:b/>
                <w:bCs/>
                <w:color w:val="FFFFFF"/>
                <w:sz w:val="19"/>
                <w:szCs w:val="19"/>
              </w:rPr>
              <w:t xml:space="preserve">Requirement</w:t>
            </w:r>
          </w:p>
        </w:tc>
        <w:tc>
          <w:tcPr>
            <w:tcW w:type="dxa" w:w="1000"/>
            <w:shd w:fill="0B1E3F" w:color="auto" w:val="clear"/>
            <w:tcMar>
              <w:top w:type="dxa" w:w="60"/>
              <w:left w:type="dxa" w:w="100"/>
              <w:bottom w:type="dxa" w:w="60"/>
              <w:right w:type="dxa" w:w="100"/>
            </w:tcMar>
          </w:tcPr>
          <w:p>
            <w:pPr>
              <w:spacing w:after="40" w:before="40" w:line="252"/>
            </w:pPr>
            <w:r>
              <w:rPr>
                <w:b/>
                <w:bCs/>
                <w:color w:val="FFFFFF"/>
                <w:sz w:val="19"/>
                <w:szCs w:val="19"/>
              </w:rPr>
              <w:t xml:space="preserve">Priority</w:t>
            </w:r>
          </w:p>
        </w:tc>
        <w:tc>
          <w:tcPr>
            <w:tcW w:type="dxa" w:w="4150"/>
            <w:shd w:fill="0B1E3F" w:color="auto" w:val="clear"/>
            <w:tcMar>
              <w:top w:type="dxa" w:w="60"/>
              <w:left w:type="dxa" w:w="100"/>
              <w:bottom w:type="dxa" w:w="60"/>
              <w:right w:type="dxa" w:w="100"/>
            </w:tcMar>
          </w:tcPr>
          <w:p>
            <w:pPr>
              <w:spacing w:after="40" w:before="40" w:line="252"/>
            </w:pPr>
            <w:r>
              <w:rPr>
                <w:b/>
                <w:bCs/>
                <w:color w:val="FFFFFF"/>
                <w:sz w:val="19"/>
                <w:szCs w:val="19"/>
              </w:rPr>
              <w:t xml:space="preserve">Acceptance Criteria</w:t>
            </w:r>
          </w:p>
        </w:tc>
      </w:tr>
      <w:tr>
        <w:tc>
          <w:tcPr>
            <w:tcW w:type="dxa" w:w="9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FR-6.1</w:t>
            </w:r>
          </w:p>
        </w:tc>
        <w:tc>
          <w:tcPr>
            <w:tcW w:type="dxa" w:w="3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System visualises money-trail flows between entities as a Sankey diagram.</w:t>
            </w:r>
          </w:p>
        </w:tc>
        <w:tc>
          <w:tcPr>
            <w:tcW w:type="dxa" w:w="1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P1</w:t>
            </w:r>
          </w:p>
        </w:tc>
        <w:tc>
          <w:tcPr>
            <w:tcW w:type="dxa" w:w="41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Seeded circular-flow scenario renders correctly and is visually distinguishable from a linear flow.</w:t>
            </w:r>
          </w:p>
        </w:tc>
      </w:tr>
      <w:tr>
        <w:tc>
          <w:tcPr>
            <w:tcW w:type="dxa" w:w="9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FR-6.2</w:t>
            </w:r>
          </w:p>
        </w:tc>
        <w:tc>
          <w:tcPr>
            <w:tcW w:type="dxa" w:w="33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System flags potential mule-account patterns.</w:t>
            </w:r>
          </w:p>
        </w:tc>
        <w:tc>
          <w:tcPr>
            <w:tcW w:type="dxa" w:w="10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P1</w:t>
            </w:r>
          </w:p>
        </w:tc>
        <w:tc>
          <w:tcPr>
            <w:tcW w:type="dxa" w:w="41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Seeded mule scenario is flagged with a documented rule/score basis.</w:t>
            </w:r>
          </w:p>
        </w:tc>
      </w:tr>
    </w:tbl>
    <w:p>
      <w:pPr>
        <w:spacing w:after="160" w:before="0"/>
      </w:pPr>
    </w:p>
    <w:p>
      <w:pPr>
        <w:pStyle w:val="Heading2"/>
        <w:spacing w:after="140" w:before="300"/>
      </w:pPr>
      <w:r>
        <w:rPr>
          <w:b/>
          <w:bCs/>
          <w:color w:val="0B1E3F"/>
          <w:sz w:val="25"/>
          <w:szCs w:val="25"/>
        </w:rPr>
        <w:t xml:space="preserve">6.7 Forecasting &amp; Alerts  (Blueprint Phase 10)</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900"/>
        <w:gridCol w:w="3300"/>
        <w:gridCol w:w="1000"/>
        <w:gridCol w:w="4150"/>
      </w:tblGrid>
      <w:tr>
        <w:trPr>
          <w:tblHeader/>
        </w:trPr>
        <w:tc>
          <w:tcPr>
            <w:tcW w:type="dxa" w:w="900"/>
            <w:shd w:fill="0B1E3F" w:color="auto" w:val="clear"/>
            <w:tcMar>
              <w:top w:type="dxa" w:w="60"/>
              <w:left w:type="dxa" w:w="100"/>
              <w:bottom w:type="dxa" w:w="60"/>
              <w:right w:type="dxa" w:w="100"/>
            </w:tcMar>
          </w:tcPr>
          <w:p>
            <w:pPr>
              <w:spacing w:after="40" w:before="40" w:line="252"/>
            </w:pPr>
            <w:r>
              <w:rPr>
                <w:b/>
                <w:bCs/>
                <w:color w:val="FFFFFF"/>
                <w:sz w:val="19"/>
                <w:szCs w:val="19"/>
              </w:rPr>
              <w:t xml:space="preserve">ID</w:t>
            </w:r>
          </w:p>
        </w:tc>
        <w:tc>
          <w:tcPr>
            <w:tcW w:type="dxa" w:w="3300"/>
            <w:shd w:fill="0B1E3F" w:color="auto" w:val="clear"/>
            <w:tcMar>
              <w:top w:type="dxa" w:w="60"/>
              <w:left w:type="dxa" w:w="100"/>
              <w:bottom w:type="dxa" w:w="60"/>
              <w:right w:type="dxa" w:w="100"/>
            </w:tcMar>
          </w:tcPr>
          <w:p>
            <w:pPr>
              <w:spacing w:after="40" w:before="40" w:line="252"/>
            </w:pPr>
            <w:r>
              <w:rPr>
                <w:b/>
                <w:bCs/>
                <w:color w:val="FFFFFF"/>
                <w:sz w:val="19"/>
                <w:szCs w:val="19"/>
              </w:rPr>
              <w:t xml:space="preserve">Requirement</w:t>
            </w:r>
          </w:p>
        </w:tc>
        <w:tc>
          <w:tcPr>
            <w:tcW w:type="dxa" w:w="1000"/>
            <w:shd w:fill="0B1E3F" w:color="auto" w:val="clear"/>
            <w:tcMar>
              <w:top w:type="dxa" w:w="60"/>
              <w:left w:type="dxa" w:w="100"/>
              <w:bottom w:type="dxa" w:w="60"/>
              <w:right w:type="dxa" w:w="100"/>
            </w:tcMar>
          </w:tcPr>
          <w:p>
            <w:pPr>
              <w:spacing w:after="40" w:before="40" w:line="252"/>
            </w:pPr>
            <w:r>
              <w:rPr>
                <w:b/>
                <w:bCs/>
                <w:color w:val="FFFFFF"/>
                <w:sz w:val="19"/>
                <w:szCs w:val="19"/>
              </w:rPr>
              <w:t xml:space="preserve">Priority</w:t>
            </w:r>
          </w:p>
        </w:tc>
        <w:tc>
          <w:tcPr>
            <w:tcW w:type="dxa" w:w="4150"/>
            <w:shd w:fill="0B1E3F" w:color="auto" w:val="clear"/>
            <w:tcMar>
              <w:top w:type="dxa" w:w="60"/>
              <w:left w:type="dxa" w:w="100"/>
              <w:bottom w:type="dxa" w:w="60"/>
              <w:right w:type="dxa" w:w="100"/>
            </w:tcMar>
          </w:tcPr>
          <w:p>
            <w:pPr>
              <w:spacing w:after="40" w:before="40" w:line="252"/>
            </w:pPr>
            <w:r>
              <w:rPr>
                <w:b/>
                <w:bCs/>
                <w:color w:val="FFFFFF"/>
                <w:sz w:val="19"/>
                <w:szCs w:val="19"/>
              </w:rPr>
              <w:t xml:space="preserve">Acceptance Criteria</w:t>
            </w:r>
          </w:p>
        </w:tc>
      </w:tr>
      <w:tr>
        <w:tc>
          <w:tcPr>
            <w:tcW w:type="dxa" w:w="9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FR-7.1</w:t>
            </w:r>
          </w:p>
        </w:tc>
        <w:tc>
          <w:tcPr>
            <w:tcW w:type="dxa" w:w="3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System forecasts near-term crime-risk trends by area/category.</w:t>
            </w:r>
          </w:p>
        </w:tc>
        <w:tc>
          <w:tcPr>
            <w:tcW w:type="dxa" w:w="1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P0</w:t>
            </w:r>
          </w:p>
        </w:tc>
        <w:tc>
          <w:tcPr>
            <w:tcW w:type="dxa" w:w="41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Forecast heatmap generated on a documented cadence (nightly + event-triggered).</w:t>
            </w:r>
          </w:p>
        </w:tc>
      </w:tr>
      <w:tr>
        <w:tc>
          <w:tcPr>
            <w:tcW w:type="dxa" w:w="9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FR-7.2</w:t>
            </w:r>
          </w:p>
        </w:tc>
        <w:tc>
          <w:tcPr>
            <w:tcW w:type="dxa" w:w="33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System raises an alert to the relevant Supervisor role when a risk threshold is crossed.</w:t>
            </w:r>
          </w:p>
        </w:tc>
        <w:tc>
          <w:tcPr>
            <w:tcW w:type="dxa" w:w="10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P0</w:t>
            </w:r>
          </w:p>
        </w:tc>
        <w:tc>
          <w:tcPr>
            <w:tcW w:type="dxa" w:w="41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Alert delivered via in-app + push notification within a defined SLA of threshold breach.</w:t>
            </w:r>
          </w:p>
        </w:tc>
      </w:tr>
    </w:tbl>
    <w:p>
      <w:pPr>
        <w:spacing w:after="160" w:before="0"/>
      </w:pPr>
    </w:p>
    <w:p>
      <w:pPr>
        <w:pStyle w:val="Heading2"/>
        <w:spacing w:after="140" w:before="300"/>
      </w:pPr>
      <w:r>
        <w:rPr>
          <w:b/>
          <w:bCs/>
          <w:color w:val="0B1E3F"/>
          <w:sz w:val="25"/>
          <w:szCs w:val="25"/>
        </w:rPr>
        <w:t xml:space="preserve">6.8 Bilingual Support (English + Kannada)  (Blueprint Phase 11)</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900"/>
        <w:gridCol w:w="3300"/>
        <w:gridCol w:w="1000"/>
        <w:gridCol w:w="4150"/>
      </w:tblGrid>
      <w:tr>
        <w:trPr>
          <w:tblHeader/>
        </w:trPr>
        <w:tc>
          <w:tcPr>
            <w:tcW w:type="dxa" w:w="900"/>
            <w:shd w:fill="0B1E3F" w:color="auto" w:val="clear"/>
            <w:tcMar>
              <w:top w:type="dxa" w:w="60"/>
              <w:left w:type="dxa" w:w="100"/>
              <w:bottom w:type="dxa" w:w="60"/>
              <w:right w:type="dxa" w:w="100"/>
            </w:tcMar>
          </w:tcPr>
          <w:p>
            <w:pPr>
              <w:spacing w:after="40" w:before="40" w:line="252"/>
            </w:pPr>
            <w:r>
              <w:rPr>
                <w:b/>
                <w:bCs/>
                <w:color w:val="FFFFFF"/>
                <w:sz w:val="19"/>
                <w:szCs w:val="19"/>
              </w:rPr>
              <w:t xml:space="preserve">ID</w:t>
            </w:r>
          </w:p>
        </w:tc>
        <w:tc>
          <w:tcPr>
            <w:tcW w:type="dxa" w:w="3300"/>
            <w:shd w:fill="0B1E3F" w:color="auto" w:val="clear"/>
            <w:tcMar>
              <w:top w:type="dxa" w:w="60"/>
              <w:left w:type="dxa" w:w="100"/>
              <w:bottom w:type="dxa" w:w="60"/>
              <w:right w:type="dxa" w:w="100"/>
            </w:tcMar>
          </w:tcPr>
          <w:p>
            <w:pPr>
              <w:spacing w:after="40" w:before="40" w:line="252"/>
            </w:pPr>
            <w:r>
              <w:rPr>
                <w:b/>
                <w:bCs/>
                <w:color w:val="FFFFFF"/>
                <w:sz w:val="19"/>
                <w:szCs w:val="19"/>
              </w:rPr>
              <w:t xml:space="preserve">Requirement</w:t>
            </w:r>
          </w:p>
        </w:tc>
        <w:tc>
          <w:tcPr>
            <w:tcW w:type="dxa" w:w="1000"/>
            <w:shd w:fill="0B1E3F" w:color="auto" w:val="clear"/>
            <w:tcMar>
              <w:top w:type="dxa" w:w="60"/>
              <w:left w:type="dxa" w:w="100"/>
              <w:bottom w:type="dxa" w:w="60"/>
              <w:right w:type="dxa" w:w="100"/>
            </w:tcMar>
          </w:tcPr>
          <w:p>
            <w:pPr>
              <w:spacing w:after="40" w:before="40" w:line="252"/>
            </w:pPr>
            <w:r>
              <w:rPr>
                <w:b/>
                <w:bCs/>
                <w:color w:val="FFFFFF"/>
                <w:sz w:val="19"/>
                <w:szCs w:val="19"/>
              </w:rPr>
              <w:t xml:space="preserve">Priority</w:t>
            </w:r>
          </w:p>
        </w:tc>
        <w:tc>
          <w:tcPr>
            <w:tcW w:type="dxa" w:w="4150"/>
            <w:shd w:fill="0B1E3F" w:color="auto" w:val="clear"/>
            <w:tcMar>
              <w:top w:type="dxa" w:w="60"/>
              <w:left w:type="dxa" w:w="100"/>
              <w:bottom w:type="dxa" w:w="60"/>
              <w:right w:type="dxa" w:w="100"/>
            </w:tcMar>
          </w:tcPr>
          <w:p>
            <w:pPr>
              <w:spacing w:after="40" w:before="40" w:line="252"/>
            </w:pPr>
            <w:r>
              <w:rPr>
                <w:b/>
                <w:bCs/>
                <w:color w:val="FFFFFF"/>
                <w:sz w:val="19"/>
                <w:szCs w:val="19"/>
              </w:rPr>
              <w:t xml:space="preserve">Acceptance Criteria</w:t>
            </w:r>
          </w:p>
        </w:tc>
      </w:tr>
      <w:tr>
        <w:tc>
          <w:tcPr>
            <w:tcW w:type="dxa" w:w="9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FR-8.1</w:t>
            </w:r>
          </w:p>
        </w:tc>
        <w:tc>
          <w:tcPr>
            <w:tcW w:type="dxa" w:w="3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Every user-facing screen and the chat/voice interface has full English–Kannada parity.</w:t>
            </w:r>
          </w:p>
        </w:tc>
        <w:tc>
          <w:tcPr>
            <w:tcW w:type="dxa" w:w="1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P1</w:t>
            </w:r>
          </w:p>
        </w:tc>
        <w:tc>
          <w:tcPr>
            <w:tcW w:type="dxa" w:w="41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No untranslated UI strings in a full-screen audit; Kannada chat answers are grammatically coherent, not machine-literal.</w:t>
            </w:r>
          </w:p>
        </w:tc>
      </w:tr>
    </w:tbl>
    <w:p>
      <w:pPr>
        <w:spacing w:after="160" w:before="0"/>
      </w:pPr>
    </w:p>
    <w:p>
      <w:pPr>
        <w:pStyle w:val="Heading2"/>
        <w:spacing w:after="140" w:before="300"/>
      </w:pPr>
      <w:r>
        <w:rPr>
          <w:b/>
          <w:bCs/>
          <w:color w:val="0B1E3F"/>
          <w:sz w:val="25"/>
          <w:szCs w:val="25"/>
        </w:rPr>
        <w:t xml:space="preserve">6.9 Explainability, Audit &amp; Governance  (Blueprint Phase 12, 0.15, 0.16)</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900"/>
        <w:gridCol w:w="3300"/>
        <w:gridCol w:w="1000"/>
        <w:gridCol w:w="4150"/>
      </w:tblGrid>
      <w:tr>
        <w:trPr>
          <w:tblHeader/>
        </w:trPr>
        <w:tc>
          <w:tcPr>
            <w:tcW w:type="dxa" w:w="900"/>
            <w:shd w:fill="0B1E3F" w:color="auto" w:val="clear"/>
            <w:tcMar>
              <w:top w:type="dxa" w:w="60"/>
              <w:left w:type="dxa" w:w="100"/>
              <w:bottom w:type="dxa" w:w="60"/>
              <w:right w:type="dxa" w:w="100"/>
            </w:tcMar>
          </w:tcPr>
          <w:p>
            <w:pPr>
              <w:spacing w:after="40" w:before="40" w:line="252"/>
            </w:pPr>
            <w:r>
              <w:rPr>
                <w:b/>
                <w:bCs/>
                <w:color w:val="FFFFFF"/>
                <w:sz w:val="19"/>
                <w:szCs w:val="19"/>
              </w:rPr>
              <w:t xml:space="preserve">ID</w:t>
            </w:r>
          </w:p>
        </w:tc>
        <w:tc>
          <w:tcPr>
            <w:tcW w:type="dxa" w:w="3300"/>
            <w:shd w:fill="0B1E3F" w:color="auto" w:val="clear"/>
            <w:tcMar>
              <w:top w:type="dxa" w:w="60"/>
              <w:left w:type="dxa" w:w="100"/>
              <w:bottom w:type="dxa" w:w="60"/>
              <w:right w:type="dxa" w:w="100"/>
            </w:tcMar>
          </w:tcPr>
          <w:p>
            <w:pPr>
              <w:spacing w:after="40" w:before="40" w:line="252"/>
            </w:pPr>
            <w:r>
              <w:rPr>
                <w:b/>
                <w:bCs/>
                <w:color w:val="FFFFFF"/>
                <w:sz w:val="19"/>
                <w:szCs w:val="19"/>
              </w:rPr>
              <w:t xml:space="preserve">Requirement</w:t>
            </w:r>
          </w:p>
        </w:tc>
        <w:tc>
          <w:tcPr>
            <w:tcW w:type="dxa" w:w="1000"/>
            <w:shd w:fill="0B1E3F" w:color="auto" w:val="clear"/>
            <w:tcMar>
              <w:top w:type="dxa" w:w="60"/>
              <w:left w:type="dxa" w:w="100"/>
              <w:bottom w:type="dxa" w:w="60"/>
              <w:right w:type="dxa" w:w="100"/>
            </w:tcMar>
          </w:tcPr>
          <w:p>
            <w:pPr>
              <w:spacing w:after="40" w:before="40" w:line="252"/>
            </w:pPr>
            <w:r>
              <w:rPr>
                <w:b/>
                <w:bCs/>
                <w:color w:val="FFFFFF"/>
                <w:sz w:val="19"/>
                <w:szCs w:val="19"/>
              </w:rPr>
              <w:t xml:space="preserve">Priority</w:t>
            </w:r>
          </w:p>
        </w:tc>
        <w:tc>
          <w:tcPr>
            <w:tcW w:type="dxa" w:w="4150"/>
            <w:shd w:fill="0B1E3F" w:color="auto" w:val="clear"/>
            <w:tcMar>
              <w:top w:type="dxa" w:w="60"/>
              <w:left w:type="dxa" w:w="100"/>
              <w:bottom w:type="dxa" w:w="60"/>
              <w:right w:type="dxa" w:w="100"/>
            </w:tcMar>
          </w:tcPr>
          <w:p>
            <w:pPr>
              <w:spacing w:after="40" w:before="40" w:line="252"/>
            </w:pPr>
            <w:r>
              <w:rPr>
                <w:b/>
                <w:bCs/>
                <w:color w:val="FFFFFF"/>
                <w:sz w:val="19"/>
                <w:szCs w:val="19"/>
              </w:rPr>
              <w:t xml:space="preserve">Acceptance Criteria</w:t>
            </w:r>
          </w:p>
        </w:tc>
      </w:tr>
      <w:tr>
        <w:tc>
          <w:tcPr>
            <w:tcW w:type="dxa" w:w="9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FR-9.1</w:t>
            </w:r>
          </w:p>
        </w:tc>
        <w:tc>
          <w:tcPr>
            <w:tcW w:type="dxa" w:w="3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Every AI answer displays an explainability badge indicating which retrievers and evidence contributed.</w:t>
            </w:r>
          </w:p>
        </w:tc>
        <w:tc>
          <w:tcPr>
            <w:tcW w:type="dxa" w:w="1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P0</w:t>
            </w:r>
          </w:p>
        </w:tc>
        <w:tc>
          <w:tcPr>
            <w:tcW w:type="dxa" w:w="41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Badge present on 100% of AI-generated answers.</w:t>
            </w:r>
          </w:p>
        </w:tc>
      </w:tr>
      <w:tr>
        <w:tc>
          <w:tcPr>
            <w:tcW w:type="dxa" w:w="9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FR-9.2</w:t>
            </w:r>
          </w:p>
        </w:tc>
        <w:tc>
          <w:tcPr>
            <w:tcW w:type="dxa" w:w="33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Every data retrieval — not only UI navigation — is captured in an audit log with who/what/when/which rows.</w:t>
            </w:r>
          </w:p>
        </w:tc>
        <w:tc>
          <w:tcPr>
            <w:tcW w:type="dxa" w:w="10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P0</w:t>
            </w:r>
          </w:p>
        </w:tc>
        <w:tc>
          <w:tcPr>
            <w:tcW w:type="dxa" w:w="41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Audit log entry verified for a sampled query against a crafted cross-district access attempt.</w:t>
            </w:r>
          </w:p>
        </w:tc>
      </w:tr>
      <w:tr>
        <w:tc>
          <w:tcPr>
            <w:tcW w:type="dxa" w:w="9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FR-9.3</w:t>
            </w:r>
          </w:p>
        </w:tc>
        <w:tc>
          <w:tcPr>
            <w:tcW w:type="dxa" w:w="3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Sensitive fields (caste, religion, juvenile/sensitive-crime victim identity, informant identity) are masked by default and require an explicit, logged reveal action.</w:t>
            </w:r>
          </w:p>
        </w:tc>
        <w:tc>
          <w:tcPr>
            <w:tcW w:type="dxa" w:w="1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P0</w:t>
            </w:r>
          </w:p>
        </w:tc>
        <w:tc>
          <w:tcPr>
            <w:tcW w:type="dxa" w:w="41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Masked field cannot be read from the API response or UI without a successful, audited reveal.</w:t>
            </w:r>
          </w:p>
        </w:tc>
      </w:tr>
    </w:tbl>
    <w:p>
      <w:pPr>
        <w:spacing w:after="160" w:before="0"/>
      </w:pPr>
    </w:p>
    <w:p>
      <w:pPr>
        <w:pStyle w:val="Heading2"/>
        <w:spacing w:after="140" w:before="300"/>
      </w:pPr>
      <w:r>
        <w:rPr>
          <w:b/>
          <w:bCs/>
          <w:color w:val="0B1E3F"/>
          <w:sz w:val="25"/>
          <w:szCs w:val="25"/>
        </w:rPr>
        <w:t xml:space="preserve">6.10 Reports &amp; Export  (Blueprint Phase 13)</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900"/>
        <w:gridCol w:w="3300"/>
        <w:gridCol w:w="1000"/>
        <w:gridCol w:w="4150"/>
      </w:tblGrid>
      <w:tr>
        <w:trPr>
          <w:tblHeader/>
        </w:trPr>
        <w:tc>
          <w:tcPr>
            <w:tcW w:type="dxa" w:w="900"/>
            <w:shd w:fill="0B1E3F" w:color="auto" w:val="clear"/>
            <w:tcMar>
              <w:top w:type="dxa" w:w="60"/>
              <w:left w:type="dxa" w:w="100"/>
              <w:bottom w:type="dxa" w:w="60"/>
              <w:right w:type="dxa" w:w="100"/>
            </w:tcMar>
          </w:tcPr>
          <w:p>
            <w:pPr>
              <w:spacing w:after="40" w:before="40" w:line="252"/>
            </w:pPr>
            <w:r>
              <w:rPr>
                <w:b/>
                <w:bCs/>
                <w:color w:val="FFFFFF"/>
                <w:sz w:val="19"/>
                <w:szCs w:val="19"/>
              </w:rPr>
              <w:t xml:space="preserve">ID</w:t>
            </w:r>
          </w:p>
        </w:tc>
        <w:tc>
          <w:tcPr>
            <w:tcW w:type="dxa" w:w="3300"/>
            <w:shd w:fill="0B1E3F" w:color="auto" w:val="clear"/>
            <w:tcMar>
              <w:top w:type="dxa" w:w="60"/>
              <w:left w:type="dxa" w:w="100"/>
              <w:bottom w:type="dxa" w:w="60"/>
              <w:right w:type="dxa" w:w="100"/>
            </w:tcMar>
          </w:tcPr>
          <w:p>
            <w:pPr>
              <w:spacing w:after="40" w:before="40" w:line="252"/>
            </w:pPr>
            <w:r>
              <w:rPr>
                <w:b/>
                <w:bCs/>
                <w:color w:val="FFFFFF"/>
                <w:sz w:val="19"/>
                <w:szCs w:val="19"/>
              </w:rPr>
              <w:t xml:space="preserve">Requirement</w:t>
            </w:r>
          </w:p>
        </w:tc>
        <w:tc>
          <w:tcPr>
            <w:tcW w:type="dxa" w:w="1000"/>
            <w:shd w:fill="0B1E3F" w:color="auto" w:val="clear"/>
            <w:tcMar>
              <w:top w:type="dxa" w:w="60"/>
              <w:left w:type="dxa" w:w="100"/>
              <w:bottom w:type="dxa" w:w="60"/>
              <w:right w:type="dxa" w:w="100"/>
            </w:tcMar>
          </w:tcPr>
          <w:p>
            <w:pPr>
              <w:spacing w:after="40" w:before="40" w:line="252"/>
            </w:pPr>
            <w:r>
              <w:rPr>
                <w:b/>
                <w:bCs/>
                <w:color w:val="FFFFFF"/>
                <w:sz w:val="19"/>
                <w:szCs w:val="19"/>
              </w:rPr>
              <w:t xml:space="preserve">Priority</w:t>
            </w:r>
          </w:p>
        </w:tc>
        <w:tc>
          <w:tcPr>
            <w:tcW w:type="dxa" w:w="4150"/>
            <w:shd w:fill="0B1E3F" w:color="auto" w:val="clear"/>
            <w:tcMar>
              <w:top w:type="dxa" w:w="60"/>
              <w:left w:type="dxa" w:w="100"/>
              <w:bottom w:type="dxa" w:w="60"/>
              <w:right w:type="dxa" w:w="100"/>
            </w:tcMar>
          </w:tcPr>
          <w:p>
            <w:pPr>
              <w:spacing w:after="40" w:before="40" w:line="252"/>
            </w:pPr>
            <w:r>
              <w:rPr>
                <w:b/>
                <w:bCs/>
                <w:color w:val="FFFFFF"/>
                <w:sz w:val="19"/>
                <w:szCs w:val="19"/>
              </w:rPr>
              <w:t xml:space="preserve">Acceptance Criteria</w:t>
            </w:r>
          </w:p>
        </w:tc>
      </w:tr>
      <w:tr>
        <w:tc>
          <w:tcPr>
            <w:tcW w:type="dxa" w:w="9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FR-10.1</w:t>
            </w:r>
          </w:p>
        </w:tc>
        <w:tc>
          <w:tcPr>
            <w:tcW w:type="dxa" w:w="3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User can export a chat conversation or case summary as a formatted PDF report.</w:t>
            </w:r>
          </w:p>
        </w:tc>
        <w:tc>
          <w:tcPr>
            <w:tcW w:type="dxa" w:w="1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P0</w:t>
            </w:r>
          </w:p>
        </w:tc>
        <w:tc>
          <w:tcPr>
            <w:tcW w:type="dxa" w:w="41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Exported PDF matches an approved KSP-style template and includes citations.</w:t>
            </w:r>
          </w:p>
        </w:tc>
      </w:tr>
    </w:tbl>
    <w:p>
      <w:pPr>
        <w:spacing w:after="160" w:before="0"/>
      </w:pPr>
    </w:p>
    <w:p>
      <w:pPr>
        <w:pStyle w:val="Heading2"/>
        <w:spacing w:after="140" w:before="300"/>
      </w:pPr>
      <w:r>
        <w:rPr>
          <w:b/>
          <w:bCs/>
          <w:color w:val="0B1E3F"/>
          <w:sz w:val="25"/>
          <w:szCs w:val="25"/>
        </w:rPr>
        <w:t xml:space="preserve">6.11 Sociological Insights  (Blueprint Phase 14)</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900"/>
        <w:gridCol w:w="3300"/>
        <w:gridCol w:w="1000"/>
        <w:gridCol w:w="4150"/>
      </w:tblGrid>
      <w:tr>
        <w:trPr>
          <w:tblHeader/>
        </w:trPr>
        <w:tc>
          <w:tcPr>
            <w:tcW w:type="dxa" w:w="900"/>
            <w:shd w:fill="0B1E3F" w:color="auto" w:val="clear"/>
            <w:tcMar>
              <w:top w:type="dxa" w:w="60"/>
              <w:left w:type="dxa" w:w="100"/>
              <w:bottom w:type="dxa" w:w="60"/>
              <w:right w:type="dxa" w:w="100"/>
            </w:tcMar>
          </w:tcPr>
          <w:p>
            <w:pPr>
              <w:spacing w:after="40" w:before="40" w:line="252"/>
            </w:pPr>
            <w:r>
              <w:rPr>
                <w:b/>
                <w:bCs/>
                <w:color w:val="FFFFFF"/>
                <w:sz w:val="19"/>
                <w:szCs w:val="19"/>
              </w:rPr>
              <w:t xml:space="preserve">ID</w:t>
            </w:r>
          </w:p>
        </w:tc>
        <w:tc>
          <w:tcPr>
            <w:tcW w:type="dxa" w:w="3300"/>
            <w:shd w:fill="0B1E3F" w:color="auto" w:val="clear"/>
            <w:tcMar>
              <w:top w:type="dxa" w:w="60"/>
              <w:left w:type="dxa" w:w="100"/>
              <w:bottom w:type="dxa" w:w="60"/>
              <w:right w:type="dxa" w:w="100"/>
            </w:tcMar>
          </w:tcPr>
          <w:p>
            <w:pPr>
              <w:spacing w:after="40" w:before="40" w:line="252"/>
            </w:pPr>
            <w:r>
              <w:rPr>
                <w:b/>
                <w:bCs/>
                <w:color w:val="FFFFFF"/>
                <w:sz w:val="19"/>
                <w:szCs w:val="19"/>
              </w:rPr>
              <w:t xml:space="preserve">Requirement</w:t>
            </w:r>
          </w:p>
        </w:tc>
        <w:tc>
          <w:tcPr>
            <w:tcW w:type="dxa" w:w="1000"/>
            <w:shd w:fill="0B1E3F" w:color="auto" w:val="clear"/>
            <w:tcMar>
              <w:top w:type="dxa" w:w="60"/>
              <w:left w:type="dxa" w:w="100"/>
              <w:bottom w:type="dxa" w:w="60"/>
              <w:right w:type="dxa" w:w="100"/>
            </w:tcMar>
          </w:tcPr>
          <w:p>
            <w:pPr>
              <w:spacing w:after="40" w:before="40" w:line="252"/>
            </w:pPr>
            <w:r>
              <w:rPr>
                <w:b/>
                <w:bCs/>
                <w:color w:val="FFFFFF"/>
                <w:sz w:val="19"/>
                <w:szCs w:val="19"/>
              </w:rPr>
              <w:t xml:space="preserve">Priority</w:t>
            </w:r>
          </w:p>
        </w:tc>
        <w:tc>
          <w:tcPr>
            <w:tcW w:type="dxa" w:w="4150"/>
            <w:shd w:fill="0B1E3F" w:color="auto" w:val="clear"/>
            <w:tcMar>
              <w:top w:type="dxa" w:w="60"/>
              <w:left w:type="dxa" w:w="100"/>
              <w:bottom w:type="dxa" w:w="60"/>
              <w:right w:type="dxa" w:w="100"/>
            </w:tcMar>
          </w:tcPr>
          <w:p>
            <w:pPr>
              <w:spacing w:after="40" w:before="40" w:line="252"/>
            </w:pPr>
            <w:r>
              <w:rPr>
                <w:b/>
                <w:bCs/>
                <w:color w:val="FFFFFF"/>
                <w:sz w:val="19"/>
                <w:szCs w:val="19"/>
              </w:rPr>
              <w:t xml:space="preserve">Acceptance Criteria</w:t>
            </w:r>
          </w:p>
        </w:tc>
      </w:tr>
      <w:tr>
        <w:tc>
          <w:tcPr>
            <w:tcW w:type="dxa" w:w="9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FR-11.1</w:t>
            </w:r>
          </w:p>
        </w:tc>
        <w:tc>
          <w:tcPr>
            <w:tcW w:type="dxa" w:w="3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System surfaces socio-demographic correlations (with sensitive-field protections applied) and seasonal/festival crime-pattern analysis.</w:t>
            </w:r>
          </w:p>
        </w:tc>
        <w:tc>
          <w:tcPr>
            <w:tcW w:type="dxa" w:w="1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P2</w:t>
            </w:r>
          </w:p>
        </w:tc>
        <w:tc>
          <w:tcPr>
            <w:tcW w:type="dxa" w:w="41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Correlation output never displays a raw Highly Restricted field value without a reveal action.</w:t>
            </w:r>
          </w:p>
        </w:tc>
      </w:tr>
    </w:tbl>
    <w:p>
      <w:pPr>
        <w:spacing w:after="160" w:before="0"/>
      </w:pPr>
    </w:p>
    <w:p>
      <w:pPr>
        <w:pStyle w:val="Heading2"/>
        <w:spacing w:after="140" w:before="300"/>
      </w:pPr>
      <w:r>
        <w:rPr>
          <w:b/>
          <w:bCs/>
          <w:color w:val="0B1E3F"/>
          <w:sz w:val="25"/>
          <w:szCs w:val="25"/>
        </w:rPr>
        <w:t xml:space="preserve">6.12 Mobile Experience  (Blueprint Phase 19)</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900"/>
        <w:gridCol w:w="3300"/>
        <w:gridCol w:w="1000"/>
        <w:gridCol w:w="4150"/>
      </w:tblGrid>
      <w:tr>
        <w:trPr>
          <w:tblHeader/>
        </w:trPr>
        <w:tc>
          <w:tcPr>
            <w:tcW w:type="dxa" w:w="900"/>
            <w:shd w:fill="0B1E3F" w:color="auto" w:val="clear"/>
            <w:tcMar>
              <w:top w:type="dxa" w:w="60"/>
              <w:left w:type="dxa" w:w="100"/>
              <w:bottom w:type="dxa" w:w="60"/>
              <w:right w:type="dxa" w:w="100"/>
            </w:tcMar>
          </w:tcPr>
          <w:p>
            <w:pPr>
              <w:spacing w:after="40" w:before="40" w:line="252"/>
            </w:pPr>
            <w:r>
              <w:rPr>
                <w:b/>
                <w:bCs/>
                <w:color w:val="FFFFFF"/>
                <w:sz w:val="19"/>
                <w:szCs w:val="19"/>
              </w:rPr>
              <w:t xml:space="preserve">ID</w:t>
            </w:r>
          </w:p>
        </w:tc>
        <w:tc>
          <w:tcPr>
            <w:tcW w:type="dxa" w:w="3300"/>
            <w:shd w:fill="0B1E3F" w:color="auto" w:val="clear"/>
            <w:tcMar>
              <w:top w:type="dxa" w:w="60"/>
              <w:left w:type="dxa" w:w="100"/>
              <w:bottom w:type="dxa" w:w="60"/>
              <w:right w:type="dxa" w:w="100"/>
            </w:tcMar>
          </w:tcPr>
          <w:p>
            <w:pPr>
              <w:spacing w:after="40" w:before="40" w:line="252"/>
            </w:pPr>
            <w:r>
              <w:rPr>
                <w:b/>
                <w:bCs/>
                <w:color w:val="FFFFFF"/>
                <w:sz w:val="19"/>
                <w:szCs w:val="19"/>
              </w:rPr>
              <w:t xml:space="preserve">Requirement</w:t>
            </w:r>
          </w:p>
        </w:tc>
        <w:tc>
          <w:tcPr>
            <w:tcW w:type="dxa" w:w="1000"/>
            <w:shd w:fill="0B1E3F" w:color="auto" w:val="clear"/>
            <w:tcMar>
              <w:top w:type="dxa" w:w="60"/>
              <w:left w:type="dxa" w:w="100"/>
              <w:bottom w:type="dxa" w:w="60"/>
              <w:right w:type="dxa" w:w="100"/>
            </w:tcMar>
          </w:tcPr>
          <w:p>
            <w:pPr>
              <w:spacing w:after="40" w:before="40" w:line="252"/>
            </w:pPr>
            <w:r>
              <w:rPr>
                <w:b/>
                <w:bCs/>
                <w:color w:val="FFFFFF"/>
                <w:sz w:val="19"/>
                <w:szCs w:val="19"/>
              </w:rPr>
              <w:t xml:space="preserve">Priority</w:t>
            </w:r>
          </w:p>
        </w:tc>
        <w:tc>
          <w:tcPr>
            <w:tcW w:type="dxa" w:w="4150"/>
            <w:shd w:fill="0B1E3F" w:color="auto" w:val="clear"/>
            <w:tcMar>
              <w:top w:type="dxa" w:w="60"/>
              <w:left w:type="dxa" w:w="100"/>
              <w:bottom w:type="dxa" w:w="60"/>
              <w:right w:type="dxa" w:w="100"/>
            </w:tcMar>
          </w:tcPr>
          <w:p>
            <w:pPr>
              <w:spacing w:after="40" w:before="40" w:line="252"/>
            </w:pPr>
            <w:r>
              <w:rPr>
                <w:b/>
                <w:bCs/>
                <w:color w:val="FFFFFF"/>
                <w:sz w:val="19"/>
                <w:szCs w:val="19"/>
              </w:rPr>
              <w:t xml:space="preserve">Acceptance Criteria</w:t>
            </w:r>
          </w:p>
        </w:tc>
      </w:tr>
      <w:tr>
        <w:tc>
          <w:tcPr>
            <w:tcW w:type="dxa" w:w="9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FR-12.1</w:t>
            </w:r>
          </w:p>
        </w:tc>
        <w:tc>
          <w:tcPr>
            <w:tcW w:type="dxa" w:w="3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Platform is usable as an installable Progressive Web App with offline read access to recently viewed cases.</w:t>
            </w:r>
          </w:p>
        </w:tc>
        <w:tc>
          <w:tcPr>
            <w:tcW w:type="dxa" w:w="1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P1</w:t>
            </w:r>
          </w:p>
        </w:tc>
        <w:tc>
          <w:tcPr>
            <w:tcW w:type="dxa" w:w="41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App is installable to homescreen; core chat/dashboard views degrade gracefully offline.</w:t>
            </w:r>
          </w:p>
        </w:tc>
      </w:tr>
    </w:tbl>
    <w:p>
      <w:pPr>
        <w:spacing w:after="160" w:before="0"/>
      </w:pPr>
    </w:p>
    <w:p>
      <w:pPr>
        <w:pStyle w:val="Heading2"/>
        <w:spacing w:after="140" w:before="300"/>
      </w:pPr>
      <w:r>
        <w:rPr>
          <w:b/>
          <w:bCs/>
          <w:color w:val="0B1E3F"/>
          <w:sz w:val="25"/>
          <w:szCs w:val="25"/>
        </w:rPr>
        <w:t xml:space="preserve">6.13 OCR Document Intelligence  (Blueprint Phase 20, 0.8)</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900"/>
        <w:gridCol w:w="3300"/>
        <w:gridCol w:w="1000"/>
        <w:gridCol w:w="4150"/>
      </w:tblGrid>
      <w:tr>
        <w:trPr>
          <w:tblHeader/>
        </w:trPr>
        <w:tc>
          <w:tcPr>
            <w:tcW w:type="dxa" w:w="900"/>
            <w:shd w:fill="0B1E3F" w:color="auto" w:val="clear"/>
            <w:tcMar>
              <w:top w:type="dxa" w:w="60"/>
              <w:left w:type="dxa" w:w="100"/>
              <w:bottom w:type="dxa" w:w="60"/>
              <w:right w:type="dxa" w:w="100"/>
            </w:tcMar>
          </w:tcPr>
          <w:p>
            <w:pPr>
              <w:spacing w:after="40" w:before="40" w:line="252"/>
            </w:pPr>
            <w:r>
              <w:rPr>
                <w:b/>
                <w:bCs/>
                <w:color w:val="FFFFFF"/>
                <w:sz w:val="19"/>
                <w:szCs w:val="19"/>
              </w:rPr>
              <w:t xml:space="preserve">ID</w:t>
            </w:r>
          </w:p>
        </w:tc>
        <w:tc>
          <w:tcPr>
            <w:tcW w:type="dxa" w:w="3300"/>
            <w:shd w:fill="0B1E3F" w:color="auto" w:val="clear"/>
            <w:tcMar>
              <w:top w:type="dxa" w:w="60"/>
              <w:left w:type="dxa" w:w="100"/>
              <w:bottom w:type="dxa" w:w="60"/>
              <w:right w:type="dxa" w:w="100"/>
            </w:tcMar>
          </w:tcPr>
          <w:p>
            <w:pPr>
              <w:spacing w:after="40" w:before="40" w:line="252"/>
            </w:pPr>
            <w:r>
              <w:rPr>
                <w:b/>
                <w:bCs/>
                <w:color w:val="FFFFFF"/>
                <w:sz w:val="19"/>
                <w:szCs w:val="19"/>
              </w:rPr>
              <w:t xml:space="preserve">Requirement</w:t>
            </w:r>
          </w:p>
        </w:tc>
        <w:tc>
          <w:tcPr>
            <w:tcW w:type="dxa" w:w="1000"/>
            <w:shd w:fill="0B1E3F" w:color="auto" w:val="clear"/>
            <w:tcMar>
              <w:top w:type="dxa" w:w="60"/>
              <w:left w:type="dxa" w:w="100"/>
              <w:bottom w:type="dxa" w:w="60"/>
              <w:right w:type="dxa" w:w="100"/>
            </w:tcMar>
          </w:tcPr>
          <w:p>
            <w:pPr>
              <w:spacing w:after="40" w:before="40" w:line="252"/>
            </w:pPr>
            <w:r>
              <w:rPr>
                <w:b/>
                <w:bCs/>
                <w:color w:val="FFFFFF"/>
                <w:sz w:val="19"/>
                <w:szCs w:val="19"/>
              </w:rPr>
              <w:t xml:space="preserve">Priority</w:t>
            </w:r>
          </w:p>
        </w:tc>
        <w:tc>
          <w:tcPr>
            <w:tcW w:type="dxa" w:w="4150"/>
            <w:shd w:fill="0B1E3F" w:color="auto" w:val="clear"/>
            <w:tcMar>
              <w:top w:type="dxa" w:w="60"/>
              <w:left w:type="dxa" w:w="100"/>
              <w:bottom w:type="dxa" w:w="60"/>
              <w:right w:type="dxa" w:w="100"/>
            </w:tcMar>
          </w:tcPr>
          <w:p>
            <w:pPr>
              <w:spacing w:after="40" w:before="40" w:line="252"/>
            </w:pPr>
            <w:r>
              <w:rPr>
                <w:b/>
                <w:bCs/>
                <w:color w:val="FFFFFF"/>
                <w:sz w:val="19"/>
                <w:szCs w:val="19"/>
              </w:rPr>
              <w:t xml:space="preserve">Acceptance Criteria</w:t>
            </w:r>
          </w:p>
        </w:tc>
      </w:tr>
      <w:tr>
        <w:tc>
          <w:tcPr>
            <w:tcW w:type="dxa" w:w="9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FR-13.1</w:t>
            </w:r>
          </w:p>
        </w:tc>
        <w:tc>
          <w:tcPr>
            <w:tcW w:type="dxa" w:w="3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Scanned FIRs and evidence documents are OCR'd, field-extracted, and auto-linked to the relevant CaseMaster record.</w:t>
            </w:r>
          </w:p>
        </w:tc>
        <w:tc>
          <w:tcPr>
            <w:tcW w:type="dxa" w:w="1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P1</w:t>
            </w:r>
          </w:p>
        </w:tc>
        <w:tc>
          <w:tcPr>
            <w:tcW w:type="dxa" w:w="41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Sampled scanned document's extracted fields match source with a documented accuracy threshold.</w:t>
            </w:r>
          </w:p>
        </w:tc>
      </w:tr>
    </w:tbl>
    <w:p>
      <w:pPr>
        <w:spacing w:after="160" w:before="0"/>
      </w:pPr>
    </w:p>
    <w:p>
      <w:pPr>
        <w:pStyle w:val="Heading2"/>
        <w:spacing w:after="140" w:before="300"/>
      </w:pPr>
      <w:r>
        <w:rPr>
          <w:b/>
          <w:bCs/>
          <w:color w:val="0B1E3F"/>
          <w:sz w:val="25"/>
          <w:szCs w:val="25"/>
        </w:rPr>
        <w:t xml:space="preserve">6.14 Administration &amp; Extensibility  (Blueprint Phase 25)</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900"/>
        <w:gridCol w:w="3300"/>
        <w:gridCol w:w="1000"/>
        <w:gridCol w:w="4150"/>
      </w:tblGrid>
      <w:tr>
        <w:trPr>
          <w:tblHeader/>
        </w:trPr>
        <w:tc>
          <w:tcPr>
            <w:tcW w:type="dxa" w:w="900"/>
            <w:shd w:fill="0B1E3F" w:color="auto" w:val="clear"/>
            <w:tcMar>
              <w:top w:type="dxa" w:w="60"/>
              <w:left w:type="dxa" w:w="100"/>
              <w:bottom w:type="dxa" w:w="60"/>
              <w:right w:type="dxa" w:w="100"/>
            </w:tcMar>
          </w:tcPr>
          <w:p>
            <w:pPr>
              <w:spacing w:after="40" w:before="40" w:line="252"/>
            </w:pPr>
            <w:r>
              <w:rPr>
                <w:b/>
                <w:bCs/>
                <w:color w:val="FFFFFF"/>
                <w:sz w:val="19"/>
                <w:szCs w:val="19"/>
              </w:rPr>
              <w:t xml:space="preserve">ID</w:t>
            </w:r>
          </w:p>
        </w:tc>
        <w:tc>
          <w:tcPr>
            <w:tcW w:type="dxa" w:w="3300"/>
            <w:shd w:fill="0B1E3F" w:color="auto" w:val="clear"/>
            <w:tcMar>
              <w:top w:type="dxa" w:w="60"/>
              <w:left w:type="dxa" w:w="100"/>
              <w:bottom w:type="dxa" w:w="60"/>
              <w:right w:type="dxa" w:w="100"/>
            </w:tcMar>
          </w:tcPr>
          <w:p>
            <w:pPr>
              <w:spacing w:after="40" w:before="40" w:line="252"/>
            </w:pPr>
            <w:r>
              <w:rPr>
                <w:b/>
                <w:bCs/>
                <w:color w:val="FFFFFF"/>
                <w:sz w:val="19"/>
                <w:szCs w:val="19"/>
              </w:rPr>
              <w:t xml:space="preserve">Requirement</w:t>
            </w:r>
          </w:p>
        </w:tc>
        <w:tc>
          <w:tcPr>
            <w:tcW w:type="dxa" w:w="1000"/>
            <w:shd w:fill="0B1E3F" w:color="auto" w:val="clear"/>
            <w:tcMar>
              <w:top w:type="dxa" w:w="60"/>
              <w:left w:type="dxa" w:w="100"/>
              <w:bottom w:type="dxa" w:w="60"/>
              <w:right w:type="dxa" w:w="100"/>
            </w:tcMar>
          </w:tcPr>
          <w:p>
            <w:pPr>
              <w:spacing w:after="40" w:before="40" w:line="252"/>
            </w:pPr>
            <w:r>
              <w:rPr>
                <w:b/>
                <w:bCs/>
                <w:color w:val="FFFFFF"/>
                <w:sz w:val="19"/>
                <w:szCs w:val="19"/>
              </w:rPr>
              <w:t xml:space="preserve">Priority</w:t>
            </w:r>
          </w:p>
        </w:tc>
        <w:tc>
          <w:tcPr>
            <w:tcW w:type="dxa" w:w="4150"/>
            <w:shd w:fill="0B1E3F" w:color="auto" w:val="clear"/>
            <w:tcMar>
              <w:top w:type="dxa" w:w="60"/>
              <w:left w:type="dxa" w:w="100"/>
              <w:bottom w:type="dxa" w:w="60"/>
              <w:right w:type="dxa" w:w="100"/>
            </w:tcMar>
          </w:tcPr>
          <w:p>
            <w:pPr>
              <w:spacing w:after="40" w:before="40" w:line="252"/>
            </w:pPr>
            <w:r>
              <w:rPr>
                <w:b/>
                <w:bCs/>
                <w:color w:val="FFFFFF"/>
                <w:sz w:val="19"/>
                <w:szCs w:val="19"/>
              </w:rPr>
              <w:t xml:space="preserve">Acceptance Criteria</w:t>
            </w:r>
          </w:p>
        </w:tc>
      </w:tr>
      <w:tr>
        <w:tc>
          <w:tcPr>
            <w:tcW w:type="dxa" w:w="9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FR-14.1</w:t>
            </w:r>
          </w:p>
        </w:tc>
        <w:tc>
          <w:tcPr>
            <w:tcW w:type="dxa" w:w="3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Administrator can manage users/roles, review audit logs, and monitor Catalyst credit/cost consumption from one panel.</w:t>
            </w:r>
          </w:p>
        </w:tc>
        <w:tc>
          <w:tcPr>
            <w:tcW w:type="dxa" w:w="1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P1</w:t>
            </w:r>
          </w:p>
        </w:tc>
        <w:tc>
          <w:tcPr>
            <w:tcW w:type="dxa" w:w="41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Cost widget reflects actual Function/Circuit/QuickML/Cron consumption, not an estimate.</w:t>
            </w:r>
          </w:p>
        </w:tc>
      </w:tr>
    </w:tbl>
    <w:p>
      <w:pPr>
        <w:spacing w:after="160" w:before="0"/>
      </w:pPr>
    </w:p>
    <w:p>
      <w:r>
        <w:br w:type="page"/>
      </w:r>
    </w:p>
    <w:p>
      <w:pPr>
        <w:pStyle w:val="Heading1"/>
        <w:pBdr>
          <w:bottom w:val="single" w:color="D4A017" w:sz="8" w:space="4"/>
        </w:pBdr>
        <w:spacing w:after="200" w:before="400"/>
      </w:pPr>
      <w:r>
        <w:rPr>
          <w:b/>
          <w:bCs/>
          <w:color w:val="0B1E3F"/>
          <w:sz w:val="30"/>
          <w:szCs w:val="30"/>
        </w:rPr>
        <w:t xml:space="preserve">7. Non-Functional Requirements</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1900"/>
        <w:gridCol w:w="5850"/>
        <w:gridCol w:w="1600"/>
      </w:tblGrid>
      <w:tr>
        <w:trPr>
          <w:tblHeader/>
        </w:trPr>
        <w:tc>
          <w:tcPr>
            <w:tcW w:type="dxa" w:w="1900"/>
            <w:shd w:fill="0B1E3F" w:color="auto" w:val="clear"/>
            <w:tcMar>
              <w:top w:type="dxa" w:w="60"/>
              <w:left w:type="dxa" w:w="100"/>
              <w:bottom w:type="dxa" w:w="60"/>
              <w:right w:type="dxa" w:w="100"/>
            </w:tcMar>
          </w:tcPr>
          <w:p>
            <w:pPr>
              <w:spacing w:after="40" w:before="40" w:line="252"/>
            </w:pPr>
            <w:r>
              <w:rPr>
                <w:b/>
                <w:bCs/>
                <w:color w:val="FFFFFF"/>
                <w:sz w:val="19"/>
                <w:szCs w:val="19"/>
              </w:rPr>
              <w:t xml:space="preserve">Category</w:t>
            </w:r>
          </w:p>
        </w:tc>
        <w:tc>
          <w:tcPr>
            <w:tcW w:type="dxa" w:w="5850"/>
            <w:shd w:fill="0B1E3F" w:color="auto" w:val="clear"/>
            <w:tcMar>
              <w:top w:type="dxa" w:w="60"/>
              <w:left w:type="dxa" w:w="100"/>
              <w:bottom w:type="dxa" w:w="60"/>
              <w:right w:type="dxa" w:w="100"/>
            </w:tcMar>
          </w:tcPr>
          <w:p>
            <w:pPr>
              <w:spacing w:after="40" w:before="40" w:line="252"/>
            </w:pPr>
            <w:r>
              <w:rPr>
                <w:b/>
                <w:bCs/>
                <w:color w:val="FFFFFF"/>
                <w:sz w:val="19"/>
                <w:szCs w:val="19"/>
              </w:rPr>
              <w:t xml:space="preserve">Requirement</w:t>
            </w:r>
          </w:p>
        </w:tc>
        <w:tc>
          <w:tcPr>
            <w:tcW w:type="dxa" w:w="1600"/>
            <w:shd w:fill="0B1E3F" w:color="auto" w:val="clear"/>
            <w:tcMar>
              <w:top w:type="dxa" w:w="60"/>
              <w:left w:type="dxa" w:w="100"/>
              <w:bottom w:type="dxa" w:w="60"/>
              <w:right w:type="dxa" w:w="100"/>
            </w:tcMar>
          </w:tcPr>
          <w:p>
            <w:pPr>
              <w:spacing w:after="40" w:before="40" w:line="252"/>
            </w:pPr>
            <w:r>
              <w:rPr>
                <w:b/>
                <w:bCs/>
                <w:color w:val="FFFFFF"/>
                <w:sz w:val="19"/>
                <w:szCs w:val="19"/>
              </w:rPr>
              <w:t xml:space="preserve">Blueprint Ref.</w:t>
            </w:r>
          </w:p>
        </w:tc>
      </w:tr>
      <w:tr>
        <w:tc>
          <w:tcPr>
            <w:tcW w:type="dxa" w:w="19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Performance</w:t>
            </w:r>
          </w:p>
        </w:tc>
        <w:tc>
          <w:tcPr>
            <w:tcW w:type="dxa" w:w="58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Cached retrieval answers return in &lt;3s (p50) / &lt;6s (p95); precomputed indices readable in &lt;50ms from cache.</w:t>
            </w:r>
          </w:p>
        </w:tc>
        <w:tc>
          <w:tcPr>
            <w:tcW w:type="dxa" w:w="16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Phase 0.1, 15, 24</w:t>
            </w:r>
          </w:p>
        </w:tc>
      </w:tr>
      <w:tr>
        <w:tc>
          <w:tcPr>
            <w:tcW w:type="dxa" w:w="19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Scalability</w:t>
            </w:r>
          </w:p>
        </w:tc>
        <w:tc>
          <w:tcPr>
            <w:tcW w:type="dxa" w:w="58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Standing precomputation (not inline recomputation) so cost/latency does not scale linearly with concurrent investigators; multi-tenant-ready by Phase 25.6.</w:t>
            </w:r>
          </w:p>
        </w:tc>
        <w:tc>
          <w:tcPr>
            <w:tcW w:type="dxa" w:w="16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Phase 0.9, 24, 25</w:t>
            </w:r>
          </w:p>
        </w:tc>
      </w:tr>
      <w:tr>
        <w:tc>
          <w:tcPr>
            <w:tcW w:type="dxa" w:w="19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Availability</w:t>
            </w:r>
          </w:p>
        </w:tc>
        <w:tc>
          <w:tcPr>
            <w:tcW w:type="dxa" w:w="58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Target 99.5% during pilot; documented RPO/RTO with at least one tested restore drill.</w:t>
            </w:r>
          </w:p>
        </w:tc>
        <w:tc>
          <w:tcPr>
            <w:tcW w:type="dxa" w:w="16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Phase 0.16.1</w:t>
            </w:r>
          </w:p>
        </w:tc>
      </w:tr>
      <w:tr>
        <w:tc>
          <w:tcPr>
            <w:tcW w:type="dxa" w:w="19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Security &amp; Privacy</w:t>
            </w:r>
          </w:p>
        </w:tc>
        <w:tc>
          <w:tcPr>
            <w:tcW w:type="dxa" w:w="58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Field-level encryption + independent RBAC masking on Highly Restricted data; MFA for Investigator/Supervisor/Administrator; least-privilege service identities.</w:t>
            </w:r>
          </w:p>
        </w:tc>
        <w:tc>
          <w:tcPr>
            <w:tcW w:type="dxa" w:w="16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Phase 0.15, 0.16, 23</w:t>
            </w:r>
          </w:p>
        </w:tc>
      </w:tr>
      <w:tr>
        <w:tc>
          <w:tcPr>
            <w:tcW w:type="dxa" w:w="19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Auditability</w:t>
            </w:r>
          </w:p>
        </w:tc>
        <w:tc>
          <w:tcPr>
            <w:tcW w:type="dxa" w:w="58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Every retrieval (not just UI action) is logged; every AI answer traces to a knowledge-version snapshot.</w:t>
            </w:r>
          </w:p>
        </w:tc>
        <w:tc>
          <w:tcPr>
            <w:tcW w:type="dxa" w:w="16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Phase 0.12, 0.13, 12</w:t>
            </w:r>
          </w:p>
        </w:tc>
      </w:tr>
      <w:tr>
        <w:tc>
          <w:tcPr>
            <w:tcW w:type="dxa" w:w="19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Accessibility &amp; Language</w:t>
            </w:r>
          </w:p>
        </w:tc>
        <w:tc>
          <w:tcPr>
            <w:tcW w:type="dxa" w:w="58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Full English–Kannada parity across UI, chat, and voice.</w:t>
            </w:r>
          </w:p>
        </w:tc>
        <w:tc>
          <w:tcPr>
            <w:tcW w:type="dxa" w:w="16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Phase 11</w:t>
            </w:r>
          </w:p>
        </w:tc>
      </w:tr>
      <w:tr>
        <w:tc>
          <w:tcPr>
            <w:tcW w:type="dxa" w:w="19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Explainability</w:t>
            </w:r>
          </w:p>
        </w:tc>
        <w:tc>
          <w:tcPr>
            <w:tcW w:type="dxa" w:w="58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No AI answer is presented without a citation trail; unverified claims are flagged, never silently presented as fact.</w:t>
            </w:r>
          </w:p>
        </w:tc>
        <w:tc>
          <w:tcPr>
            <w:tcW w:type="dxa" w:w="16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Phase 0.5, 12</w:t>
            </w:r>
          </w:p>
        </w:tc>
      </w:tr>
      <w:tr>
        <w:tc>
          <w:tcPr>
            <w:tcW w:type="dxa" w:w="19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Cost Governance</w:t>
            </w:r>
          </w:p>
        </w:tc>
        <w:tc>
          <w:tcPr>
            <w:tcW w:type="dxa" w:w="58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Every Function/Circuit/QuickML/Cron invocation is tracked against a credit budget from Phase 1 onward.</w:t>
            </w:r>
          </w:p>
        </w:tc>
        <w:tc>
          <w:tcPr>
            <w:tcW w:type="dxa" w:w="16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Phase 0.17.3</w:t>
            </w:r>
          </w:p>
        </w:tc>
      </w:tr>
      <w:tr>
        <w:tc>
          <w:tcPr>
            <w:tcW w:type="dxa" w:w="19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Compliance readiness</w:t>
            </w:r>
          </w:p>
        </w:tc>
        <w:tc>
          <w:tcPr>
            <w:tcW w:type="dxa" w:w="58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Sensitivity-tagged data dictionary maintained for every new column before it is wired into any retriever, dashboard, or export.</w:t>
            </w:r>
          </w:p>
        </w:tc>
        <w:tc>
          <w:tcPr>
            <w:tcW w:type="dxa" w:w="16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Phase 0.0.2, 0.16</w:t>
            </w:r>
          </w:p>
        </w:tc>
      </w:tr>
    </w:tbl>
    <w:p>
      <w:pPr>
        <w:pStyle w:val="Heading1"/>
        <w:pBdr>
          <w:bottom w:val="single" w:color="D4A017" w:sz="8" w:space="4"/>
        </w:pBdr>
        <w:spacing w:after="200" w:before="400"/>
      </w:pPr>
      <w:r>
        <w:rPr>
          <w:b/>
          <w:bCs/>
          <w:color w:val="0B1E3F"/>
          <w:sz w:val="30"/>
          <w:szCs w:val="30"/>
        </w:rPr>
        <w:t xml:space="preserve">8. Role-Based Access Control Matrix</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2350"/>
        <w:gridCol w:w="1400"/>
        <w:gridCol w:w="1400"/>
        <w:gridCol w:w="1400"/>
        <w:gridCol w:w="1400"/>
        <w:gridCol w:w="1400"/>
      </w:tblGrid>
      <w:tr>
        <w:trPr>
          <w:tblHeader/>
        </w:trPr>
        <w:tc>
          <w:tcPr>
            <w:tcW w:type="dxa" w:w="2350"/>
            <w:shd w:fill="0B1E3F" w:color="auto" w:val="clear"/>
            <w:tcMar>
              <w:top w:type="dxa" w:w="60"/>
              <w:left w:type="dxa" w:w="100"/>
              <w:bottom w:type="dxa" w:w="60"/>
              <w:right w:type="dxa" w:w="100"/>
            </w:tcMar>
          </w:tcPr>
          <w:p>
            <w:pPr>
              <w:spacing w:after="40" w:before="40" w:line="252"/>
            </w:pPr>
            <w:r>
              <w:rPr>
                <w:b/>
                <w:bCs/>
                <w:color w:val="FFFFFF"/>
                <w:sz w:val="19"/>
                <w:szCs w:val="19"/>
              </w:rPr>
              <w:t xml:space="preserve">Capability</w:t>
            </w:r>
          </w:p>
        </w:tc>
        <w:tc>
          <w:tcPr>
            <w:tcW w:type="dxa" w:w="1400"/>
            <w:shd w:fill="0B1E3F" w:color="auto" w:val="clear"/>
            <w:tcMar>
              <w:top w:type="dxa" w:w="60"/>
              <w:left w:type="dxa" w:w="100"/>
              <w:bottom w:type="dxa" w:w="60"/>
              <w:right w:type="dxa" w:w="100"/>
            </w:tcMar>
          </w:tcPr>
          <w:p>
            <w:pPr>
              <w:spacing w:after="40" w:before="40" w:line="252"/>
            </w:pPr>
            <w:r>
              <w:rPr>
                <w:b/>
                <w:bCs/>
                <w:color w:val="FFFFFF"/>
                <w:sz w:val="19"/>
                <w:szCs w:val="19"/>
              </w:rPr>
              <w:t xml:space="preserve">Constable</w:t>
            </w:r>
          </w:p>
        </w:tc>
        <w:tc>
          <w:tcPr>
            <w:tcW w:type="dxa" w:w="1400"/>
            <w:shd w:fill="0B1E3F" w:color="auto" w:val="clear"/>
            <w:tcMar>
              <w:top w:type="dxa" w:w="60"/>
              <w:left w:type="dxa" w:w="100"/>
              <w:bottom w:type="dxa" w:w="60"/>
              <w:right w:type="dxa" w:w="100"/>
            </w:tcMar>
          </w:tcPr>
          <w:p>
            <w:pPr>
              <w:spacing w:after="40" w:before="40" w:line="252"/>
            </w:pPr>
            <w:r>
              <w:rPr>
                <w:b/>
                <w:bCs/>
                <w:color w:val="FFFFFF"/>
                <w:sz w:val="19"/>
                <w:szCs w:val="19"/>
              </w:rPr>
              <w:t xml:space="preserve">Investigator</w:t>
            </w:r>
          </w:p>
        </w:tc>
        <w:tc>
          <w:tcPr>
            <w:tcW w:type="dxa" w:w="1400"/>
            <w:shd w:fill="0B1E3F" w:color="auto" w:val="clear"/>
            <w:tcMar>
              <w:top w:type="dxa" w:w="60"/>
              <w:left w:type="dxa" w:w="100"/>
              <w:bottom w:type="dxa" w:w="60"/>
              <w:right w:type="dxa" w:w="100"/>
            </w:tcMar>
          </w:tcPr>
          <w:p>
            <w:pPr>
              <w:spacing w:after="40" w:before="40" w:line="252"/>
            </w:pPr>
            <w:r>
              <w:rPr>
                <w:b/>
                <w:bCs/>
                <w:color w:val="FFFFFF"/>
                <w:sz w:val="19"/>
                <w:szCs w:val="19"/>
              </w:rPr>
              <w:t xml:space="preserve">Inspector</w:t>
            </w:r>
          </w:p>
        </w:tc>
        <w:tc>
          <w:tcPr>
            <w:tcW w:type="dxa" w:w="1400"/>
            <w:shd w:fill="0B1E3F" w:color="auto" w:val="clear"/>
            <w:tcMar>
              <w:top w:type="dxa" w:w="60"/>
              <w:left w:type="dxa" w:w="100"/>
              <w:bottom w:type="dxa" w:w="60"/>
              <w:right w:type="dxa" w:w="100"/>
            </w:tcMar>
          </w:tcPr>
          <w:p>
            <w:pPr>
              <w:spacing w:after="40" w:before="40" w:line="252"/>
            </w:pPr>
            <w:r>
              <w:rPr>
                <w:b/>
                <w:bCs/>
                <w:color w:val="FFFFFF"/>
                <w:sz w:val="19"/>
                <w:szCs w:val="19"/>
              </w:rPr>
              <w:t xml:space="preserve">Supervisor</w:t>
            </w:r>
          </w:p>
        </w:tc>
        <w:tc>
          <w:tcPr>
            <w:tcW w:type="dxa" w:w="1400"/>
            <w:shd w:fill="0B1E3F" w:color="auto" w:val="clear"/>
            <w:tcMar>
              <w:top w:type="dxa" w:w="60"/>
              <w:left w:type="dxa" w:w="100"/>
              <w:bottom w:type="dxa" w:w="60"/>
              <w:right w:type="dxa" w:w="100"/>
            </w:tcMar>
          </w:tcPr>
          <w:p>
            <w:pPr>
              <w:spacing w:after="40" w:before="40" w:line="252"/>
            </w:pPr>
            <w:r>
              <w:rPr>
                <w:b/>
                <w:bCs/>
                <w:color w:val="FFFFFF"/>
                <w:sz w:val="19"/>
                <w:szCs w:val="19"/>
              </w:rPr>
              <w:t xml:space="preserve">Administrator</w:t>
            </w:r>
          </w:p>
        </w:tc>
      </w:tr>
      <w:tr>
        <w:tc>
          <w:tcPr>
            <w:tcW w:type="dxa" w:w="23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Own-district case data</w:t>
            </w:r>
          </w:p>
        </w:tc>
        <w:tc>
          <w:tcPr>
            <w:tcW w:type="dxa" w:w="1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View only</w:t>
            </w:r>
          </w:p>
        </w:tc>
        <w:tc>
          <w:tcPr>
            <w:tcW w:type="dxa" w:w="1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View + query</w:t>
            </w:r>
          </w:p>
        </w:tc>
        <w:tc>
          <w:tcPr>
            <w:tcW w:type="dxa" w:w="1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View + query (own + cross-case)</w:t>
            </w:r>
          </w:p>
        </w:tc>
        <w:tc>
          <w:tcPr>
            <w:tcW w:type="dxa" w:w="1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View all districts</w:t>
            </w:r>
          </w:p>
        </w:tc>
        <w:tc>
          <w:tcPr>
            <w:tcW w:type="dxa" w:w="1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View all + manage</w:t>
            </w:r>
          </w:p>
        </w:tc>
      </w:tr>
      <w:tr>
        <w:tc>
          <w:tcPr>
            <w:tcW w:type="dxa" w:w="23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Cross-district case data</w:t>
            </w:r>
          </w:p>
        </w:tc>
        <w:tc>
          <w:tcPr>
            <w:tcW w:type="dxa" w:w="14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No</w:t>
            </w:r>
          </w:p>
        </w:tc>
        <w:tc>
          <w:tcPr>
            <w:tcW w:type="dxa" w:w="14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No</w:t>
            </w:r>
          </w:p>
        </w:tc>
        <w:tc>
          <w:tcPr>
            <w:tcW w:type="dxa" w:w="14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With justification</w:t>
            </w:r>
          </w:p>
        </w:tc>
        <w:tc>
          <w:tcPr>
            <w:tcW w:type="dxa" w:w="14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Yes</w:t>
            </w:r>
          </w:p>
        </w:tc>
        <w:tc>
          <w:tcPr>
            <w:tcW w:type="dxa" w:w="14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Yes</w:t>
            </w:r>
          </w:p>
        </w:tc>
      </w:tr>
      <w:tr>
        <w:tc>
          <w:tcPr>
            <w:tcW w:type="dxa" w:w="23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Restricted-field reveal</w:t>
            </w:r>
          </w:p>
        </w:tc>
        <w:tc>
          <w:tcPr>
            <w:tcW w:type="dxa" w:w="1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No</w:t>
            </w:r>
          </w:p>
        </w:tc>
        <w:tc>
          <w:tcPr>
            <w:tcW w:type="dxa" w:w="1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Request only</w:t>
            </w:r>
          </w:p>
        </w:tc>
        <w:tc>
          <w:tcPr>
            <w:tcW w:type="dxa" w:w="1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Request only</w:t>
            </w:r>
          </w:p>
        </w:tc>
        <w:tc>
          <w:tcPr>
            <w:tcW w:type="dxa" w:w="1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Approve requests</w:t>
            </w:r>
          </w:p>
        </w:tc>
        <w:tc>
          <w:tcPr>
            <w:tcW w:type="dxa" w:w="1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Approve + audit</w:t>
            </w:r>
          </w:p>
        </w:tc>
      </w:tr>
      <w:tr>
        <w:tc>
          <w:tcPr>
            <w:tcW w:type="dxa" w:w="23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Highly Restricted field reveal</w:t>
            </w:r>
          </w:p>
        </w:tc>
        <w:tc>
          <w:tcPr>
            <w:tcW w:type="dxa" w:w="14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No</w:t>
            </w:r>
          </w:p>
        </w:tc>
        <w:tc>
          <w:tcPr>
            <w:tcW w:type="dxa" w:w="14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No</w:t>
            </w:r>
          </w:p>
        </w:tc>
        <w:tc>
          <w:tcPr>
            <w:tcW w:type="dxa" w:w="14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No (Supervisor approval required)</w:t>
            </w:r>
          </w:p>
        </w:tc>
        <w:tc>
          <w:tcPr>
            <w:tcW w:type="dxa" w:w="14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Approve, logged</w:t>
            </w:r>
          </w:p>
        </w:tc>
        <w:tc>
          <w:tcPr>
            <w:tcW w:type="dxa" w:w="14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Approve, logged</w:t>
            </w:r>
          </w:p>
        </w:tc>
      </w:tr>
      <w:tr>
        <w:tc>
          <w:tcPr>
            <w:tcW w:type="dxa" w:w="23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Network graph / reasoning engine</w:t>
            </w:r>
          </w:p>
        </w:tc>
        <w:tc>
          <w:tcPr>
            <w:tcW w:type="dxa" w:w="1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No</w:t>
            </w:r>
          </w:p>
        </w:tc>
        <w:tc>
          <w:tcPr>
            <w:tcW w:type="dxa" w:w="1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Yes</w:t>
            </w:r>
          </w:p>
        </w:tc>
        <w:tc>
          <w:tcPr>
            <w:tcW w:type="dxa" w:w="1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Yes</w:t>
            </w:r>
          </w:p>
        </w:tc>
        <w:tc>
          <w:tcPr>
            <w:tcW w:type="dxa" w:w="1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Yes</w:t>
            </w:r>
          </w:p>
        </w:tc>
        <w:tc>
          <w:tcPr>
            <w:tcW w:type="dxa" w:w="1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Yes</w:t>
            </w:r>
          </w:p>
        </w:tc>
      </w:tr>
      <w:tr>
        <w:tc>
          <w:tcPr>
            <w:tcW w:type="dxa" w:w="23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Forecast &amp; alert review</w:t>
            </w:r>
          </w:p>
        </w:tc>
        <w:tc>
          <w:tcPr>
            <w:tcW w:type="dxa" w:w="14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No</w:t>
            </w:r>
          </w:p>
        </w:tc>
        <w:tc>
          <w:tcPr>
            <w:tcW w:type="dxa" w:w="14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View</w:t>
            </w:r>
          </w:p>
        </w:tc>
        <w:tc>
          <w:tcPr>
            <w:tcW w:type="dxa" w:w="14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View</w:t>
            </w:r>
          </w:p>
        </w:tc>
        <w:tc>
          <w:tcPr>
            <w:tcW w:type="dxa" w:w="14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Approve / dismiss</w:t>
            </w:r>
          </w:p>
        </w:tc>
        <w:tc>
          <w:tcPr>
            <w:tcW w:type="dxa" w:w="14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View</w:t>
            </w:r>
          </w:p>
        </w:tc>
      </w:tr>
      <w:tr>
        <w:tc>
          <w:tcPr>
            <w:tcW w:type="dxa" w:w="23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Audit log access</w:t>
            </w:r>
          </w:p>
        </w:tc>
        <w:tc>
          <w:tcPr>
            <w:tcW w:type="dxa" w:w="1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No</w:t>
            </w:r>
          </w:p>
        </w:tc>
        <w:tc>
          <w:tcPr>
            <w:tcW w:type="dxa" w:w="1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No</w:t>
            </w:r>
          </w:p>
        </w:tc>
        <w:tc>
          <w:tcPr>
            <w:tcW w:type="dxa" w:w="1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No</w:t>
            </w:r>
          </w:p>
        </w:tc>
        <w:tc>
          <w:tcPr>
            <w:tcW w:type="dxa" w:w="1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Own-district log</w:t>
            </w:r>
          </w:p>
        </w:tc>
        <w:tc>
          <w:tcPr>
            <w:tcW w:type="dxa" w:w="1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Full system log</w:t>
            </w:r>
          </w:p>
        </w:tc>
      </w:tr>
      <w:tr>
        <w:tc>
          <w:tcPr>
            <w:tcW w:type="dxa" w:w="23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User &amp; role management</w:t>
            </w:r>
          </w:p>
        </w:tc>
        <w:tc>
          <w:tcPr>
            <w:tcW w:type="dxa" w:w="14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No</w:t>
            </w:r>
          </w:p>
        </w:tc>
        <w:tc>
          <w:tcPr>
            <w:tcW w:type="dxa" w:w="14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No</w:t>
            </w:r>
          </w:p>
        </w:tc>
        <w:tc>
          <w:tcPr>
            <w:tcW w:type="dxa" w:w="14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No</w:t>
            </w:r>
          </w:p>
        </w:tc>
        <w:tc>
          <w:tcPr>
            <w:tcW w:type="dxa" w:w="14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No</w:t>
            </w:r>
          </w:p>
        </w:tc>
        <w:tc>
          <w:tcPr>
            <w:tcW w:type="dxa" w:w="14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Yes</w:t>
            </w:r>
          </w:p>
        </w:tc>
      </w:tr>
      <w:tr>
        <w:tc>
          <w:tcPr>
            <w:tcW w:type="dxa" w:w="23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Cost / credit monitoring</w:t>
            </w:r>
          </w:p>
        </w:tc>
        <w:tc>
          <w:tcPr>
            <w:tcW w:type="dxa" w:w="1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No</w:t>
            </w:r>
          </w:p>
        </w:tc>
        <w:tc>
          <w:tcPr>
            <w:tcW w:type="dxa" w:w="1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No</w:t>
            </w:r>
          </w:p>
        </w:tc>
        <w:tc>
          <w:tcPr>
            <w:tcW w:type="dxa" w:w="1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No</w:t>
            </w:r>
          </w:p>
        </w:tc>
        <w:tc>
          <w:tcPr>
            <w:tcW w:type="dxa" w:w="1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No</w:t>
            </w:r>
          </w:p>
        </w:tc>
        <w:tc>
          <w:tcPr>
            <w:tcW w:type="dxa" w:w="1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Yes</w:t>
            </w:r>
          </w:p>
        </w:tc>
      </w:tr>
    </w:tbl>
    <w:p>
      <w:pPr>
        <w:spacing w:after="160" w:before="0"/>
      </w:pPr>
    </w:p>
    <w:p>
      <w:pPr>
        <w:spacing w:after="160" w:before="80" w:line="276"/>
        <w:jc w:val="both"/>
      </w:pPr>
      <w:r>
        <w:rPr>
          <w:b w:val="false"/>
          <w:bCs w:val="false"/>
          <w:i w:val="false"/>
          <w:iCs w:val="false"/>
          <w:color w:val="2B2B2B"/>
          <w:sz w:val="21"/>
          <w:szCs w:val="21"/>
        </w:rPr>
        <w:t xml:space="preserve">Masking (role-based visibility) and field-level encryption (Phase 0.16) are independent, stacked controls: an approved reveal action still triggers a separately audited decryption step. See TRD Section 8 for the security architecture.</w:t>
      </w:r>
    </w:p>
    <w:p>
      <w:pPr>
        <w:pStyle w:val="Heading1"/>
        <w:pBdr>
          <w:bottom w:val="single" w:color="D4A017" w:sz="8" w:space="4"/>
        </w:pBdr>
        <w:spacing w:after="200" w:before="400"/>
      </w:pPr>
      <w:r>
        <w:rPr>
          <w:b/>
          <w:bCs/>
          <w:color w:val="0B1E3F"/>
          <w:sz w:val="30"/>
          <w:szCs w:val="30"/>
        </w:rPr>
        <w:t xml:space="preserve">9. Challenge Requirement Traceability</w:t>
      </w:r>
    </w:p>
    <w:p>
      <w:pPr>
        <w:spacing w:after="160" w:before="80" w:line="276"/>
        <w:jc w:val="both"/>
      </w:pPr>
      <w:r>
        <w:rPr>
          <w:b w:val="false"/>
          <w:bCs w:val="false"/>
          <w:i w:val="false"/>
          <w:iCs w:val="false"/>
          <w:color w:val="2B2B2B"/>
          <w:sz w:val="21"/>
          <w:szCs w:val="21"/>
        </w:rPr>
        <w:t xml:space="preserve">Every official Datathon 2026 Challenge 01 / Challenge 02 requirement maps to a concrete module in this PRD, so nothing on the judging checklist is left unaddressed.</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4650"/>
        <w:gridCol w:w="4700"/>
      </w:tblGrid>
      <w:tr>
        <w:trPr>
          <w:tblHeader/>
        </w:trPr>
        <w:tc>
          <w:tcPr>
            <w:tcW w:type="dxa" w:w="4650"/>
            <w:shd w:fill="0B1E3F" w:color="auto" w:val="clear"/>
            <w:tcMar>
              <w:top w:type="dxa" w:w="60"/>
              <w:left w:type="dxa" w:w="100"/>
              <w:bottom w:type="dxa" w:w="60"/>
              <w:right w:type="dxa" w:w="100"/>
            </w:tcMar>
          </w:tcPr>
          <w:p>
            <w:pPr>
              <w:spacing w:after="40" w:before="40" w:line="252"/>
            </w:pPr>
            <w:r>
              <w:rPr>
                <w:b/>
                <w:bCs/>
                <w:color w:val="FFFFFF"/>
                <w:sz w:val="19"/>
                <w:szCs w:val="19"/>
              </w:rPr>
              <w:t xml:space="preserve">Challenge Requirement</w:t>
            </w:r>
          </w:p>
        </w:tc>
        <w:tc>
          <w:tcPr>
            <w:tcW w:type="dxa" w:w="4700"/>
            <w:shd w:fill="0B1E3F" w:color="auto" w:val="clear"/>
            <w:tcMar>
              <w:top w:type="dxa" w:w="60"/>
              <w:left w:type="dxa" w:w="100"/>
              <w:bottom w:type="dxa" w:w="60"/>
              <w:right w:type="dxa" w:w="100"/>
            </w:tcMar>
          </w:tcPr>
          <w:p>
            <w:pPr>
              <w:spacing w:after="40" w:before="40" w:line="252"/>
            </w:pPr>
            <w:r>
              <w:rPr>
                <w:b/>
                <w:bCs/>
                <w:color w:val="FFFFFF"/>
                <w:sz w:val="19"/>
                <w:szCs w:val="19"/>
              </w:rPr>
              <w:t xml:space="preserve">CrimeIntel Module</w:t>
            </w:r>
          </w:p>
        </w:tc>
      </w:tr>
      <w:tr>
        <w:tc>
          <w:tcPr>
            <w:tcW w:type="dxa" w:w="46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Chatbot with context retention</w:t>
            </w:r>
          </w:p>
        </w:tc>
        <w:tc>
          <w:tcPr>
            <w:tcW w:type="dxa" w:w="47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Chat Core + Semantic Memory (Phase 4, 0.11)</w:t>
            </w:r>
          </w:p>
        </w:tc>
      </w:tr>
      <w:tr>
        <w:tc>
          <w:tcPr>
            <w:tcW w:type="dxa" w:w="46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Explainable AI with audit trails</w:t>
            </w:r>
          </w:p>
        </w:tc>
        <w:tc>
          <w:tcPr>
            <w:tcW w:type="dxa" w:w="47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Reasoning Engine + Explainability/Audit (Phase 6, 12)</w:t>
            </w:r>
          </w:p>
        </w:tc>
      </w:tr>
      <w:tr>
        <w:tc>
          <w:tcPr>
            <w:tcW w:type="dxa" w:w="46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Network &amp; link analysis</w:t>
            </w:r>
          </w:p>
        </w:tc>
        <w:tc>
          <w:tcPr>
            <w:tcW w:type="dxa" w:w="47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Criminal Network Graph + Entity Resolution (Phase 5, 0.3)</w:t>
            </w:r>
          </w:p>
        </w:tc>
      </w:tr>
      <w:tr>
        <w:tc>
          <w:tcPr>
            <w:tcW w:type="dxa" w:w="46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Bilingual, voice-enabled</w:t>
            </w:r>
          </w:p>
        </w:tc>
        <w:tc>
          <w:tcPr>
            <w:tcW w:type="dxa" w:w="47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Bilingual Support (Phase 11)</w:t>
            </w:r>
          </w:p>
        </w:tc>
      </w:tr>
      <w:tr>
        <w:tc>
          <w:tcPr>
            <w:tcW w:type="dxa" w:w="46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Dashboards, geospatial maps, hotspot detection</w:t>
            </w:r>
          </w:p>
        </w:tc>
        <w:tc>
          <w:tcPr>
            <w:tcW w:type="dxa" w:w="47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Analytics Dashboard (Phase 7)</w:t>
            </w:r>
          </w:p>
        </w:tc>
      </w:tr>
      <w:tr>
        <w:tc>
          <w:tcPr>
            <w:tcW w:type="dxa" w:w="46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Predictive risk scoring</w:t>
            </w:r>
          </w:p>
        </w:tc>
        <w:tc>
          <w:tcPr>
            <w:tcW w:type="dxa" w:w="47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Forecasting &amp; Alerts + Precomputed Offender/Gang Score (Phase 10, 0.1, 0.9)</w:t>
            </w:r>
          </w:p>
        </w:tc>
      </w:tr>
    </w:tbl>
    <w:p>
      <w:pPr>
        <w:pStyle w:val="Heading1"/>
        <w:pBdr>
          <w:bottom w:val="single" w:color="D4A017" w:sz="8" w:space="4"/>
        </w:pBdr>
        <w:spacing w:after="200" w:before="400"/>
      </w:pPr>
      <w:r>
        <w:rPr>
          <w:b/>
          <w:bCs/>
          <w:color w:val="0B1E3F"/>
          <w:sz w:val="30"/>
          <w:szCs w:val="30"/>
        </w:rPr>
        <w:t xml:space="preserve">10. Success Metrics &amp; KPIs</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2200"/>
        <w:gridCol w:w="3600"/>
        <w:gridCol w:w="1700"/>
        <w:gridCol w:w="1850"/>
      </w:tblGrid>
      <w:tr>
        <w:trPr>
          <w:tblHeader/>
        </w:trPr>
        <w:tc>
          <w:tcPr>
            <w:tcW w:type="dxa" w:w="2200"/>
            <w:shd w:fill="0B1E3F" w:color="auto" w:val="clear"/>
            <w:tcMar>
              <w:top w:type="dxa" w:w="60"/>
              <w:left w:type="dxa" w:w="100"/>
              <w:bottom w:type="dxa" w:w="60"/>
              <w:right w:type="dxa" w:w="100"/>
            </w:tcMar>
          </w:tcPr>
          <w:p>
            <w:pPr>
              <w:spacing w:after="40" w:before="40" w:line="252"/>
            </w:pPr>
            <w:r>
              <w:rPr>
                <w:b/>
                <w:bCs/>
                <w:color w:val="FFFFFF"/>
                <w:sz w:val="19"/>
                <w:szCs w:val="19"/>
              </w:rPr>
              <w:t xml:space="preserve">Metric</w:t>
            </w:r>
          </w:p>
        </w:tc>
        <w:tc>
          <w:tcPr>
            <w:tcW w:type="dxa" w:w="3600"/>
            <w:shd w:fill="0B1E3F" w:color="auto" w:val="clear"/>
            <w:tcMar>
              <w:top w:type="dxa" w:w="60"/>
              <w:left w:type="dxa" w:w="100"/>
              <w:bottom w:type="dxa" w:w="60"/>
              <w:right w:type="dxa" w:w="100"/>
            </w:tcMar>
          </w:tcPr>
          <w:p>
            <w:pPr>
              <w:spacing w:after="40" w:before="40" w:line="252"/>
            </w:pPr>
            <w:r>
              <w:rPr>
                <w:b/>
                <w:bCs/>
                <w:color w:val="FFFFFF"/>
                <w:sz w:val="19"/>
                <w:szCs w:val="19"/>
              </w:rPr>
              <w:t xml:space="preserve">Definition</w:t>
            </w:r>
          </w:p>
        </w:tc>
        <w:tc>
          <w:tcPr>
            <w:tcW w:type="dxa" w:w="1700"/>
            <w:shd w:fill="0B1E3F" w:color="auto" w:val="clear"/>
            <w:tcMar>
              <w:top w:type="dxa" w:w="60"/>
              <w:left w:type="dxa" w:w="100"/>
              <w:bottom w:type="dxa" w:w="60"/>
              <w:right w:type="dxa" w:w="100"/>
            </w:tcMar>
          </w:tcPr>
          <w:p>
            <w:pPr>
              <w:spacing w:after="40" w:before="40" w:line="252"/>
            </w:pPr>
            <w:r>
              <w:rPr>
                <w:b/>
                <w:bCs/>
                <w:color w:val="FFFFFF"/>
                <w:sz w:val="19"/>
                <w:szCs w:val="19"/>
              </w:rPr>
              <w:t xml:space="preserve">Target</w:t>
            </w:r>
          </w:p>
        </w:tc>
        <w:tc>
          <w:tcPr>
            <w:tcW w:type="dxa" w:w="1850"/>
            <w:shd w:fill="0B1E3F" w:color="auto" w:val="clear"/>
            <w:tcMar>
              <w:top w:type="dxa" w:w="60"/>
              <w:left w:type="dxa" w:w="100"/>
              <w:bottom w:type="dxa" w:w="60"/>
              <w:right w:type="dxa" w:w="100"/>
            </w:tcMar>
          </w:tcPr>
          <w:p>
            <w:pPr>
              <w:spacing w:after="40" w:before="40" w:line="252"/>
            </w:pPr>
            <w:r>
              <w:rPr>
                <w:b/>
                <w:bCs/>
                <w:color w:val="FFFFFF"/>
                <w:sz w:val="19"/>
                <w:szCs w:val="19"/>
              </w:rPr>
              <w:t xml:space="preserve">Blueprint Ref.</w:t>
            </w:r>
          </w:p>
        </w:tc>
      </w:tr>
      <w:tr>
        <w:tc>
          <w:tcPr>
            <w:tcW w:type="dxa" w:w="22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Citation accuracy</w:t>
            </w:r>
          </w:p>
        </w:tc>
        <w:tc>
          <w:tcPr>
            <w:tcW w:type="dxa" w:w="36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 of AI answer claims that trace to real evidence</w:t>
            </w:r>
          </w:p>
        </w:tc>
        <w:tc>
          <w:tcPr>
            <w:tcW w:type="dxa" w:w="17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 95%</w:t>
            </w:r>
          </w:p>
        </w:tc>
        <w:tc>
          <w:tcPr>
            <w:tcW w:type="dxa" w:w="18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Phase 0.18</w:t>
            </w:r>
          </w:p>
        </w:tc>
      </w:tr>
      <w:tr>
        <w:tc>
          <w:tcPr>
            <w:tcW w:type="dxa" w:w="22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Answer latency</w:t>
            </w:r>
          </w:p>
        </w:tc>
        <w:tc>
          <w:tcPr>
            <w:tcW w:type="dxa" w:w="36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p50 / p95 response time for a cached-path query</w:t>
            </w:r>
          </w:p>
        </w:tc>
        <w:tc>
          <w:tcPr>
            <w:tcW w:type="dxa" w:w="17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&lt;3s / &lt;6s</w:t>
            </w:r>
          </w:p>
        </w:tc>
        <w:tc>
          <w:tcPr>
            <w:tcW w:type="dxa" w:w="18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Phase 15, 24</w:t>
            </w:r>
          </w:p>
        </w:tc>
      </w:tr>
      <w:tr>
        <w:tc>
          <w:tcPr>
            <w:tcW w:type="dxa" w:w="22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Verifier catch rate</w:t>
            </w:r>
          </w:p>
        </w:tc>
        <w:tc>
          <w:tcPr>
            <w:tcW w:type="dxa" w:w="36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 of unsupported claims correctly flagged before reaching the user</w:t>
            </w:r>
          </w:p>
        </w:tc>
        <w:tc>
          <w:tcPr>
            <w:tcW w:type="dxa" w:w="17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 90%</w:t>
            </w:r>
          </w:p>
        </w:tc>
        <w:tc>
          <w:tcPr>
            <w:tcW w:type="dxa" w:w="18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Phase 0.5, 0.14</w:t>
            </w:r>
          </w:p>
        </w:tc>
      </w:tr>
      <w:tr>
        <w:tc>
          <w:tcPr>
            <w:tcW w:type="dxa" w:w="22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Masking integrity</w:t>
            </w:r>
          </w:p>
        </w:tc>
        <w:tc>
          <w:tcPr>
            <w:tcW w:type="dxa" w:w="36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Crafted cross-role/cross-district query returns zero unauthorized rows</w:t>
            </w:r>
          </w:p>
        </w:tc>
        <w:tc>
          <w:tcPr>
            <w:tcW w:type="dxa" w:w="17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100%</w:t>
            </w:r>
          </w:p>
        </w:tc>
        <w:tc>
          <w:tcPr>
            <w:tcW w:type="dxa" w:w="18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Phase 0.15</w:t>
            </w:r>
          </w:p>
        </w:tc>
      </w:tr>
      <w:tr>
        <w:tc>
          <w:tcPr>
            <w:tcW w:type="dxa" w:w="22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Bilingual parity</w:t>
            </w:r>
          </w:p>
        </w:tc>
        <w:tc>
          <w:tcPr>
            <w:tcW w:type="dxa" w:w="36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UI strings with a missing/incorrect Kannada translation</w:t>
            </w:r>
          </w:p>
        </w:tc>
        <w:tc>
          <w:tcPr>
            <w:tcW w:type="dxa" w:w="17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0</w:t>
            </w:r>
          </w:p>
        </w:tc>
        <w:tc>
          <w:tcPr>
            <w:tcW w:type="dxa" w:w="18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Phase 11</w:t>
            </w:r>
          </w:p>
        </w:tc>
      </w:tr>
      <w:tr>
        <w:tc>
          <w:tcPr>
            <w:tcW w:type="dxa" w:w="22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Pilot adoption (post-hackathon)</w:t>
            </w:r>
          </w:p>
        </w:tc>
        <w:tc>
          <w:tcPr>
            <w:tcW w:type="dxa" w:w="36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Active weekly Investigator users during pilot window</w:t>
            </w:r>
          </w:p>
        </w:tc>
        <w:tc>
          <w:tcPr>
            <w:tcW w:type="dxa" w:w="17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KPI set with KSP POC</w:t>
            </w:r>
          </w:p>
        </w:tc>
        <w:tc>
          <w:tcPr>
            <w:tcW w:type="dxa" w:w="18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Phase 0.18.5</w:t>
            </w:r>
          </w:p>
        </w:tc>
      </w:tr>
    </w:tbl>
    <w:p>
      <w:pPr>
        <w:pStyle w:val="Heading1"/>
        <w:pBdr>
          <w:bottom w:val="single" w:color="D4A017" w:sz="8" w:space="4"/>
        </w:pBdr>
        <w:spacing w:after="200" w:before="400"/>
      </w:pPr>
      <w:r>
        <w:rPr>
          <w:b/>
          <w:bCs/>
          <w:color w:val="0B1E3F"/>
          <w:sz w:val="30"/>
          <w:szCs w:val="30"/>
        </w:rPr>
        <w:t xml:space="preserve">11. Assumptions, Dependencies &amp; Constraints</w:t>
      </w:r>
    </w:p>
    <w:p>
      <w:pPr>
        <w:pStyle w:val="Heading2"/>
        <w:spacing w:after="140" w:before="300"/>
      </w:pPr>
      <w:r>
        <w:rPr>
          <w:b/>
          <w:bCs/>
          <w:color w:val="0B1E3F"/>
          <w:sz w:val="25"/>
          <w:szCs w:val="25"/>
        </w:rPr>
        <w:t xml:space="preserve">11.1 Assumptions</w:t>
      </w:r>
    </w:p>
    <w:p>
      <w:pPr>
        <w:pStyle w:val="ListParagraph"/>
        <w:numPr>
          <w:ilvl w:val="0"/>
          <w:numId w:val="2"/>
        </w:numPr>
        <w:spacing w:after="40" w:before="40" w:line="264"/>
      </w:pPr>
      <w:r>
        <w:rPr>
          <w:color w:val="2B2B2B"/>
          <w:sz w:val="21"/>
          <w:szCs w:val="21"/>
        </w:rPr>
        <w:t xml:space="preserve">The KSP FIR ER schema as provided (23 tables) is authoritative; three known gaps (informant-identity modelling, an under-specified arrest–accused junction table, and a possibly-duplicate occurrence-time table) are documented as explicit assumptions pending KSP technical point-of-contact confirmation.</w:t>
      </w:r>
    </w:p>
    <w:p>
      <w:pPr>
        <w:pStyle w:val="ListParagraph"/>
        <w:numPr>
          <w:ilvl w:val="0"/>
          <w:numId w:val="2"/>
        </w:numPr>
        <w:spacing w:after="40" w:before="40" w:line="264"/>
      </w:pPr>
      <w:r>
        <w:rPr>
          <w:color w:val="2B2B2B"/>
          <w:sz w:val="21"/>
          <w:szCs w:val="21"/>
        </w:rPr>
        <w:t xml:space="preserve">Only CaseMaster carries point-level geolocation; all other geo references (arrests, courts, units) are district/state-level only, and dashboards must not assume otherwise.</w:t>
      </w:r>
    </w:p>
    <w:p>
      <w:pPr>
        <w:pStyle w:val="ListParagraph"/>
        <w:numPr>
          <w:ilvl w:val="0"/>
          <w:numId w:val="2"/>
        </w:numPr>
        <w:spacing w:after="40" w:before="40" w:line="264"/>
      </w:pPr>
      <w:r>
        <w:rPr>
          <w:color w:val="2B2B2B"/>
          <w:sz w:val="21"/>
          <w:szCs w:val="21"/>
        </w:rPr>
        <w:t xml:space="preserve">A synthetic dataset (500+ persons, 200+ FIRs, 2,000+ relationship edges) stands in for production data during build and demo.</w:t>
      </w:r>
    </w:p>
    <w:p>
      <w:pPr>
        <w:pStyle w:val="Heading2"/>
        <w:spacing w:after="140" w:before="300"/>
      </w:pPr>
      <w:r>
        <w:rPr>
          <w:b/>
          <w:bCs/>
          <w:color w:val="0B1E3F"/>
          <w:sz w:val="25"/>
          <w:szCs w:val="25"/>
        </w:rPr>
        <w:t xml:space="preserve">11.2 Dependencies</w:t>
      </w:r>
    </w:p>
    <w:p>
      <w:pPr>
        <w:pStyle w:val="ListParagraph"/>
        <w:numPr>
          <w:ilvl w:val="0"/>
          <w:numId w:val="2"/>
        </w:numPr>
        <w:spacing w:after="40" w:before="40" w:line="264"/>
      </w:pPr>
      <w:r>
        <w:rPr>
          <w:color w:val="2B2B2B"/>
          <w:sz w:val="21"/>
          <w:szCs w:val="21"/>
        </w:rPr>
        <w:t xml:space="preserve">KSP technical point of contact for schema-gap confirmation and eventual production data access.</w:t>
      </w:r>
    </w:p>
    <w:p>
      <w:pPr>
        <w:pStyle w:val="ListParagraph"/>
        <w:numPr>
          <w:ilvl w:val="0"/>
          <w:numId w:val="2"/>
        </w:numPr>
        <w:spacing w:after="40" w:before="40" w:line="264"/>
      </w:pPr>
      <w:r>
        <w:rPr>
          <w:color w:val="2B2B2B"/>
          <w:sz w:val="21"/>
          <w:szCs w:val="21"/>
        </w:rPr>
        <w:t xml:space="preserve">Zoho Catalyst platform availability and credit allocation (tracked per TRD Section 9.3).</w:t>
      </w:r>
    </w:p>
    <w:p>
      <w:pPr>
        <w:pStyle w:val="ListParagraph"/>
        <w:numPr>
          <w:ilvl w:val="0"/>
          <w:numId w:val="2"/>
        </w:numPr>
        <w:spacing w:after="40" w:before="40" w:line="264"/>
      </w:pPr>
      <w:r>
        <w:rPr>
          <w:color w:val="2B2B2B"/>
          <w:sz w:val="21"/>
          <w:szCs w:val="21"/>
        </w:rPr>
        <w:t xml:space="preserve">External map-tile provider and, if Zia's native language coverage proves insufficient for Kannada, a supplementary Kannada NLU/ASR service (see TRD Section 6 for the full non-Catalyst dependency list).</w:t>
      </w:r>
    </w:p>
    <w:p>
      <w:pPr>
        <w:pStyle w:val="Heading2"/>
        <w:spacing w:after="140" w:before="300"/>
      </w:pPr>
      <w:r>
        <w:rPr>
          <w:b/>
          <w:bCs/>
          <w:color w:val="0B1E3F"/>
          <w:sz w:val="25"/>
          <w:szCs w:val="25"/>
        </w:rPr>
        <w:t xml:space="preserve">11.3 Constraints</w:t>
      </w:r>
    </w:p>
    <w:p>
      <w:pPr>
        <w:pStyle w:val="ListParagraph"/>
        <w:numPr>
          <w:ilvl w:val="0"/>
          <w:numId w:val="2"/>
        </w:numPr>
        <w:spacing w:after="40" w:before="40" w:line="264"/>
      </w:pPr>
      <w:r>
        <w:rPr>
          <w:color w:val="2B2B2B"/>
          <w:sz w:val="21"/>
          <w:szCs w:val="21"/>
        </w:rPr>
        <w:t xml:space="preserve">No production write-back to CCTNS/ICJS in this release.</w:t>
      </w:r>
    </w:p>
    <w:p>
      <w:pPr>
        <w:pStyle w:val="ListParagraph"/>
        <w:numPr>
          <w:ilvl w:val="0"/>
          <w:numId w:val="2"/>
        </w:numPr>
        <w:spacing w:after="40" w:before="40" w:line="264"/>
      </w:pPr>
      <w:r>
        <w:rPr>
          <w:color w:val="2B2B2B"/>
          <w:sz w:val="21"/>
          <w:szCs w:val="21"/>
        </w:rPr>
        <w:t xml:space="preserve">All AI-generated output must be citation-backed or explicitly flagged as unverified — never presented as fact without evidence.</w:t>
      </w:r>
    </w:p>
    <w:p>
      <w:pPr>
        <w:pStyle w:val="ListParagraph"/>
        <w:numPr>
          <w:ilvl w:val="0"/>
          <w:numId w:val="2"/>
        </w:numPr>
        <w:spacing w:after="40" w:before="40" w:line="264"/>
      </w:pPr>
      <w:r>
        <w:rPr>
          <w:color w:val="2B2B2B"/>
          <w:sz w:val="21"/>
          <w:szCs w:val="21"/>
        </w:rPr>
        <w:t xml:space="preserve">Every new data field must be sensitivity-classified before it is wired into any retriever, dashboard, or export.</w:t>
      </w:r>
    </w:p>
    <w:p>
      <w:pPr>
        <w:pStyle w:val="Heading2"/>
        <w:spacing w:after="140" w:before="300"/>
      </w:pPr>
      <w:r>
        <w:rPr>
          <w:b/>
          <w:bCs/>
          <w:color w:val="0B1E3F"/>
          <w:sz w:val="25"/>
          <w:szCs w:val="25"/>
        </w:rPr>
        <w:t xml:space="preserve">11.4 Risk Register</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2650"/>
        <w:gridCol w:w="1000"/>
        <w:gridCol w:w="1100"/>
        <w:gridCol w:w="4600"/>
      </w:tblGrid>
      <w:tr>
        <w:trPr>
          <w:tblHeader/>
        </w:trPr>
        <w:tc>
          <w:tcPr>
            <w:tcW w:type="dxa" w:w="2650"/>
            <w:shd w:fill="0B1E3F" w:color="auto" w:val="clear"/>
            <w:tcMar>
              <w:top w:type="dxa" w:w="60"/>
              <w:left w:type="dxa" w:w="100"/>
              <w:bottom w:type="dxa" w:w="60"/>
              <w:right w:type="dxa" w:w="100"/>
            </w:tcMar>
          </w:tcPr>
          <w:p>
            <w:pPr>
              <w:spacing w:after="40" w:before="40" w:line="252"/>
            </w:pPr>
            <w:r>
              <w:rPr>
                <w:b/>
                <w:bCs/>
                <w:color w:val="FFFFFF"/>
                <w:sz w:val="19"/>
                <w:szCs w:val="19"/>
              </w:rPr>
              <w:t xml:space="preserve">Risk</w:t>
            </w:r>
          </w:p>
        </w:tc>
        <w:tc>
          <w:tcPr>
            <w:tcW w:type="dxa" w:w="1000"/>
            <w:shd w:fill="0B1E3F" w:color="auto" w:val="clear"/>
            <w:tcMar>
              <w:top w:type="dxa" w:w="60"/>
              <w:left w:type="dxa" w:w="100"/>
              <w:bottom w:type="dxa" w:w="60"/>
              <w:right w:type="dxa" w:w="100"/>
            </w:tcMar>
          </w:tcPr>
          <w:p>
            <w:pPr>
              <w:spacing w:after="40" w:before="40" w:line="252"/>
            </w:pPr>
            <w:r>
              <w:rPr>
                <w:b/>
                <w:bCs/>
                <w:color w:val="FFFFFF"/>
                <w:sz w:val="19"/>
                <w:szCs w:val="19"/>
              </w:rPr>
              <w:t xml:space="preserve">Impact</w:t>
            </w:r>
          </w:p>
        </w:tc>
        <w:tc>
          <w:tcPr>
            <w:tcW w:type="dxa" w:w="1100"/>
            <w:shd w:fill="0B1E3F" w:color="auto" w:val="clear"/>
            <w:tcMar>
              <w:top w:type="dxa" w:w="60"/>
              <w:left w:type="dxa" w:w="100"/>
              <w:bottom w:type="dxa" w:w="60"/>
              <w:right w:type="dxa" w:w="100"/>
            </w:tcMar>
          </w:tcPr>
          <w:p>
            <w:pPr>
              <w:spacing w:after="40" w:before="40" w:line="252"/>
            </w:pPr>
            <w:r>
              <w:rPr>
                <w:b/>
                <w:bCs/>
                <w:color w:val="FFFFFF"/>
                <w:sz w:val="19"/>
                <w:szCs w:val="19"/>
              </w:rPr>
              <w:t xml:space="preserve">Likelihood</w:t>
            </w:r>
          </w:p>
        </w:tc>
        <w:tc>
          <w:tcPr>
            <w:tcW w:type="dxa" w:w="4600"/>
            <w:shd w:fill="0B1E3F" w:color="auto" w:val="clear"/>
            <w:tcMar>
              <w:top w:type="dxa" w:w="60"/>
              <w:left w:type="dxa" w:w="100"/>
              <w:bottom w:type="dxa" w:w="60"/>
              <w:right w:type="dxa" w:w="100"/>
            </w:tcMar>
          </w:tcPr>
          <w:p>
            <w:pPr>
              <w:spacing w:after="40" w:before="40" w:line="252"/>
            </w:pPr>
            <w:r>
              <w:rPr>
                <w:b/>
                <w:bCs/>
                <w:color w:val="FFFFFF"/>
                <w:sz w:val="19"/>
                <w:szCs w:val="19"/>
              </w:rPr>
              <w:t xml:space="preserve">Mitigation</w:t>
            </w:r>
          </w:p>
        </w:tc>
      </w:tr>
      <w:tr>
        <w:tc>
          <w:tcPr>
            <w:tcW w:type="dxa" w:w="26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AI answer states an unsupported claim as fact</w:t>
            </w:r>
          </w:p>
        </w:tc>
        <w:tc>
          <w:tcPr>
            <w:tcW w:type="dxa" w:w="1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High</w:t>
            </w:r>
          </w:p>
        </w:tc>
        <w:tc>
          <w:tcPr>
            <w:tcW w:type="dxa" w:w="11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Medium</w:t>
            </w:r>
          </w:p>
        </w:tc>
        <w:tc>
          <w:tcPr>
            <w:tcW w:type="dxa" w:w="46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Verifier agent + mandatory citation trail (FR-9.1) + human review queue (0.14)</w:t>
            </w:r>
          </w:p>
        </w:tc>
      </w:tr>
      <w:tr>
        <w:tc>
          <w:tcPr>
            <w:tcW w:type="dxa" w:w="26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Sensitive attribute (caste/religion/juvenile) leaks via an unmasked path</w:t>
            </w:r>
          </w:p>
        </w:tc>
        <w:tc>
          <w:tcPr>
            <w:tcW w:type="dxa" w:w="10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High</w:t>
            </w:r>
          </w:p>
        </w:tc>
        <w:tc>
          <w:tcPr>
            <w:tcW w:type="dxa" w:w="11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Low</w:t>
            </w:r>
          </w:p>
        </w:tc>
        <w:tc>
          <w:tcPr>
            <w:tcW w:type="dxa" w:w="46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Independent stacked controls: RBAC masking (0.15) + field-level encryption (0.16), both audited</w:t>
            </w:r>
          </w:p>
        </w:tc>
      </w:tr>
      <w:tr>
        <w:tc>
          <w:tcPr>
            <w:tcW w:type="dxa" w:w="26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Kannada language quality lags English</w:t>
            </w:r>
          </w:p>
        </w:tc>
        <w:tc>
          <w:tcPr>
            <w:tcW w:type="dxa" w:w="1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Medium</w:t>
            </w:r>
          </w:p>
        </w:tc>
        <w:tc>
          <w:tcPr>
            <w:tcW w:type="dxa" w:w="11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Medium</w:t>
            </w:r>
          </w:p>
        </w:tc>
        <w:tc>
          <w:tcPr>
            <w:tcW w:type="dxa" w:w="46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Dedicated Phase 11 parity testing; escalate to non-Catalyst Kannada NLU if Zia coverage is insufficient</w:t>
            </w:r>
          </w:p>
        </w:tc>
      </w:tr>
      <w:tr>
        <w:tc>
          <w:tcPr>
            <w:tcW w:type="dxa" w:w="26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Precomputation cost exceeds Catalyst credit budget at scale</w:t>
            </w:r>
          </w:p>
        </w:tc>
        <w:tc>
          <w:tcPr>
            <w:tcW w:type="dxa" w:w="10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Medium</w:t>
            </w:r>
          </w:p>
        </w:tc>
        <w:tc>
          <w:tcPr>
            <w:tcW w:type="dxa" w:w="11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Medium</w:t>
            </w:r>
          </w:p>
        </w:tc>
        <w:tc>
          <w:tcPr>
            <w:tcW w:type="dxa" w:w="46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Cost/credit tracking from Phase 1 (0.17.3); standing precomputation instead of inline recomputation</w:t>
            </w:r>
          </w:p>
        </w:tc>
      </w:tr>
      <w:tr>
        <w:tc>
          <w:tcPr>
            <w:tcW w:type="dxa" w:w="26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Schema gaps (informant identity, arrest–accused junction) block downstream phases</w:t>
            </w:r>
          </w:p>
        </w:tc>
        <w:tc>
          <w:tcPr>
            <w:tcW w:type="dxa" w:w="1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Medium</w:t>
            </w:r>
          </w:p>
        </w:tc>
        <w:tc>
          <w:tcPr>
            <w:tcW w:type="dxa" w:w="11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Medium</w:t>
            </w:r>
          </w:p>
        </w:tc>
        <w:tc>
          <w:tcPr>
            <w:tcW w:type="dxa" w:w="46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Explicit documented assumptions (0.0.4) + early KSP POC engagement</w:t>
            </w:r>
          </w:p>
        </w:tc>
      </w:tr>
      <w:tr>
        <w:tc>
          <w:tcPr>
            <w:tcW w:type="dxa" w:w="26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Live demo failure during judging</w:t>
            </w:r>
          </w:p>
        </w:tc>
        <w:tc>
          <w:tcPr>
            <w:tcW w:type="dxa" w:w="10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Medium</w:t>
            </w:r>
          </w:p>
        </w:tc>
        <w:tc>
          <w:tcPr>
            <w:tcW w:type="dxa" w:w="11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Low</w:t>
            </w:r>
          </w:p>
        </w:tc>
        <w:tc>
          <w:tcPr>
            <w:tcW w:type="dxa" w:w="46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Three-tier fallback: cached demo mode → local build → recorded video (Phase 26.3)</w:t>
            </w:r>
          </w:p>
        </w:tc>
      </w:tr>
    </w:tbl>
    <w:p>
      <w:pPr>
        <w:pStyle w:val="Heading1"/>
        <w:pBdr>
          <w:bottom w:val="single" w:color="D4A017" w:sz="8" w:space="4"/>
        </w:pBdr>
        <w:spacing w:after="200" w:before="400"/>
      </w:pPr>
      <w:r>
        <w:rPr>
          <w:b/>
          <w:bCs/>
          <w:color w:val="0B1E3F"/>
          <w:sz w:val="30"/>
          <w:szCs w:val="30"/>
        </w:rPr>
        <w:t xml:space="preserve">12. Release Plan &amp; Roadmap</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1300"/>
        <w:gridCol w:w="2000"/>
        <w:gridCol w:w="6050"/>
      </w:tblGrid>
      <w:tr>
        <w:trPr>
          <w:tblHeader/>
        </w:trPr>
        <w:tc>
          <w:tcPr>
            <w:tcW w:type="dxa" w:w="1300"/>
            <w:shd w:fill="0B1E3F" w:color="auto" w:val="clear"/>
            <w:tcMar>
              <w:top w:type="dxa" w:w="60"/>
              <w:left w:type="dxa" w:w="100"/>
              <w:bottom w:type="dxa" w:w="60"/>
              <w:right w:type="dxa" w:w="100"/>
            </w:tcMar>
          </w:tcPr>
          <w:p>
            <w:pPr>
              <w:spacing w:after="40" w:before="40" w:line="252"/>
            </w:pPr>
            <w:r>
              <w:rPr>
                <w:b/>
                <w:bCs/>
                <w:color w:val="FFFFFF"/>
                <w:sz w:val="19"/>
                <w:szCs w:val="19"/>
              </w:rPr>
              <w:t xml:space="preserve">Phase Range</w:t>
            </w:r>
          </w:p>
        </w:tc>
        <w:tc>
          <w:tcPr>
            <w:tcW w:type="dxa" w:w="2000"/>
            <w:shd w:fill="0B1E3F" w:color="auto" w:val="clear"/>
            <w:tcMar>
              <w:top w:type="dxa" w:w="60"/>
              <w:left w:type="dxa" w:w="100"/>
              <w:bottom w:type="dxa" w:w="60"/>
              <w:right w:type="dxa" w:w="100"/>
            </w:tcMar>
          </w:tcPr>
          <w:p>
            <w:pPr>
              <w:spacing w:after="40" w:before="40" w:line="252"/>
            </w:pPr>
            <w:r>
              <w:rPr>
                <w:b/>
                <w:bCs/>
                <w:color w:val="FFFFFF"/>
                <w:sz w:val="19"/>
                <w:szCs w:val="19"/>
              </w:rPr>
              <w:t xml:space="preserve">Purpose</w:t>
            </w:r>
          </w:p>
        </w:tc>
        <w:tc>
          <w:tcPr>
            <w:tcW w:type="dxa" w:w="6050"/>
            <w:shd w:fill="0B1E3F" w:color="auto" w:val="clear"/>
            <w:tcMar>
              <w:top w:type="dxa" w:w="60"/>
              <w:left w:type="dxa" w:w="100"/>
              <w:bottom w:type="dxa" w:w="60"/>
              <w:right w:type="dxa" w:w="100"/>
            </w:tcMar>
          </w:tcPr>
          <w:p>
            <w:pPr>
              <w:spacing w:after="40" w:before="40" w:line="252"/>
            </w:pPr>
            <w:r>
              <w:rPr>
                <w:b/>
                <w:bCs/>
                <w:color w:val="FFFFFF"/>
                <w:sz w:val="19"/>
                <w:szCs w:val="19"/>
              </w:rPr>
              <w:t xml:space="preserve">Description</w:t>
            </w:r>
          </w:p>
        </w:tc>
      </w:tr>
      <w:tr>
        <w:tc>
          <w:tcPr>
            <w:tcW w:type="dxa" w:w="1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0.0 – 0.18</w:t>
            </w:r>
          </w:p>
        </w:tc>
        <w:tc>
          <w:tcPr>
            <w:tcW w:type="dxa" w:w="2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Intelligence Architecture</w:t>
            </w:r>
          </w:p>
        </w:tc>
        <w:tc>
          <w:tcPr>
            <w:tcW w:type="dxa" w:w="60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Standing substrate: schema, retrieval, entity resolution, GraphRAG, agents, security, Catalyst service mapping — built before Phase 1 so later phases have something to read from.</w:t>
            </w:r>
          </w:p>
        </w:tc>
      </w:tr>
      <w:tr>
        <w:tc>
          <w:tcPr>
            <w:tcW w:type="dxa" w:w="13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1 – 15</w:t>
            </w:r>
          </w:p>
        </w:tc>
        <w:tc>
          <w:tcPr>
            <w:tcW w:type="dxa" w:w="20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Build</w:t>
            </w:r>
          </w:p>
        </w:tc>
        <w:tc>
          <w:tcPr>
            <w:tcW w:type="dxa" w:w="60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Zero to fully deployed, demo-ready platform across all functional modules in Section 6.</w:t>
            </w:r>
          </w:p>
        </w:tc>
      </w:tr>
      <w:tr>
        <w:tc>
          <w:tcPr>
            <w:tcW w:type="dxa" w:w="1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16 – 25</w:t>
            </w:r>
          </w:p>
        </w:tc>
        <w:tc>
          <w:tcPr>
            <w:tcW w:type="dxa" w:w="2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Upgrade</w:t>
            </w:r>
          </w:p>
        </w:tc>
        <w:tc>
          <w:tcPr>
            <w:tcW w:type="dxa" w:w="60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Hackathon-grade → enterprise-grade: real-time events, GNN graph analytics, mobile PWA, OCR intelligence, security hardening, performance engineering, extensibility.</w:t>
            </w:r>
          </w:p>
        </w:tc>
      </w:tr>
      <w:tr>
        <w:tc>
          <w:tcPr>
            <w:tcW w:type="dxa" w:w="13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26</w:t>
            </w:r>
          </w:p>
        </w:tc>
        <w:tc>
          <w:tcPr>
            <w:tcW w:type="dxa" w:w="20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Present</w:t>
            </w:r>
          </w:p>
        </w:tc>
        <w:tc>
          <w:tcPr>
            <w:tcW w:type="dxa" w:w="60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Deployment checklist, timed demo script, fallback plan, anticipated judge Q&amp;A, executive summary generated from Sections 4/9 of the TRD.</w:t>
            </w:r>
          </w:p>
        </w:tc>
      </w:tr>
    </w:tbl>
    <w:p>
      <w:pPr>
        <w:spacing w:after="160" w:before="0"/>
      </w:pPr>
    </w:p>
    <w:p>
      <w:pPr>
        <w:spacing w:after="160" w:before="80" w:line="276"/>
        <w:jc w:val="both"/>
      </w:pPr>
      <w:r>
        <w:rPr>
          <w:b w:val="false"/>
          <w:bCs w:val="false"/>
          <w:i/>
          <w:iCs/>
          <w:color w:val="2B2B2B"/>
          <w:sz w:val="21"/>
          <w:szCs w:val="21"/>
        </w:rPr>
        <w:t xml:space="preserve">Recommended build order: the Intelligence Architecture minimum viable subset (0.1 Crime Intelligence Layer, 0.2 Hybrid Retrieval, 0.9 Precomputation) first, since Phases 1–15 assume it exists; fold 0.16's data/application security in alongside 0.15 rather than deferring it, since it is one continuous governance story; then Phases 1–15 sequentially; Phases 16–25 prioritised by deployment value.</w:t>
      </w:r>
    </w:p>
    <w:p>
      <w:pPr>
        <w:pStyle w:val="Heading1"/>
        <w:pBdr>
          <w:bottom w:val="single" w:color="D4A017" w:sz="8" w:space="4"/>
        </w:pBdr>
        <w:spacing w:after="200" w:before="400"/>
      </w:pPr>
      <w:r>
        <w:rPr>
          <w:b/>
          <w:bCs/>
          <w:color w:val="0B1E3F"/>
          <w:sz w:val="30"/>
          <w:szCs w:val="30"/>
        </w:rPr>
        <w:t xml:space="preserve">13. Appendix</w:t>
      </w:r>
    </w:p>
    <w:p>
      <w:pPr>
        <w:pStyle w:val="Heading2"/>
        <w:spacing w:after="140" w:before="300"/>
      </w:pPr>
      <w:r>
        <w:rPr>
          <w:b/>
          <w:bCs/>
          <w:color w:val="0B1E3F"/>
          <w:sz w:val="25"/>
          <w:szCs w:val="25"/>
        </w:rPr>
        <w:t xml:space="preserve">13.1 Related Documents</w:t>
      </w:r>
    </w:p>
    <w:p>
      <w:pPr>
        <w:pStyle w:val="ListParagraph"/>
        <w:numPr>
          <w:ilvl w:val="0"/>
          <w:numId w:val="2"/>
        </w:numPr>
        <w:spacing w:after="40" w:before="40" w:line="264"/>
      </w:pPr>
      <w:r>
        <w:rPr>
          <w:color w:val="2B2B2B"/>
          <w:sz w:val="21"/>
          <w:szCs w:val="21"/>
        </w:rPr>
        <w:t xml:space="preserve">Technical Requirements Document (TRD) — CrimeIntel — system architecture, full Zoho Catalyst service mapping, data architecture, security architecture</w:t>
      </w:r>
    </w:p>
    <w:p>
      <w:pPr>
        <w:pStyle w:val="ListParagraph"/>
        <w:numPr>
          <w:ilvl w:val="0"/>
          <w:numId w:val="2"/>
        </w:numPr>
        <w:spacing w:after="40" w:before="40" w:line="264"/>
      </w:pPr>
      <w:r>
        <w:rPr>
          <w:color w:val="2B2B2B"/>
          <w:sz w:val="21"/>
          <w:szCs w:val="21"/>
        </w:rPr>
        <w:t xml:space="preserve">CrimeIntel 25-Phase Development Blueprint (source planning document)</w:t>
      </w:r>
    </w:p>
    <w:p>
      <w:pPr>
        <w:pStyle w:val="Heading2"/>
        <w:spacing w:after="140" w:before="300"/>
      </w:pPr>
      <w:r>
        <w:rPr>
          <w:b/>
          <w:bCs/>
          <w:color w:val="0B1E3F"/>
          <w:sz w:val="25"/>
          <w:szCs w:val="25"/>
        </w:rPr>
        <w:t xml:space="preserve">13.2 Glossary</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2200"/>
        <w:gridCol w:w="7150"/>
      </w:tblGrid>
      <w:tr>
        <w:trPr>
          <w:tblHeader/>
        </w:trPr>
        <w:tc>
          <w:tcPr>
            <w:tcW w:type="dxa" w:w="2200"/>
            <w:shd w:fill="0B1E3F" w:color="auto" w:val="clear"/>
            <w:tcMar>
              <w:top w:type="dxa" w:w="60"/>
              <w:left w:type="dxa" w:w="100"/>
              <w:bottom w:type="dxa" w:w="60"/>
              <w:right w:type="dxa" w:w="100"/>
            </w:tcMar>
          </w:tcPr>
          <w:p>
            <w:pPr>
              <w:spacing w:after="40" w:before="40" w:line="252"/>
            </w:pPr>
            <w:r>
              <w:rPr>
                <w:b/>
                <w:bCs/>
                <w:color w:val="FFFFFF"/>
                <w:sz w:val="19"/>
                <w:szCs w:val="19"/>
              </w:rPr>
              <w:t xml:space="preserve">Term</w:t>
            </w:r>
          </w:p>
        </w:tc>
        <w:tc>
          <w:tcPr>
            <w:tcW w:type="dxa" w:w="7150"/>
            <w:shd w:fill="0B1E3F" w:color="auto" w:val="clear"/>
            <w:tcMar>
              <w:top w:type="dxa" w:w="60"/>
              <w:left w:type="dxa" w:w="100"/>
              <w:bottom w:type="dxa" w:w="60"/>
              <w:right w:type="dxa" w:w="100"/>
            </w:tcMar>
          </w:tcPr>
          <w:p>
            <w:pPr>
              <w:spacing w:after="40" w:before="40" w:line="252"/>
            </w:pPr>
            <w:r>
              <w:rPr>
                <w:b/>
                <w:bCs/>
                <w:color w:val="FFFFFF"/>
                <w:sz w:val="19"/>
                <w:szCs w:val="19"/>
              </w:rPr>
              <w:t xml:space="preserve">Meaning</w:t>
            </w:r>
          </w:p>
        </w:tc>
      </w:tr>
      <w:tr>
        <w:tc>
          <w:tcPr>
            <w:tcW w:type="dxa" w:w="22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FIR</w:t>
            </w:r>
          </w:p>
        </w:tc>
        <w:tc>
          <w:tcPr>
            <w:tcW w:type="dxa" w:w="71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First Information Report — the initiating crime record in the Indian criminal justice system</w:t>
            </w:r>
          </w:p>
        </w:tc>
      </w:tr>
      <w:tr>
        <w:tc>
          <w:tcPr>
            <w:tcW w:type="dxa" w:w="22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RBAC</w:t>
            </w:r>
          </w:p>
        </w:tc>
        <w:tc>
          <w:tcPr>
            <w:tcW w:type="dxa" w:w="71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Role-Based Access Control</w:t>
            </w:r>
          </w:p>
        </w:tc>
      </w:tr>
      <w:tr>
        <w:tc>
          <w:tcPr>
            <w:tcW w:type="dxa" w:w="22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RAG</w:t>
            </w:r>
          </w:p>
        </w:tc>
        <w:tc>
          <w:tcPr>
            <w:tcW w:type="dxa" w:w="71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Retrieval-Augmented Generation</w:t>
            </w:r>
          </w:p>
        </w:tc>
      </w:tr>
      <w:tr>
        <w:tc>
          <w:tcPr>
            <w:tcW w:type="dxa" w:w="22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GraphRAG</w:t>
            </w:r>
          </w:p>
        </w:tc>
        <w:tc>
          <w:tcPr>
            <w:tcW w:type="dxa" w:w="71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RAG variant that expands retrieval through a relationship graph before ranking</w:t>
            </w:r>
          </w:p>
        </w:tc>
      </w:tr>
      <w:tr>
        <w:tc>
          <w:tcPr>
            <w:tcW w:type="dxa" w:w="22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GNN</w:t>
            </w:r>
          </w:p>
        </w:tc>
        <w:tc>
          <w:tcPr>
            <w:tcW w:type="dxa" w:w="71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Graph Neural Network</w:t>
            </w:r>
          </w:p>
        </w:tc>
      </w:tr>
      <w:tr>
        <w:tc>
          <w:tcPr>
            <w:tcW w:type="dxa" w:w="22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PWA</w:t>
            </w:r>
          </w:p>
        </w:tc>
        <w:tc>
          <w:tcPr>
            <w:tcW w:type="dxa" w:w="71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Progressive Web App</w:t>
            </w:r>
          </w:p>
        </w:tc>
      </w:tr>
      <w:tr>
        <w:tc>
          <w:tcPr>
            <w:tcW w:type="dxa" w:w="22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KSP</w:t>
            </w:r>
          </w:p>
        </w:tc>
        <w:tc>
          <w:tcPr>
            <w:tcW w:type="dxa" w:w="71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Karnataka State Police</w:t>
            </w:r>
          </w:p>
        </w:tc>
      </w:tr>
      <w:tr>
        <w:tc>
          <w:tcPr>
            <w:tcW w:type="dxa" w:w="22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POC</w:t>
            </w:r>
          </w:p>
        </w:tc>
        <w:tc>
          <w:tcPr>
            <w:tcW w:type="dxa" w:w="71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Point of Contact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CrimeIntel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936"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2026-07-22T15:03:43.058Z</dcterms:created>
  <dcterms:modified xsi:type="dcterms:W3CDTF">2026-07-22T15:03:43.058Z</dcterms:modified>
</cp:coreProperties>
</file>

<file path=docProps/custom.xml><?xml version="1.0" encoding="utf-8"?>
<Properties xmlns="http://schemas.openxmlformats.org/officeDocument/2006/custom-properties" xmlns:vt="http://schemas.openxmlformats.org/officeDocument/2006/docPropsVTypes"/>
</file>