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D4A017"/>
          <w:spacing w:val="20"/>
          <w:sz w:val="24"/>
          <w:szCs w:val="24"/>
        </w:rPr>
        <w:t xml:space="preserve">TECHNICAL REQUIREMENTS DOCUMENT</w:t>
      </w:r>
    </w:p>
    <w:p>
      <w:pPr>
        <w:spacing w:before="200"/>
        <w:jc w:val="center"/>
      </w:pPr>
      <w:r>
        <w:rPr>
          <w:b/>
          <w:bCs/>
          <w:color w:val="0B1E3F"/>
          <w:sz w:val="72"/>
          <w:szCs w:val="72"/>
        </w:rPr>
        <w:t xml:space="preserve">CrimeIntel</w:t>
      </w:r>
    </w:p>
    <w:p>
      <w:pPr>
        <w:spacing w:after="100" w:before="100"/>
        <w:jc w:val="center"/>
      </w:pPr>
      <w:r>
        <w:rPr>
          <w:color w:val="2B2B2B"/>
          <w:sz w:val="26"/>
          <w:szCs w:val="26"/>
        </w:rPr>
        <w:t xml:space="preserve">System Architecture &amp; Zoho Catalyst-Native Technical Design</w:t>
      </w:r>
    </w:p>
    <w:p>
      <w:pPr>
        <w:spacing w:before="60"/>
        <w:jc w:val="center"/>
      </w:pPr>
      <w:r>
        <w:rPr>
          <w:i/>
          <w:iCs/>
          <w:color w:val="2B2B2B"/>
          <w:sz w:val="21"/>
          <w:szCs w:val="21"/>
        </w:rPr>
        <w:t xml:space="preserve">26 / 26 applicable Catalyst capabilities mapped to real subsystems — zero functionality traded away for platform purity</w:t>
      </w:r>
    </w:p>
    <w:p>
      <w:pPr>
        <w:spacing w:before="900"/>
        <w:jc w:val="center"/>
      </w:pPr>
      <w:r>
        <w:rPr>
          <w:color w:val="2B2B2B"/>
          <w:sz w:val="20"/>
          <w:szCs w:val="20"/>
        </w:rPr>
        <w:t xml:space="preserve">Document Version: 1.0</w:t>
      </w:r>
    </w:p>
    <w:p>
      <w:pPr>
        <w:jc w:val="center"/>
      </w:pPr>
      <w:r>
        <w:rPr>
          <w:color w:val="2B2B2B"/>
          <w:sz w:val="20"/>
          <w:szCs w:val="20"/>
        </w:rPr>
        <w:t xml:space="preserve">Companion to: CrimeIntel Product Requirements Document (PRD)</w:t>
      </w:r>
    </w:p>
    <w:p>
      <w:r>
        <w:br w:type="page"/>
      </w:r>
    </w:p>
    <w:p>
      <w:pPr>
        <w:pStyle w:val="Heading1"/>
        <w:pBdr>
          <w:bottom w:val="single" w:color="D4A017" w:sz="8" w:space="4"/>
        </w:pBdr>
        <w:spacing w:after="200" w:before="400"/>
      </w:pPr>
      <w:r>
        <w:rPr>
          <w:b/>
          <w:bCs/>
          <w:color w:val="0B1E3F"/>
          <w:sz w:val="30"/>
          <w:szCs w:val="30"/>
        </w:rPr>
        <w:t xml:space="preserve">Document Control</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1600"/>
        <w:gridCol w:w="1800"/>
        <w:gridCol w:w="2400"/>
        <w:gridCol w:w="3550"/>
      </w:tblGrid>
      <w:tr>
        <w:trPr>
          <w:tblHeader/>
        </w:trPr>
        <w:tc>
          <w:tcPr>
            <w:tcW w:type="dxa" w:w="1600"/>
            <w:shd w:fill="0B1E3F" w:color="auto" w:val="clear"/>
            <w:tcMar>
              <w:top w:type="dxa" w:w="60"/>
              <w:left w:type="dxa" w:w="100"/>
              <w:bottom w:type="dxa" w:w="60"/>
              <w:right w:type="dxa" w:w="100"/>
            </w:tcMar>
          </w:tcPr>
          <w:p>
            <w:pPr>
              <w:spacing w:after="40" w:before="40" w:line="252"/>
            </w:pPr>
            <w:r>
              <w:rPr>
                <w:b/>
                <w:bCs/>
                <w:color w:val="FFFFFF"/>
                <w:sz w:val="19"/>
                <w:szCs w:val="19"/>
              </w:rPr>
              <w:t xml:space="preserve">Version</w:t>
            </w:r>
          </w:p>
        </w:tc>
        <w:tc>
          <w:tcPr>
            <w:tcW w:type="dxa" w:w="1800"/>
            <w:shd w:fill="0B1E3F" w:color="auto" w:val="clear"/>
            <w:tcMar>
              <w:top w:type="dxa" w:w="60"/>
              <w:left w:type="dxa" w:w="100"/>
              <w:bottom w:type="dxa" w:w="60"/>
              <w:right w:type="dxa" w:w="100"/>
            </w:tcMar>
          </w:tcPr>
          <w:p>
            <w:pPr>
              <w:spacing w:after="40" w:before="40" w:line="252"/>
            </w:pPr>
            <w:r>
              <w:rPr>
                <w:b/>
                <w:bCs/>
                <w:color w:val="FFFFFF"/>
                <w:sz w:val="19"/>
                <w:szCs w:val="19"/>
              </w:rPr>
              <w:t xml:space="preserve">Date</w:t>
            </w:r>
          </w:p>
        </w:tc>
        <w:tc>
          <w:tcPr>
            <w:tcW w:type="dxa" w:w="2400"/>
            <w:shd w:fill="0B1E3F" w:color="auto" w:val="clear"/>
            <w:tcMar>
              <w:top w:type="dxa" w:w="60"/>
              <w:left w:type="dxa" w:w="100"/>
              <w:bottom w:type="dxa" w:w="60"/>
              <w:right w:type="dxa" w:w="100"/>
            </w:tcMar>
          </w:tcPr>
          <w:p>
            <w:pPr>
              <w:spacing w:after="40" w:before="40" w:line="252"/>
            </w:pPr>
            <w:r>
              <w:rPr>
                <w:b/>
                <w:bCs/>
                <w:color w:val="FFFFFF"/>
                <w:sz w:val="19"/>
                <w:szCs w:val="19"/>
              </w:rPr>
              <w:t xml:space="preserve">Author</w:t>
            </w:r>
          </w:p>
        </w:tc>
        <w:tc>
          <w:tcPr>
            <w:tcW w:type="dxa" w:w="3550"/>
            <w:shd w:fill="0B1E3F" w:color="auto" w:val="clear"/>
            <w:tcMar>
              <w:top w:type="dxa" w:w="60"/>
              <w:left w:type="dxa" w:w="100"/>
              <w:bottom w:type="dxa" w:w="60"/>
              <w:right w:type="dxa" w:w="100"/>
            </w:tcMar>
          </w:tcPr>
          <w:p>
            <w:pPr>
              <w:spacing w:after="40" w:before="40" w:line="252"/>
            </w:pPr>
            <w:r>
              <w:rPr>
                <w:b/>
                <w:bCs/>
                <w:color w:val="FFFFFF"/>
                <w:sz w:val="19"/>
                <w:szCs w:val="19"/>
              </w:rPr>
              <w:t xml:space="preserve">Summary of Changes</w:t>
            </w:r>
          </w:p>
        </w:tc>
      </w:tr>
      <w:tr>
        <w:tc>
          <w:tcPr>
            <w:tcW w:type="dxa" w:w="16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0.1</w:t>
            </w:r>
          </w:p>
        </w:tc>
        <w:tc>
          <w:tcPr>
            <w:tcW w:type="dxa" w:w="18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Draft</w:t>
            </w:r>
          </w:p>
        </w:tc>
        <w:tc>
          <w:tcPr>
            <w:tcW w:type="dxa" w:w="2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Engineering Team</w:t>
            </w:r>
          </w:p>
        </w:tc>
        <w:tc>
          <w:tcPr>
            <w:tcW w:type="dxa" w:w="35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Architecture skeleton pulled from 26-phase blueprint, Part 0</w:t>
            </w:r>
          </w:p>
        </w:tc>
      </w:tr>
      <w:tr>
        <w:tc>
          <w:tcPr>
            <w:tcW w:type="dxa" w:w="16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1.0</w:t>
            </w:r>
          </w:p>
        </w:tc>
        <w:tc>
          <w:tcPr>
            <w:tcW w:type="dxa" w:w="18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Current</w:t>
            </w:r>
          </w:p>
        </w:tc>
        <w:tc>
          <w:tcPr>
            <w:tcW w:type="dxa" w:w="2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Engineering Team</w:t>
            </w:r>
          </w:p>
        </w:tc>
        <w:tc>
          <w:tcPr>
            <w:tcW w:type="dxa" w:w="35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Full TRD: architecture, Catalyst service mapping, data, security, deployment</w:t>
            </w:r>
          </w:p>
        </w:tc>
      </w:tr>
    </w:tbl>
    <w:p>
      <w:r>
        <w:br w:type="page"/>
      </w:r>
    </w:p>
    <w:p>
      <w:pPr>
        <w:pStyle w:val="Heading1"/>
        <w:pBdr>
          <w:bottom w:val="single" w:color="D4A017" w:sz="8" w:space="4"/>
        </w:pBdr>
        <w:spacing w:after="200" w:before="400"/>
      </w:pPr>
      <w:r>
        <w:rPr>
          <w:b/>
          <w:bCs/>
          <w:color w:val="0B1E3F"/>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D4A017" w:sz="8" w:space="4"/>
        </w:pBdr>
        <w:spacing w:after="200" w:before="400"/>
      </w:pPr>
      <w:r>
        <w:rPr>
          <w:b/>
          <w:bCs/>
          <w:color w:val="0B1E3F"/>
          <w:sz w:val="30"/>
          <w:szCs w:val="30"/>
        </w:rPr>
        <w:t xml:space="preserve">1. Architecture Overview</w:t>
      </w:r>
    </w:p>
    <w:p>
      <w:pPr>
        <w:spacing w:after="160" w:before="80" w:line="276"/>
        <w:jc w:val="both"/>
      </w:pPr>
      <w:r>
        <w:rPr>
          <w:b w:val="false"/>
          <w:bCs w:val="false"/>
          <w:i w:val="false"/>
          <w:iCs w:val="false"/>
          <w:color w:val="2B2B2B"/>
          <w:sz w:val="21"/>
          <w:szCs w:val="21"/>
        </w:rPr>
        <w:t xml:space="preserve">CrimeIntel is built as a standing intelligence substrate with a hybrid retrieval layer and a multi-agent reasoning pipeline sitting underneath the chat and dashboard UI — not a thin wrapper that calls an LLM per request. Nothing is computed for the first time at query time: a precomputation engine keeps hotspot, gang, offender-risk, similarity, and embedding indices warm ahead of any user question.</w:t>
      </w:r>
    </w:p>
    <w:p>
      <w:pPr>
        <w:pStyle w:val="Heading2"/>
        <w:spacing w:after="140" w:before="300"/>
      </w:pPr>
      <w:r>
        <w:rPr>
          <w:b/>
          <w:bCs/>
          <w:color w:val="0B1E3F"/>
          <w:sz w:val="25"/>
          <w:szCs w:val="25"/>
        </w:rPr>
        <w:t xml:space="preserve">1.1 Layered Architecture</w:t>
      </w:r>
    </w:p>
    <w:p>
      <w:pPr>
        <w:pStyle w:val="ListParagraph"/>
        <w:numPr>
          <w:ilvl w:val="0"/>
          <w:numId w:val="2"/>
        </w:numPr>
        <w:spacing w:after="40" w:before="40" w:line="264"/>
      </w:pPr>
      <w:r>
        <w:rPr>
          <w:color w:val="2B2B2B"/>
          <w:sz w:val="21"/>
          <w:szCs w:val="21"/>
        </w:rPr>
        <w:t xml:space="preserve">Precomputation Engine — nightly + event-driven jobs computing hotspots, risk scores, graph snapshots, embeddings, summaries</w:t>
      </w:r>
    </w:p>
    <w:p>
      <w:pPr>
        <w:pStyle w:val="ListParagraph"/>
        <w:numPr>
          <w:ilvl w:val="0"/>
          <w:numId w:val="2"/>
        </w:numPr>
        <w:spacing w:after="40" w:before="40" w:line="264"/>
      </w:pPr>
      <w:r>
        <w:rPr>
          <w:color w:val="2B2B2B"/>
          <w:sz w:val="21"/>
          <w:szCs w:val="21"/>
        </w:rPr>
        <w:t xml:space="preserve">Crime Intelligence Layer — always-on layer sitting directly on the data store, read-only for everything above it</w:t>
      </w:r>
    </w:p>
    <w:p>
      <w:pPr>
        <w:pStyle w:val="ListParagraph"/>
        <w:numPr>
          <w:ilvl w:val="0"/>
          <w:numId w:val="2"/>
        </w:numPr>
        <w:spacing w:after="40" w:before="40" w:line="264"/>
      </w:pPr>
      <w:r>
        <w:rPr>
          <w:color w:val="2B2B2B"/>
          <w:sz w:val="21"/>
          <w:szCs w:val="21"/>
        </w:rPr>
        <w:t xml:space="preserve">Hybrid Retrieval — parallel fan-out across SQL, Graph, Vector, OCR, and Analytics retrievers, merged and deduplicated</w:t>
      </w:r>
    </w:p>
    <w:p>
      <w:pPr>
        <w:pStyle w:val="ListParagraph"/>
        <w:numPr>
          <w:ilvl w:val="0"/>
          <w:numId w:val="2"/>
        </w:numPr>
        <w:spacing w:after="40" w:before="40" w:line="264"/>
      </w:pPr>
      <w:r>
        <w:rPr>
          <w:color w:val="2B2B2B"/>
          <w:sz w:val="21"/>
          <w:szCs w:val="21"/>
        </w:rPr>
        <w:t xml:space="preserve">Evidence Ranking — recency, relevance, confidence, and graph-proximity scoring before anything reaches an agent</w:t>
      </w:r>
    </w:p>
    <w:p>
      <w:pPr>
        <w:pStyle w:val="ListParagraph"/>
        <w:numPr>
          <w:ilvl w:val="0"/>
          <w:numId w:val="2"/>
        </w:numPr>
        <w:spacing w:after="40" w:before="40" w:line="264"/>
      </w:pPr>
      <w:r>
        <w:rPr>
          <w:color w:val="2B2B2B"/>
          <w:sz w:val="21"/>
          <w:szCs w:val="21"/>
        </w:rPr>
        <w:t xml:space="preserve">Multi-Agent Coordinator — SQL / OCR / Analytics / Graph / Forecast agents → Summarizer → Verifier</w:t>
      </w:r>
    </w:p>
    <w:p>
      <w:pPr>
        <w:pStyle w:val="ListParagraph"/>
        <w:numPr>
          <w:ilvl w:val="0"/>
          <w:numId w:val="2"/>
        </w:numPr>
        <w:spacing w:after="40" w:before="40" w:line="264"/>
      </w:pPr>
      <w:r>
        <w:rPr>
          <w:color w:val="2B2B2B"/>
          <w:sz w:val="21"/>
          <w:szCs w:val="21"/>
        </w:rPr>
        <w:t xml:space="preserve">Chat / Dashboard UI — with Semantic Memory carrying conversational context forward</w:t>
      </w:r>
    </w:p>
    <w:p>
      <w:pPr>
        <w:pStyle w:val="ListParagraph"/>
        <w:numPr>
          <w:ilvl w:val="0"/>
          <w:numId w:val="2"/>
        </w:numPr>
        <w:spacing w:after="40" w:before="40" w:line="264"/>
      </w:pPr>
      <w:r>
        <w:rPr>
          <w:color w:val="2B2B2B"/>
          <w:sz w:val="21"/>
          <w:szCs w:val="21"/>
        </w:rPr>
        <w:t xml:space="preserve">Human Feedback &amp; Learning — supervisor review, correction capture, prompt/re-ranker improvement</w:t>
      </w:r>
    </w:p>
    <w:p>
      <w:pPr>
        <w:spacing w:after="160" w:before="80" w:line="276"/>
        <w:jc w:val="both"/>
      </w:pPr>
      <w:r>
        <w:rPr>
          <w:b w:val="false"/>
          <w:bCs w:val="false"/>
          <w:i/>
          <w:iCs/>
          <w:color w:val="2B2B2B"/>
          <w:sz w:val="21"/>
          <w:szCs w:val="21"/>
        </w:rPr>
        <w:t xml:space="preserve">Observability, Knowledge Versioning, Security-Beyond-RBAC, and Data &amp; Application Security wrap around every layer above rather than living in only one of them.</w:t>
      </w:r>
    </w:p>
    <w:p>
      <w:pPr>
        <w:pStyle w:val="Heading2"/>
        <w:spacing w:after="140" w:before="300"/>
      </w:pPr>
      <w:r>
        <w:rPr>
          <w:b/>
          <w:bCs/>
          <w:color w:val="0B1E3F"/>
          <w:sz w:val="25"/>
          <w:szCs w:val="25"/>
        </w:rPr>
        <w:t xml:space="preserve">1.2 Request Lifecycle (Single Query, Start to Finish)</w:t>
      </w:r>
    </w:p>
    <w:p>
      <w:pPr>
        <w:spacing w:after="160" w:before="80" w:line="276"/>
        <w:jc w:val="both"/>
      </w:pPr>
      <w:r>
        <w:rPr>
          <w:b w:val="false"/>
          <w:bCs w:val="false"/>
          <w:i w:val="false"/>
          <w:iCs w:val="false"/>
          <w:color w:val="2B2B2B"/>
          <w:sz w:val="21"/>
          <w:szCs w:val="21"/>
        </w:rPr>
        <w:t xml:space="preserve">1. Investigator submits a question via chat or voice. 2. API Gateway validates the request shape and rate limit before Authentication validates the token, role, and MFA state. 3. Semantic Memory merges prior conversational context. 4. The Retrieval Orchestrator fans the enriched query out in parallel to SQL, Graph, Vector, OCR, and Analytics retrievers. 5. Results are merged, deduplicated, and passed through the Security layer for masking/redaction before ranking. 6. Evidence Ranking scores the masked evidence set. 7. The Multi-Agent Coordinator synthesises a narrative with citations (Summarizer), then checks every claim against the evidence (Verifier) — unsupported claims are flagged for human review rather than presented as fact. 8. The query, evidence returned, and masking decisions are all audit-logged. 9. The final answer, Reasoning Block, and citations render in the UI with graph/map highlighting and an "as of" data-freshness footer.</w:t>
      </w:r>
    </w:p>
    <w:p>
      <w:pPr>
        <w:pStyle w:val="Heading1"/>
        <w:pBdr>
          <w:bottom w:val="single" w:color="D4A017" w:sz="8" w:space="4"/>
        </w:pBdr>
        <w:spacing w:after="200" w:before="400"/>
      </w:pPr>
      <w:r>
        <w:rPr>
          <w:b/>
          <w:bCs/>
          <w:color w:val="0B1E3F"/>
          <w:sz w:val="30"/>
          <w:szCs w:val="30"/>
        </w:rPr>
        <w:t xml:space="preserve">2. Design Principles</w:t>
      </w:r>
    </w:p>
    <w:p>
      <w:pPr>
        <w:pStyle w:val="ListParagraph"/>
        <w:numPr>
          <w:ilvl w:val="0"/>
          <w:numId w:val="3"/>
        </w:numPr>
        <w:spacing w:after="40" w:before="40" w:line="264"/>
      </w:pPr>
      <w:r>
        <w:rPr>
          <w:color w:val="2B2B2B"/>
          <w:sz w:val="21"/>
          <w:szCs w:val="21"/>
        </w:rPr>
        <w:t xml:space="preserve">Catalyst-first: every capability Catalyst provides is used for that capability before reaching for an external service (Section 4).</w:t>
      </w:r>
    </w:p>
    <w:p>
      <w:pPr>
        <w:pStyle w:val="ListParagraph"/>
        <w:numPr>
          <w:ilvl w:val="0"/>
          <w:numId w:val="3"/>
        </w:numPr>
        <w:spacing w:after="40" w:before="40" w:line="264"/>
      </w:pPr>
      <w:r>
        <w:rPr>
          <w:color w:val="2B2B2B"/>
          <w:sz w:val="21"/>
          <w:szCs w:val="21"/>
        </w:rPr>
        <w:t xml:space="preserve">No functionality is compromised for platform purity: where Catalyst has a genuine capability gap, an external dependency is used and explicitly labelled — never silently substituted or hidden (Section 6).</w:t>
      </w:r>
    </w:p>
    <w:p>
      <w:pPr>
        <w:pStyle w:val="ListParagraph"/>
        <w:numPr>
          <w:ilvl w:val="0"/>
          <w:numId w:val="3"/>
        </w:numPr>
        <w:spacing w:after="40" w:before="40" w:line="264"/>
      </w:pPr>
      <w:r>
        <w:rPr>
          <w:color w:val="2B2B2B"/>
          <w:sz w:val="21"/>
          <w:szCs w:val="21"/>
        </w:rPr>
        <w:t xml:space="preserve">Standing computation, not on-demand: precompute what is expensive and reusable; never trigger a cold, from-scratch computation inline on a user request.</w:t>
      </w:r>
    </w:p>
    <w:p>
      <w:pPr>
        <w:pStyle w:val="ListParagraph"/>
        <w:numPr>
          <w:ilvl w:val="0"/>
          <w:numId w:val="3"/>
        </w:numPr>
        <w:spacing w:after="40" w:before="40" w:line="264"/>
      </w:pPr>
      <w:r>
        <w:rPr>
          <w:color w:val="2B2B2B"/>
          <w:sz w:val="21"/>
          <w:szCs w:val="21"/>
        </w:rPr>
        <w:t xml:space="preserve">Evidence before language: the hybrid retrieval layer runs before the LLM ever sees the question; the LLM synthesises over retrieved, masked evidence — it never freelances.</w:t>
      </w:r>
    </w:p>
    <w:p>
      <w:pPr>
        <w:pStyle w:val="ListParagraph"/>
        <w:numPr>
          <w:ilvl w:val="0"/>
          <w:numId w:val="3"/>
        </w:numPr>
        <w:spacing w:after="40" w:before="40" w:line="264"/>
      </w:pPr>
      <w:r>
        <w:rPr>
          <w:color w:val="2B2B2B"/>
          <w:sz w:val="21"/>
          <w:szCs w:val="21"/>
        </w:rPr>
        <w:t xml:space="preserve">Masking and encryption are independent, stacked controls, not one control wearing two names.</w:t>
      </w:r>
    </w:p>
    <w:p>
      <w:pPr>
        <w:pStyle w:val="ListParagraph"/>
        <w:numPr>
          <w:ilvl w:val="0"/>
          <w:numId w:val="3"/>
        </w:numPr>
        <w:spacing w:after="40" w:before="40" w:line="264"/>
      </w:pPr>
      <w:r>
        <w:rPr>
          <w:color w:val="2B2B2B"/>
          <w:sz w:val="21"/>
          <w:szCs w:val="21"/>
        </w:rPr>
        <w:t xml:space="preserve">Every retrieval is audited, not only every UI action.</w:t>
      </w:r>
    </w:p>
    <w:p>
      <w:pPr>
        <w:pStyle w:val="ListParagraph"/>
        <w:numPr>
          <w:ilvl w:val="0"/>
          <w:numId w:val="3"/>
        </w:numPr>
        <w:spacing w:after="40" w:before="40" w:line="264"/>
      </w:pPr>
      <w:r>
        <w:rPr>
          <w:color w:val="2B2B2B"/>
          <w:sz w:val="21"/>
          <w:szCs w:val="21"/>
        </w:rPr>
        <w:t xml:space="preserve">Cost is a first-class design constraint, tracked from day one, not reconciled after the fact.</w:t>
      </w:r>
    </w:p>
    <w:p>
      <w:r>
        <w:br w:type="page"/>
      </w:r>
    </w:p>
    <w:p>
      <w:pPr>
        <w:pStyle w:val="Heading1"/>
        <w:pBdr>
          <w:bottom w:val="single" w:color="D4A017" w:sz="8" w:space="4"/>
        </w:pBdr>
        <w:spacing w:after="200" w:before="400"/>
      </w:pPr>
      <w:r>
        <w:rPr>
          <w:b/>
          <w:bCs/>
          <w:color w:val="0B1E3F"/>
          <w:sz w:val="30"/>
          <w:szCs w:val="30"/>
        </w:rPr>
        <w:t xml:space="preserve">3. Technology Stack Summary</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2000"/>
        <w:gridCol w:w="3800"/>
        <w:gridCol w:w="3550"/>
      </w:tblGrid>
      <w:tr>
        <w:trPr>
          <w:tblHeader/>
        </w:trPr>
        <w:tc>
          <w:tcPr>
            <w:tcW w:type="dxa" w:w="2000"/>
            <w:shd w:fill="0B1E3F" w:color="auto" w:val="clear"/>
            <w:tcMar>
              <w:top w:type="dxa" w:w="60"/>
              <w:left w:type="dxa" w:w="100"/>
              <w:bottom w:type="dxa" w:w="60"/>
              <w:right w:type="dxa" w:w="100"/>
            </w:tcMar>
          </w:tcPr>
          <w:p>
            <w:pPr>
              <w:spacing w:after="40" w:before="40" w:line="252"/>
            </w:pPr>
            <w:r>
              <w:rPr>
                <w:b/>
                <w:bCs/>
                <w:color w:val="FFFFFF"/>
                <w:sz w:val="19"/>
                <w:szCs w:val="19"/>
              </w:rPr>
              <w:t xml:space="preserve">Layer</w:t>
            </w:r>
          </w:p>
        </w:tc>
        <w:tc>
          <w:tcPr>
            <w:tcW w:type="dxa" w:w="3800"/>
            <w:shd w:fill="0B1E3F" w:color="auto" w:val="clear"/>
            <w:tcMar>
              <w:top w:type="dxa" w:w="60"/>
              <w:left w:type="dxa" w:w="100"/>
              <w:bottom w:type="dxa" w:w="60"/>
              <w:right w:type="dxa" w:w="100"/>
            </w:tcMar>
          </w:tcPr>
          <w:p>
            <w:pPr>
              <w:spacing w:after="40" w:before="40" w:line="252"/>
            </w:pPr>
            <w:r>
              <w:rPr>
                <w:b/>
                <w:bCs/>
                <w:color w:val="FFFFFF"/>
                <w:sz w:val="19"/>
                <w:szCs w:val="19"/>
              </w:rPr>
              <w:t xml:space="preserve">Technology</w:t>
            </w:r>
          </w:p>
        </w:tc>
        <w:tc>
          <w:tcPr>
            <w:tcW w:type="dxa" w:w="3550"/>
            <w:shd w:fill="0B1E3F" w:color="auto" w:val="clear"/>
            <w:tcMar>
              <w:top w:type="dxa" w:w="60"/>
              <w:left w:type="dxa" w:w="100"/>
              <w:bottom w:type="dxa" w:w="60"/>
              <w:right w:type="dxa" w:w="100"/>
            </w:tcMar>
          </w:tcPr>
          <w:p>
            <w:pPr>
              <w:spacing w:after="40" w:before="40" w:line="252"/>
            </w:pPr>
            <w:r>
              <w:rPr>
                <w:b/>
                <w:bCs/>
                <w:color w:val="FFFFFF"/>
                <w:sz w:val="19"/>
                <w:szCs w:val="19"/>
              </w:rPr>
              <w:t xml:space="preserve">Notes</w:t>
            </w:r>
          </w:p>
        </w:tc>
      </w:tr>
      <w:tr>
        <w:tc>
          <w:tcPr>
            <w:tcW w:type="dxa" w:w="2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Frontend</w:t>
            </w:r>
          </w:p>
        </w:tc>
        <w:tc>
          <w:tcPr>
            <w:tcW w:type="dxa" w:w="38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Next.js (React), TypeScript, Tailwind CSS</w:t>
            </w:r>
          </w:p>
        </w:tc>
        <w:tc>
          <w:tcPr>
            <w:tcW w:type="dxa" w:w="35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SSR hosted on Catalyst AppSail</w:t>
            </w:r>
          </w:p>
        </w:tc>
      </w:tr>
      <w:tr>
        <w:tc>
          <w:tcPr>
            <w:tcW w:type="dxa" w:w="20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Backend / Business Logic</w:t>
            </w:r>
          </w:p>
        </w:tc>
        <w:tc>
          <w:tcPr>
            <w:tcW w:type="dxa" w:w="38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Node.js on Catalyst Serverless Functions</w:t>
            </w:r>
          </w:p>
        </w:tc>
        <w:tc>
          <w:tcPr>
            <w:tcW w:type="dxa" w:w="35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Least-privilege service identity per Function</w:t>
            </w:r>
          </w:p>
        </w:tc>
      </w:tr>
      <w:tr>
        <w:tc>
          <w:tcPr>
            <w:tcW w:type="dxa" w:w="2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Orchestration</w:t>
            </w:r>
          </w:p>
        </w:tc>
        <w:tc>
          <w:tcPr>
            <w:tcW w:type="dxa" w:w="38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Circuits</w:t>
            </w:r>
          </w:p>
        </w:tc>
        <w:tc>
          <w:tcPr>
            <w:tcW w:type="dxa" w:w="35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Multi-agent fan-out, branching, parallel steps</w:t>
            </w:r>
          </w:p>
        </w:tc>
      </w:tr>
      <w:tr>
        <w:tc>
          <w:tcPr>
            <w:tcW w:type="dxa" w:w="20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Relational Data</w:t>
            </w:r>
          </w:p>
        </w:tc>
        <w:tc>
          <w:tcPr>
            <w:tcW w:type="dxa" w:w="38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Data Store</w:t>
            </w:r>
          </w:p>
        </w:tc>
        <w:tc>
          <w:tcPr>
            <w:tcW w:type="dxa" w:w="35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System of record — CaseMaster and all FIR relational tables</w:t>
            </w:r>
          </w:p>
        </w:tc>
      </w:tr>
      <w:tr>
        <w:tc>
          <w:tcPr>
            <w:tcW w:type="dxa" w:w="2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Semi-structured Data</w:t>
            </w:r>
          </w:p>
        </w:tc>
        <w:tc>
          <w:tcPr>
            <w:tcW w:type="dxa" w:w="38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NoSQL</w:t>
            </w:r>
          </w:p>
        </w:tc>
        <w:tc>
          <w:tcPr>
            <w:tcW w:type="dxa" w:w="35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Embeddings, chat sessions, reasoning outputs, case narratives</w:t>
            </w:r>
          </w:p>
        </w:tc>
      </w:tr>
      <w:tr>
        <w:tc>
          <w:tcPr>
            <w:tcW w:type="dxa" w:w="20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Object Storage</w:t>
            </w:r>
          </w:p>
        </w:tc>
        <w:tc>
          <w:tcPr>
            <w:tcW w:type="dxa" w:w="38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Stratus</w:t>
            </w:r>
          </w:p>
        </w:tc>
        <w:tc>
          <w:tcPr>
            <w:tcW w:type="dxa" w:w="35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Scanned FIRs, photos, audio evidence, exported PDFs</w:t>
            </w:r>
          </w:p>
        </w:tc>
      </w:tr>
      <w:tr>
        <w:tc>
          <w:tcPr>
            <w:tcW w:type="dxa" w:w="2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Caching</w:t>
            </w:r>
          </w:p>
        </w:tc>
        <w:tc>
          <w:tcPr>
            <w:tcW w:type="dxa" w:w="38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Cache</w:t>
            </w:r>
          </w:p>
        </w:tc>
        <w:tc>
          <w:tcPr>
            <w:tcW w:type="dxa" w:w="35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Sub-50ms reads for hot indices and dashboard aggregations</w:t>
            </w:r>
          </w:p>
        </w:tc>
      </w:tr>
      <w:tr>
        <w:tc>
          <w:tcPr>
            <w:tcW w:type="dxa" w:w="20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AI / ML</w:t>
            </w:r>
          </w:p>
        </w:tc>
        <w:tc>
          <w:tcPr>
            <w:tcW w:type="dxa" w:w="38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QuickML (LLM Serving, RAG), Catalyst Zia AutoML, Catalyst Zia Services</w:t>
            </w:r>
          </w:p>
        </w:tc>
        <w:tc>
          <w:tcPr>
            <w:tcW w:type="dxa" w:w="35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Embeddings, reasoning synthesis, tabular risk models, OCR/voice/vision</w:t>
            </w:r>
          </w:p>
        </w:tc>
      </w:tr>
      <w:tr>
        <w:tc>
          <w:tcPr>
            <w:tcW w:type="dxa" w:w="2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Identity</w:t>
            </w:r>
          </w:p>
        </w:tc>
        <w:tc>
          <w:tcPr>
            <w:tcW w:type="dxa" w:w="38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Authentication</w:t>
            </w:r>
          </w:p>
        </w:tc>
        <w:tc>
          <w:tcPr>
            <w:tcW w:type="dxa" w:w="35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5-role RBAC, MFA, token rotation</w:t>
            </w:r>
          </w:p>
        </w:tc>
      </w:tr>
      <w:tr>
        <w:tc>
          <w:tcPr>
            <w:tcW w:type="dxa" w:w="20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Edge / API</w:t>
            </w:r>
          </w:p>
        </w:tc>
        <w:tc>
          <w:tcPr>
            <w:tcW w:type="dxa" w:w="38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API Gateway</w:t>
            </w:r>
          </w:p>
        </w:tc>
        <w:tc>
          <w:tcPr>
            <w:tcW w:type="dxa" w:w="35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Rate limiting, schema validation, replay protection</w:t>
            </w:r>
          </w:p>
        </w:tc>
      </w:tr>
      <w:tr>
        <w:tc>
          <w:tcPr>
            <w:tcW w:type="dxa" w:w="2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Automation Docs/Reports</w:t>
            </w:r>
          </w:p>
        </w:tc>
        <w:tc>
          <w:tcPr>
            <w:tcW w:type="dxa" w:w="38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SmartBrowz</w:t>
            </w:r>
          </w:p>
        </w:tc>
        <w:tc>
          <w:tcPr>
            <w:tcW w:type="dxa" w:w="35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Headless-browser PDF/report generation</w:t>
            </w:r>
          </w:p>
        </w:tc>
      </w:tr>
      <w:tr>
        <w:tc>
          <w:tcPr>
            <w:tcW w:type="dxa" w:w="20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Integrations</w:t>
            </w:r>
          </w:p>
        </w:tc>
        <w:tc>
          <w:tcPr>
            <w:tcW w:type="dxa" w:w="38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Connections</w:t>
            </w:r>
          </w:p>
        </w:tc>
        <w:tc>
          <w:tcPr>
            <w:tcW w:type="dxa" w:w="35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OAuth-token-managed access to Zoho/KSP/3rd-party systems</w:t>
            </w:r>
          </w:p>
        </w:tc>
      </w:tr>
      <w:tr>
        <w:tc>
          <w:tcPr>
            <w:tcW w:type="dxa" w:w="2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Scheduling</w:t>
            </w:r>
          </w:p>
        </w:tc>
        <w:tc>
          <w:tcPr>
            <w:tcW w:type="dxa" w:w="38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Cron</w:t>
            </w:r>
          </w:p>
        </w:tc>
        <w:tc>
          <w:tcPr>
            <w:tcW w:type="dxa" w:w="35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Nightly precomputation, retention/purge, backup verification</w:t>
            </w:r>
          </w:p>
        </w:tc>
      </w:tr>
      <w:tr>
        <w:tc>
          <w:tcPr>
            <w:tcW w:type="dxa" w:w="20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Eventing</w:t>
            </w:r>
          </w:p>
        </w:tc>
        <w:tc>
          <w:tcPr>
            <w:tcW w:type="dxa" w:w="38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Signals</w:t>
            </w:r>
          </w:p>
        </w:tc>
        <w:tc>
          <w:tcPr>
            <w:tcW w:type="dxa" w:w="35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Cross-service event bus for real-time updates</w:t>
            </w:r>
          </w:p>
        </w:tc>
      </w:tr>
      <w:tr>
        <w:tc>
          <w:tcPr>
            <w:tcW w:type="dxa" w:w="2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Notifications</w:t>
            </w:r>
          </w:p>
        </w:tc>
        <w:tc>
          <w:tcPr>
            <w:tcW w:type="dxa" w:w="38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Mail, Catalyst Push Notifications</w:t>
            </w:r>
          </w:p>
        </w:tc>
        <w:tc>
          <w:tcPr>
            <w:tcW w:type="dxa" w:w="35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Supervisor approvals, alert delivery, incident notices</w:t>
            </w:r>
          </w:p>
        </w:tc>
      </w:tr>
      <w:tr>
        <w:tc>
          <w:tcPr>
            <w:tcW w:type="dxa" w:w="20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CI/CD</w:t>
            </w:r>
          </w:p>
        </w:tc>
        <w:tc>
          <w:tcPr>
            <w:tcW w:type="dxa" w:w="38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Pipelines</w:t>
            </w:r>
          </w:p>
        </w:tc>
        <w:tc>
          <w:tcPr>
            <w:tcW w:type="dxa" w:w="35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Build, test, dependency/secret scanning, deploy</w:t>
            </w:r>
          </w:p>
        </w:tc>
      </w:tr>
      <w:tr>
        <w:tc>
          <w:tcPr>
            <w:tcW w:type="dxa" w:w="2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Graph / Visualization (client)</w:t>
            </w:r>
          </w:p>
        </w:tc>
        <w:tc>
          <w:tcPr>
            <w:tcW w:type="dxa" w:w="38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React Flow, D3.js</w:t>
            </w:r>
          </w:p>
        </w:tc>
        <w:tc>
          <w:tcPr>
            <w:tcW w:type="dxa" w:w="35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Non-Catalyst client libraries — see Section 6</w:t>
            </w:r>
          </w:p>
        </w:tc>
      </w:tr>
      <w:tr>
        <w:tc>
          <w:tcPr>
            <w:tcW w:type="dxa" w:w="20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Map tiles</w:t>
            </w:r>
          </w:p>
        </w:tc>
        <w:tc>
          <w:tcPr>
            <w:tcW w:type="dxa" w:w="38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External mapping provider</w:t>
            </w:r>
          </w:p>
        </w:tc>
        <w:tc>
          <w:tcPr>
            <w:tcW w:type="dxa" w:w="35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Non-Catalyst — see Section 6</w:t>
            </w:r>
          </w:p>
        </w:tc>
      </w:tr>
    </w:tbl>
    <w:p>
      <w:r>
        <w:br w:type="page"/>
      </w:r>
    </w:p>
    <w:p>
      <w:pPr>
        <w:pStyle w:val="Heading1"/>
        <w:pBdr>
          <w:bottom w:val="single" w:color="D4A017" w:sz="8" w:space="4"/>
        </w:pBdr>
        <w:spacing w:after="200" w:before="400"/>
      </w:pPr>
      <w:r>
        <w:rPr>
          <w:b/>
          <w:bCs/>
          <w:color w:val="0B1E3F"/>
          <w:sz w:val="30"/>
          <w:szCs w:val="30"/>
        </w:rPr>
        <w:t xml:space="preserve">4. Zoho Catalyst Service Mapping — Full Inventory</w:t>
      </w:r>
    </w:p>
    <w:p>
      <w:pPr>
        <w:spacing w:after="160" w:before="80" w:line="276"/>
        <w:jc w:val="both"/>
      </w:pPr>
      <w:r>
        <w:rPr>
          <w:b w:val="false"/>
          <w:bCs w:val="false"/>
          <w:i w:val="false"/>
          <w:iCs w:val="false"/>
          <w:color w:val="2B2B2B"/>
          <w:sz w:val="21"/>
          <w:szCs w:val="21"/>
        </w:rPr>
        <w:t xml:space="preserve">This is the single source of truth judges and reviewers are shown when asked "what does Catalyst actually do here?" Every one of the 26 platform capabilities is mapped to a concrete CrimeIntel subsystem — none are included decoratively.</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350"/>
        <w:gridCol w:w="2350"/>
        <w:gridCol w:w="2100"/>
        <w:gridCol w:w="4550"/>
      </w:tblGrid>
      <w:tr>
        <w:trPr>
          <w:tblHeader/>
        </w:trPr>
        <w:tc>
          <w:tcPr>
            <w:tcW w:type="dxa" w:w="350"/>
            <w:shd w:fill="0B1E3F" w:color="auto" w:val="clear"/>
            <w:tcMar>
              <w:top w:type="dxa" w:w="60"/>
              <w:left w:type="dxa" w:w="100"/>
              <w:bottom w:type="dxa" w:w="60"/>
              <w:right w:type="dxa" w:w="100"/>
            </w:tcMar>
          </w:tcPr>
          <w:p>
            <w:pPr>
              <w:spacing w:after="40" w:before="40" w:line="252"/>
            </w:pPr>
            <w:r>
              <w:rPr>
                <w:b/>
                <w:bCs/>
                <w:color w:val="FFFFFF"/>
                <w:sz w:val="19"/>
                <w:szCs w:val="19"/>
              </w:rPr>
              <w:t xml:space="preserve">#</w:t>
            </w:r>
          </w:p>
        </w:tc>
        <w:tc>
          <w:tcPr>
            <w:tcW w:type="dxa" w:w="2350"/>
            <w:shd w:fill="0B1E3F" w:color="auto" w:val="clear"/>
            <w:tcMar>
              <w:top w:type="dxa" w:w="60"/>
              <w:left w:type="dxa" w:w="100"/>
              <w:bottom w:type="dxa" w:w="60"/>
              <w:right w:type="dxa" w:w="100"/>
            </w:tcMar>
          </w:tcPr>
          <w:p>
            <w:pPr>
              <w:spacing w:after="40" w:before="40" w:line="252"/>
            </w:pPr>
            <w:r>
              <w:rPr>
                <w:b/>
                <w:bCs/>
                <w:color w:val="FFFFFF"/>
                <w:sz w:val="19"/>
                <w:szCs w:val="19"/>
              </w:rPr>
              <w:t xml:space="preserve">Capability</w:t>
            </w:r>
          </w:p>
        </w:tc>
        <w:tc>
          <w:tcPr>
            <w:tcW w:type="dxa" w:w="2100"/>
            <w:shd w:fill="0B1E3F" w:color="auto" w:val="clear"/>
            <w:tcMar>
              <w:top w:type="dxa" w:w="60"/>
              <w:left w:type="dxa" w:w="100"/>
              <w:bottom w:type="dxa" w:w="60"/>
              <w:right w:type="dxa" w:w="100"/>
            </w:tcMar>
          </w:tcPr>
          <w:p>
            <w:pPr>
              <w:spacing w:after="40" w:before="40" w:line="252"/>
            </w:pPr>
            <w:r>
              <w:rPr>
                <w:b/>
                <w:bCs/>
                <w:color w:val="FFFFFF"/>
                <w:sz w:val="19"/>
                <w:szCs w:val="19"/>
              </w:rPr>
              <w:t xml:space="preserve">Catalyst Service</w:t>
            </w:r>
          </w:p>
        </w:tc>
        <w:tc>
          <w:tcPr>
            <w:tcW w:type="dxa" w:w="4550"/>
            <w:shd w:fill="0B1E3F" w:color="auto" w:val="clear"/>
            <w:tcMar>
              <w:top w:type="dxa" w:w="60"/>
              <w:left w:type="dxa" w:w="100"/>
              <w:bottom w:type="dxa" w:w="60"/>
              <w:right w:type="dxa" w:w="100"/>
            </w:tcMar>
          </w:tcPr>
          <w:p>
            <w:pPr>
              <w:spacing w:after="40" w:before="40" w:line="252"/>
            </w:pPr>
            <w:r>
              <w:rPr>
                <w:b/>
                <w:bCs/>
                <w:color w:val="FFFFFF"/>
                <w:sz w:val="19"/>
                <w:szCs w:val="19"/>
              </w:rPr>
              <w:t xml:space="preserve">Used By / Purpose in CrimeIntel</w:t>
            </w:r>
          </w:p>
        </w:tc>
      </w:tr>
      <w:tr>
        <w:tc>
          <w:tcPr>
            <w:tcW w:type="dxa" w:w="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1</w:t>
            </w:r>
          </w:p>
        </w:tc>
        <w:tc>
          <w:tcPr>
            <w:tcW w:type="dxa" w:w="2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Serverless functions / backend logic</w:t>
            </w:r>
          </w:p>
        </w:tc>
        <w:tc>
          <w:tcPr>
            <w:tcW w:type="dxa" w:w="21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Functions</w:t>
            </w:r>
          </w:p>
        </w:tc>
        <w:tc>
          <w:tcPr>
            <w:tcW w:type="dxa" w:w="45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Every subsystem's business logic: chat-handler, query-engine, graph-engine, reasoning-engine, audit-logger, retrieval orchestrator agents, cron-job handlers. Nearly every phase depends on this.</w:t>
            </w:r>
          </w:p>
        </w:tc>
      </w:tr>
      <w:tr>
        <w:tc>
          <w:tcPr>
            <w:tcW w:type="dxa" w:w="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2</w:t>
            </w:r>
          </w:p>
        </w:tc>
        <w:tc>
          <w:tcPr>
            <w:tcW w:type="dxa" w:w="2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Docker image deployment</w:t>
            </w:r>
          </w:p>
        </w:tc>
        <w:tc>
          <w:tcPr>
            <w:tcW w:type="dxa" w:w="21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AppSail (custom OCI runtime)</w:t>
            </w:r>
          </w:p>
        </w:tc>
        <w:tc>
          <w:tcPr>
            <w:tcW w:type="dxa" w:w="45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Containerised services with dependencies Functions can't host natively — e.g. a custom OCR/graph-analytics runtime image used by the OCR Document Intelligence and GNN modules.</w:t>
            </w:r>
          </w:p>
        </w:tc>
      </w:tr>
      <w:tr>
        <w:tc>
          <w:tcPr>
            <w:tcW w:type="dxa" w:w="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3</w:t>
            </w:r>
          </w:p>
        </w:tc>
        <w:tc>
          <w:tcPr>
            <w:tcW w:type="dxa" w:w="2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Full web app in a managed runtime</w:t>
            </w:r>
          </w:p>
        </w:tc>
        <w:tc>
          <w:tcPr>
            <w:tcW w:type="dxa" w:w="21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AppSail (managed runtime)</w:t>
            </w:r>
          </w:p>
        </w:tc>
        <w:tc>
          <w:tcPr>
            <w:tcW w:type="dxa" w:w="45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Hosts the production Next.js SSR frontend end to end.</w:t>
            </w:r>
          </w:p>
        </w:tc>
      </w:tr>
      <w:tr>
        <w:tc>
          <w:tcPr>
            <w:tcW w:type="dxa" w:w="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4</w:t>
            </w:r>
          </w:p>
        </w:tc>
        <w:tc>
          <w:tcPr>
            <w:tcW w:type="dxa" w:w="2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Frontend / SPA / Next.js static site</w:t>
            </w:r>
          </w:p>
        </w:tc>
        <w:tc>
          <w:tcPr>
            <w:tcW w:type="dxa" w:w="21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Slate / Web Client Hosting</w:t>
            </w:r>
          </w:p>
        </w:tc>
        <w:tc>
          <w:tcPr>
            <w:tcW w:type="dxa" w:w="45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Static marketing/login shell and any statically-exportable admin views.</w:t>
            </w:r>
          </w:p>
        </w:tc>
      </w:tr>
      <w:tr>
        <w:tc>
          <w:tcPr>
            <w:tcW w:type="dxa" w:w="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5</w:t>
            </w:r>
          </w:p>
        </w:tc>
        <w:tc>
          <w:tcPr>
            <w:tcW w:type="dxa" w:w="2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Custom domain + SSL</w:t>
            </w:r>
          </w:p>
        </w:tc>
        <w:tc>
          <w:tcPr>
            <w:tcW w:type="dxa" w:w="21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Domain Mappings</w:t>
            </w:r>
          </w:p>
        </w:tc>
        <w:tc>
          <w:tcPr>
            <w:tcW w:type="dxa" w:w="45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Production KSP-branded domain with managed SSL for the pilot deployment.</w:t>
            </w:r>
          </w:p>
        </w:tc>
      </w:tr>
      <w:tr>
        <w:tc>
          <w:tcPr>
            <w:tcW w:type="dxa" w:w="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6</w:t>
            </w:r>
          </w:p>
        </w:tc>
        <w:tc>
          <w:tcPr>
            <w:tcW w:type="dxa" w:w="2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Relational database</w:t>
            </w:r>
          </w:p>
        </w:tc>
        <w:tc>
          <w:tcPr>
            <w:tcW w:type="dxa" w:w="21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Data Store</w:t>
            </w:r>
          </w:p>
        </w:tc>
        <w:tc>
          <w:tcPr>
            <w:tcW w:type="dxa" w:w="45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System of record for CaseMaster and all 23 relational FIR tables; row-level enforcement point for RBAC masking.</w:t>
            </w:r>
          </w:p>
        </w:tc>
      </w:tr>
      <w:tr>
        <w:tc>
          <w:tcPr>
            <w:tcW w:type="dxa" w:w="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7</w:t>
            </w:r>
          </w:p>
        </w:tc>
        <w:tc>
          <w:tcPr>
            <w:tcW w:type="dxa" w:w="2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Unstructured / semi-structured data</w:t>
            </w:r>
          </w:p>
        </w:tc>
        <w:tc>
          <w:tcPr>
            <w:tcW w:type="dxa" w:w="21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NoSQL</w:t>
            </w:r>
          </w:p>
        </w:tc>
        <w:tc>
          <w:tcPr>
            <w:tcW w:type="dxa" w:w="45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Embeddings, chat sessions, case narratives, reasoning outputs, semantic-memory context objects.</w:t>
            </w:r>
          </w:p>
        </w:tc>
      </w:tr>
      <w:tr>
        <w:tc>
          <w:tcPr>
            <w:tcW w:type="dxa" w:w="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8</w:t>
            </w:r>
          </w:p>
        </w:tc>
        <w:tc>
          <w:tcPr>
            <w:tcW w:type="dxa" w:w="2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Object / blob storage (S3-style)</w:t>
            </w:r>
          </w:p>
        </w:tc>
        <w:tc>
          <w:tcPr>
            <w:tcW w:type="dxa" w:w="21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Stratus</w:t>
            </w:r>
          </w:p>
        </w:tc>
        <w:tc>
          <w:tcPr>
            <w:tcW w:type="dxa" w:w="45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Scanned FIRs, evidence photos/audio, exported PDF reports, backup video for the demo fallback.</w:t>
            </w:r>
          </w:p>
        </w:tc>
      </w:tr>
      <w:tr>
        <w:tc>
          <w:tcPr>
            <w:tcW w:type="dxa" w:w="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9</w:t>
            </w:r>
          </w:p>
        </w:tc>
        <w:tc>
          <w:tcPr>
            <w:tcW w:type="dxa" w:w="2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Cache</w:t>
            </w:r>
          </w:p>
        </w:tc>
        <w:tc>
          <w:tcPr>
            <w:tcW w:type="dxa" w:w="21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Cache</w:t>
            </w:r>
          </w:p>
        </w:tc>
        <w:tc>
          <w:tcPr>
            <w:tcW w:type="dxa" w:w="45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Hot hotspot/gang/offender-score indices and dashboard aggregations, sub-50ms reads.</w:t>
            </w:r>
          </w:p>
        </w:tc>
      </w:tr>
      <w:tr>
        <w:tc>
          <w:tcPr>
            <w:tcW w:type="dxa" w:w="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10</w:t>
            </w:r>
          </w:p>
        </w:tc>
        <w:tc>
          <w:tcPr>
            <w:tcW w:type="dxa" w:w="2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Full-text search (within Data Store)</w:t>
            </w:r>
          </w:p>
        </w:tc>
        <w:tc>
          <w:tcPr>
            <w:tcW w:type="dxa" w:w="21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Data Store full-text search</w:t>
            </w:r>
          </w:p>
        </w:tc>
        <w:tc>
          <w:tcPr>
            <w:tcW w:type="dxa" w:w="45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Free-text search over BriefFacts and other narrative fields for the SQL/text retriever path, before falling back to vector search for semantic matches.</w:t>
            </w:r>
          </w:p>
        </w:tc>
      </w:tr>
      <w:tr>
        <w:tc>
          <w:tcPr>
            <w:tcW w:type="dxa" w:w="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11</w:t>
            </w:r>
          </w:p>
        </w:tc>
        <w:tc>
          <w:tcPr>
            <w:tcW w:type="dxa" w:w="2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Text LLMs / RAG / knowledge bases</w:t>
            </w:r>
          </w:p>
        </w:tc>
        <w:tc>
          <w:tcPr>
            <w:tcW w:type="dxa" w:w="21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QuickML (LLM Serving, RAG)</w:t>
            </w:r>
          </w:p>
        </w:tc>
        <w:tc>
          <w:tcPr>
            <w:tcW w:type="dxa" w:w="45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GraphRAG pipeline, reasoning synthesis, Summarizer and Verifier agents, chat answer generation.</w:t>
            </w:r>
          </w:p>
        </w:tc>
      </w:tr>
      <w:tr>
        <w:tc>
          <w:tcPr>
            <w:tcW w:type="dxa" w:w="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12</w:t>
            </w:r>
          </w:p>
        </w:tc>
        <w:tc>
          <w:tcPr>
            <w:tcW w:type="dxa" w:w="2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No-code ML pipelines</w:t>
            </w:r>
          </w:p>
        </w:tc>
        <w:tc>
          <w:tcPr>
            <w:tcW w:type="dxa" w:w="21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QuickML</w:t>
            </w:r>
          </w:p>
        </w:tc>
        <w:tc>
          <w:tcPr>
            <w:tcW w:type="dxa" w:w="45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Rapid iteration on the similarity-index and embedding-index pipelines without hand-rolled training infrastructure.</w:t>
            </w:r>
          </w:p>
        </w:tc>
      </w:tr>
      <w:tr>
        <w:tc>
          <w:tcPr>
            <w:tcW w:type="dxa" w:w="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13</w:t>
            </w:r>
          </w:p>
        </w:tc>
        <w:tc>
          <w:tcPr>
            <w:tcW w:type="dxa" w:w="2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Automated model training (tabular)</w:t>
            </w:r>
          </w:p>
        </w:tc>
        <w:tc>
          <w:tcPr>
            <w:tcW w:type="dxa" w:w="21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Zia AutoML</w:t>
            </w:r>
          </w:p>
        </w:tc>
        <w:tc>
          <w:tcPr>
            <w:tcW w:type="dxa" w:w="45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Offender recidivism/risk scoring and crime-forecast models trained on tabular FIR-derived features.</w:t>
            </w:r>
          </w:p>
        </w:tc>
      </w:tr>
      <w:tr>
        <w:tc>
          <w:tcPr>
            <w:tcW w:type="dxa" w:w="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14</w:t>
            </w:r>
          </w:p>
        </w:tc>
        <w:tc>
          <w:tcPr>
            <w:tcW w:type="dxa" w:w="2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OCR / Face / Text Analytics / Image Mod / Object Recognition / Barcode / ID Scanner</w:t>
            </w:r>
          </w:p>
        </w:tc>
        <w:tc>
          <w:tcPr>
            <w:tcW w:type="dxa" w:w="21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Zia Services</w:t>
            </w:r>
          </w:p>
        </w:tc>
        <w:tc>
          <w:tcPr>
            <w:tcW w:type="dxa" w:w="45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OCR of scanned FIRs and evidence documents (Phase 20); image moderation on uploaded evidence photos; ID/barcode scanning for evidence intake.</w:t>
            </w:r>
          </w:p>
        </w:tc>
      </w:tr>
      <w:tr>
        <w:tc>
          <w:tcPr>
            <w:tcW w:type="dxa" w:w="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15</w:t>
            </w:r>
          </w:p>
        </w:tc>
        <w:tc>
          <w:tcPr>
            <w:tcW w:type="dxa" w:w="2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Voice services (speech-to-text, text-to-speech, translation)</w:t>
            </w:r>
          </w:p>
        </w:tc>
        <w:tc>
          <w:tcPr>
            <w:tcW w:type="dxa" w:w="21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Zia Services</w:t>
            </w:r>
          </w:p>
        </w:tc>
        <w:tc>
          <w:tcPr>
            <w:tcW w:type="dxa" w:w="45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Primary engine for the bilingual EN/KN voice interface; see Section 6 for the fallback path if Kannada coverage proves insufficient.</w:t>
            </w:r>
          </w:p>
        </w:tc>
      </w:tr>
      <w:tr>
        <w:tc>
          <w:tcPr>
            <w:tcW w:type="dxa" w:w="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16</w:t>
            </w:r>
          </w:p>
        </w:tc>
        <w:tc>
          <w:tcPr>
            <w:tcW w:type="dxa" w:w="2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PDF / image-based report generation, screenshots, headless browser, scraping</w:t>
            </w:r>
          </w:p>
        </w:tc>
        <w:tc>
          <w:tcPr>
            <w:tcW w:type="dxa" w:w="21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SmartBrowz</w:t>
            </w:r>
          </w:p>
        </w:tc>
        <w:tc>
          <w:tcPr>
            <w:tcW w:type="dxa" w:w="45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Conversation-to-PDF export, case report generation, and rendering print-quality dashboard/graph snapshots into reports.</w:t>
            </w:r>
          </w:p>
        </w:tc>
      </w:tr>
      <w:tr>
        <w:tc>
          <w:tcPr>
            <w:tcW w:type="dxa" w:w="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17</w:t>
            </w:r>
          </w:p>
        </w:tc>
        <w:tc>
          <w:tcPr>
            <w:tcW w:type="dxa" w:w="2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User auth / login / signup</w:t>
            </w:r>
          </w:p>
        </w:tc>
        <w:tc>
          <w:tcPr>
            <w:tcW w:type="dxa" w:w="21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Authentication</w:t>
            </w:r>
          </w:p>
        </w:tc>
        <w:tc>
          <w:tcPr>
            <w:tcW w:type="dxa" w:w="45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5-role RBAC identity, MFA for Investigator/Supervisor/Administrator, session-timeout policy, token rotation.</w:t>
            </w:r>
          </w:p>
        </w:tc>
      </w:tr>
      <w:tr>
        <w:tc>
          <w:tcPr>
            <w:tcW w:type="dxa" w:w="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18</w:t>
            </w:r>
          </w:p>
        </w:tc>
        <w:tc>
          <w:tcPr>
            <w:tcW w:type="dxa" w:w="2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API routing, throttling, auth in front of Functions / Web Client Hosting</w:t>
            </w:r>
          </w:p>
        </w:tc>
        <w:tc>
          <w:tcPr>
            <w:tcW w:type="dxa" w:w="21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API Gateway</w:t>
            </w:r>
          </w:p>
        </w:tc>
        <w:tc>
          <w:tcPr>
            <w:tcW w:type="dxa" w:w="45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Public edge for every Function and the hosted frontend: rate limiting, schema validation, replay-attack protection before any request reaches business logic.</w:t>
            </w:r>
          </w:p>
        </w:tc>
      </w:tr>
      <w:tr>
        <w:tc>
          <w:tcPr>
            <w:tcW w:type="dxa" w:w="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19</w:t>
            </w:r>
          </w:p>
        </w:tc>
        <w:tc>
          <w:tcPr>
            <w:tcW w:type="dxa" w:w="2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OAuth tokens for Zoho / 3rd-party services</w:t>
            </w:r>
          </w:p>
        </w:tc>
        <w:tc>
          <w:tcPr>
            <w:tcW w:type="dxa" w:w="21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Connections</w:t>
            </w:r>
          </w:p>
        </w:tc>
        <w:tc>
          <w:tcPr>
            <w:tcW w:type="dxa" w:w="45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Managed OAuth credentials for the external mapping/tile provider, any Kannada NLU fallback service, and future KSP CCTNS/ICJS integration — least-privilege, never a shared "god credential."</w:t>
            </w:r>
          </w:p>
        </w:tc>
      </w:tr>
      <w:tr>
        <w:tc>
          <w:tcPr>
            <w:tcW w:type="dxa" w:w="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20</w:t>
            </w:r>
          </w:p>
        </w:tc>
        <w:tc>
          <w:tcPr>
            <w:tcW w:type="dxa" w:w="2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Scheduled jobs / cron / job pools</w:t>
            </w:r>
          </w:p>
        </w:tc>
        <w:tc>
          <w:tcPr>
            <w:tcW w:type="dxa" w:w="21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Cron</w:t>
            </w:r>
          </w:p>
        </w:tc>
        <w:tc>
          <w:tcPr>
            <w:tcW w:type="dxa" w:w="45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Nightly precomputation refresh, data retention/purge jobs, backup-verification jobs, forecast-model retraining cadence.</w:t>
            </w:r>
          </w:p>
        </w:tc>
      </w:tr>
      <w:tr>
        <w:tc>
          <w:tcPr>
            <w:tcW w:type="dxa" w:w="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21</w:t>
            </w:r>
          </w:p>
        </w:tc>
        <w:tc>
          <w:tcPr>
            <w:tcW w:type="dxa" w:w="2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Reacting to in-project events (DB inserts, file uploads, signups)</w:t>
            </w:r>
          </w:p>
        </w:tc>
        <w:tc>
          <w:tcPr>
            <w:tcW w:type="dxa" w:w="21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Signals + Event Functions</w:t>
            </w:r>
          </w:p>
        </w:tc>
        <w:tc>
          <w:tcPr>
            <w:tcW w:type="dxa" w:w="45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New-FIR-insert triggers incremental hotspot/graph index update; new evidence upload triggers OCR/Zia pipeline; new user signup triggers RBAC provisioning.</w:t>
            </w:r>
          </w:p>
        </w:tc>
      </w:tr>
      <w:tr>
        <w:tc>
          <w:tcPr>
            <w:tcW w:type="dxa" w:w="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22</w:t>
            </w:r>
          </w:p>
        </w:tc>
        <w:tc>
          <w:tcPr>
            <w:tcW w:type="dxa" w:w="2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Cross-app event bus / event routing</w:t>
            </w:r>
          </w:p>
        </w:tc>
        <w:tc>
          <w:tcPr>
            <w:tcW w:type="dxa" w:w="21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Signals</w:t>
            </w:r>
          </w:p>
        </w:tc>
        <w:tc>
          <w:tcPr>
            <w:tcW w:type="dxa" w:w="45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Backbone for Phase 17's real-time event processing — routes case updates to the dashboard, graph, and alerting subsystems without polling.</w:t>
            </w:r>
          </w:p>
        </w:tc>
      </w:tr>
      <w:tr>
        <w:tc>
          <w:tcPr>
            <w:tcW w:type="dxa" w:w="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23</w:t>
            </w:r>
          </w:p>
        </w:tc>
        <w:tc>
          <w:tcPr>
            <w:tcW w:type="dxa" w:w="2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Multi-step workflow / orchestration with branches and parallel steps</w:t>
            </w:r>
          </w:p>
        </w:tc>
        <w:tc>
          <w:tcPr>
            <w:tcW w:type="dxa" w:w="21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Circuits</w:t>
            </w:r>
          </w:p>
        </w:tc>
        <w:tc>
          <w:tcPr>
            <w:tcW w:type="dxa" w:w="45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Multi-Agent Coordinator's SQL/OCR/Analytics/Graph/Forecast fan-out and Summarizer → Verifier chain; reveal-request approval workflow (request → Supervisor branch → audit log).</w:t>
            </w:r>
          </w:p>
        </w:tc>
      </w:tr>
      <w:tr>
        <w:tc>
          <w:tcPr>
            <w:tcW w:type="dxa" w:w="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24</w:t>
            </w:r>
          </w:p>
        </w:tc>
        <w:tc>
          <w:tcPr>
            <w:tcW w:type="dxa" w:w="2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Transactional email</w:t>
            </w:r>
          </w:p>
        </w:tc>
        <w:tc>
          <w:tcPr>
            <w:tcW w:type="dxa" w:w="21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Mail</w:t>
            </w:r>
          </w:p>
        </w:tc>
        <w:tc>
          <w:tcPr>
            <w:tcW w:type="dxa" w:w="45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Reveal-request notifications, "needs review" escalations to Supervisors, incident-response alerts, weekly digest to Administrators.</w:t>
            </w:r>
          </w:p>
        </w:tc>
      </w:tr>
      <w:tr>
        <w:tc>
          <w:tcPr>
            <w:tcW w:type="dxa" w:w="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25</w:t>
            </w:r>
          </w:p>
        </w:tc>
        <w:tc>
          <w:tcPr>
            <w:tcW w:type="dxa" w:w="2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Push notifications (web / Android / iOS)</w:t>
            </w:r>
          </w:p>
        </w:tc>
        <w:tc>
          <w:tcPr>
            <w:tcW w:type="dxa" w:w="21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Push Notifications</w:t>
            </w:r>
          </w:p>
        </w:tc>
        <w:tc>
          <w:tcPr>
            <w:tcW w:type="dxa" w:w="45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Forecast/alert delivery to the Mobile PWA (Phase 19) and desktop web sessions when a risk threshold is crossed.</w:t>
            </w:r>
          </w:p>
        </w:tc>
      </w:tr>
      <w:tr>
        <w:tc>
          <w:tcPr>
            <w:tcW w:type="dxa" w:w="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26</w:t>
            </w:r>
          </w:p>
        </w:tc>
        <w:tc>
          <w:tcPr>
            <w:tcW w:type="dxa" w:w="2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CI / CD</w:t>
            </w:r>
          </w:p>
        </w:tc>
        <w:tc>
          <w:tcPr>
            <w:tcW w:type="dxa" w:w="21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Pipelines</w:t>
            </w:r>
          </w:p>
        </w:tc>
        <w:tc>
          <w:tcPr>
            <w:tcW w:type="dxa" w:w="45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Build, dependency/secret scanning, mandatory code-review gate, test, and deploy automation for every merge to a protected branch.</w:t>
            </w:r>
          </w:p>
        </w:tc>
      </w:tr>
    </w:tbl>
    <w:p>
      <w:pPr>
        <w:spacing w:after="200" w:before="0"/>
      </w:pPr>
    </w:p>
    <w:p>
      <w:pPr>
        <w:pStyle w:val="Heading2"/>
        <w:spacing w:after="140" w:before="300"/>
      </w:pPr>
      <w:r>
        <w:rPr>
          <w:b/>
          <w:bCs/>
          <w:color w:val="0B1E3F"/>
          <w:sz w:val="25"/>
          <w:szCs w:val="25"/>
        </w:rPr>
        <w:t xml:space="preserve">4.1 Catalyst Service Inventory by Phase</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1750"/>
        <w:gridCol w:w="2300"/>
        <w:gridCol w:w="5300"/>
      </w:tblGrid>
      <w:tr>
        <w:trPr>
          <w:tblHeader/>
        </w:trPr>
        <w:tc>
          <w:tcPr>
            <w:tcW w:type="dxa" w:w="1750"/>
            <w:shd w:fill="0B1E3F" w:color="auto" w:val="clear"/>
            <w:tcMar>
              <w:top w:type="dxa" w:w="60"/>
              <w:left w:type="dxa" w:w="100"/>
              <w:bottom w:type="dxa" w:w="60"/>
              <w:right w:type="dxa" w:w="100"/>
            </w:tcMar>
          </w:tcPr>
          <w:p>
            <w:pPr>
              <w:spacing w:after="40" w:before="40" w:line="252"/>
            </w:pPr>
            <w:r>
              <w:rPr>
                <w:b/>
                <w:bCs/>
                <w:color w:val="FFFFFF"/>
                <w:sz w:val="19"/>
                <w:szCs w:val="19"/>
              </w:rPr>
              <w:t xml:space="preserve">Catalyst Service</w:t>
            </w:r>
          </w:p>
        </w:tc>
        <w:tc>
          <w:tcPr>
            <w:tcW w:type="dxa" w:w="2300"/>
            <w:shd w:fill="0B1E3F" w:color="auto" w:val="clear"/>
            <w:tcMar>
              <w:top w:type="dxa" w:w="60"/>
              <w:left w:type="dxa" w:w="100"/>
              <w:bottom w:type="dxa" w:w="60"/>
              <w:right w:type="dxa" w:w="100"/>
            </w:tcMar>
          </w:tcPr>
          <w:p>
            <w:pPr>
              <w:spacing w:after="40" w:before="40" w:line="252"/>
            </w:pPr>
            <w:r>
              <w:rPr>
                <w:b/>
                <w:bCs/>
                <w:color w:val="FFFFFF"/>
                <w:sz w:val="19"/>
                <w:szCs w:val="19"/>
              </w:rPr>
              <w:t xml:space="preserve">Used By (Blueprint Phases)</w:t>
            </w:r>
          </w:p>
        </w:tc>
        <w:tc>
          <w:tcPr>
            <w:tcW w:type="dxa" w:w="5300"/>
            <w:shd w:fill="0B1E3F" w:color="auto" w:val="clear"/>
            <w:tcMar>
              <w:top w:type="dxa" w:w="60"/>
              <w:left w:type="dxa" w:w="100"/>
              <w:bottom w:type="dxa" w:w="60"/>
              <w:right w:type="dxa" w:w="100"/>
            </w:tcMar>
          </w:tcPr>
          <w:p>
            <w:pPr>
              <w:spacing w:after="40" w:before="40" w:line="252"/>
            </w:pPr>
            <w:r>
              <w:rPr>
                <w:b/>
                <w:bCs/>
                <w:color w:val="FFFFFF"/>
                <w:sz w:val="19"/>
                <w:szCs w:val="19"/>
              </w:rPr>
              <w:t xml:space="preserve">Purpose</w:t>
            </w:r>
          </w:p>
        </w:tc>
      </w:tr>
      <w:tr>
        <w:tc>
          <w:tcPr>
            <w:tcW w:type="dxa" w:w="17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Data Store</w:t>
            </w:r>
          </w:p>
        </w:tc>
        <w:tc>
          <w:tcPr>
            <w:tcW w:type="dxa" w:w="2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0.0, 1.3, 3, 0.15</w:t>
            </w:r>
          </w:p>
        </w:tc>
        <w:tc>
          <w:tcPr>
            <w:tcW w:type="dxa" w:w="5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System of record for CaseMaster and all relational FIR tables; row-level enforcement</w:t>
            </w:r>
          </w:p>
        </w:tc>
      </w:tr>
      <w:tr>
        <w:tc>
          <w:tcPr>
            <w:tcW w:type="dxa" w:w="17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NoSQL</w:t>
            </w:r>
          </w:p>
        </w:tc>
        <w:tc>
          <w:tcPr>
            <w:tcW w:type="dxa" w:w="2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0.1, 0.4, 0.11</w:t>
            </w:r>
          </w:p>
        </w:tc>
        <w:tc>
          <w:tcPr>
            <w:tcW w:type="dxa" w:w="5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Embeddings, chat sessions, case narratives, reasoning outputs</w:t>
            </w:r>
          </w:p>
        </w:tc>
      </w:tr>
      <w:tr>
        <w:tc>
          <w:tcPr>
            <w:tcW w:type="dxa" w:w="17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Cache</w:t>
            </w:r>
          </w:p>
        </w:tc>
        <w:tc>
          <w:tcPr>
            <w:tcW w:type="dxa" w:w="2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0.1, 0.9, 15.2</w:t>
            </w:r>
          </w:p>
        </w:tc>
        <w:tc>
          <w:tcPr>
            <w:tcW w:type="dxa" w:w="5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Sub-50ms reads for hotspot/gang/offender scores and hot aggregations</w:t>
            </w:r>
          </w:p>
        </w:tc>
      </w:tr>
      <w:tr>
        <w:tc>
          <w:tcPr>
            <w:tcW w:type="dxa" w:w="17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Stratus</w:t>
            </w:r>
          </w:p>
        </w:tc>
        <w:tc>
          <w:tcPr>
            <w:tcW w:type="dxa" w:w="2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0.8, 20</w:t>
            </w:r>
          </w:p>
        </w:tc>
        <w:tc>
          <w:tcPr>
            <w:tcW w:type="dxa" w:w="5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Scanned FIRs, photos, audio evidence, exported PDFs</w:t>
            </w:r>
          </w:p>
        </w:tc>
      </w:tr>
      <w:tr>
        <w:tc>
          <w:tcPr>
            <w:tcW w:type="dxa" w:w="17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Functions</w:t>
            </w:r>
          </w:p>
        </w:tc>
        <w:tc>
          <w:tcPr>
            <w:tcW w:type="dxa" w:w="2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Nearly every phase</w:t>
            </w:r>
          </w:p>
        </w:tc>
        <w:tc>
          <w:tcPr>
            <w:tcW w:type="dxa" w:w="5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All backend business logic; least-privilege per 0.16.2</w:t>
            </w:r>
          </w:p>
        </w:tc>
      </w:tr>
      <w:tr>
        <w:tc>
          <w:tcPr>
            <w:tcW w:type="dxa" w:w="17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Circuits</w:t>
            </w:r>
          </w:p>
        </w:tc>
        <w:tc>
          <w:tcPr>
            <w:tcW w:type="dxa" w:w="2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0.5, 21</w:t>
            </w:r>
          </w:p>
        </w:tc>
        <w:tc>
          <w:tcPr>
            <w:tcW w:type="dxa" w:w="5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Multi-Agent Coordinator fan-out; approval workflows</w:t>
            </w:r>
          </w:p>
        </w:tc>
      </w:tr>
      <w:tr>
        <w:tc>
          <w:tcPr>
            <w:tcW w:type="dxa" w:w="17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Authentication</w:t>
            </w:r>
          </w:p>
        </w:tc>
        <w:tc>
          <w:tcPr>
            <w:tcW w:type="dxa" w:w="2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2, 0.16.2</w:t>
            </w:r>
          </w:p>
        </w:tc>
        <w:tc>
          <w:tcPr>
            <w:tcW w:type="dxa" w:w="5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Identity, 5-role RBAC, MFA enforcement</w:t>
            </w:r>
          </w:p>
        </w:tc>
      </w:tr>
      <w:tr>
        <w:tc>
          <w:tcPr>
            <w:tcW w:type="dxa" w:w="17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API Gateway</w:t>
            </w:r>
          </w:p>
        </w:tc>
        <w:tc>
          <w:tcPr>
            <w:tcW w:type="dxa" w:w="2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1.3, 0.16.2</w:t>
            </w:r>
          </w:p>
        </w:tc>
        <w:tc>
          <w:tcPr>
            <w:tcW w:type="dxa" w:w="5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Public edge — first line of defense before any Function runs</w:t>
            </w:r>
          </w:p>
        </w:tc>
      </w:tr>
      <w:tr>
        <w:tc>
          <w:tcPr>
            <w:tcW w:type="dxa" w:w="17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QuickML / LLM Serving</w:t>
            </w:r>
          </w:p>
        </w:tc>
        <w:tc>
          <w:tcPr>
            <w:tcW w:type="dxa" w:w="2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0.4, 0.5, 6, 16</w:t>
            </w:r>
          </w:p>
        </w:tc>
        <w:tc>
          <w:tcPr>
            <w:tcW w:type="dxa" w:w="5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Embeddings, summarization, reasoning synthesis</w:t>
            </w:r>
          </w:p>
        </w:tc>
      </w:tr>
      <w:tr>
        <w:tc>
          <w:tcPr>
            <w:tcW w:type="dxa" w:w="17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Zia AutoML</w:t>
            </w:r>
          </w:p>
        </w:tc>
        <w:tc>
          <w:tcPr>
            <w:tcW w:type="dxa" w:w="2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8, 10</w:t>
            </w:r>
          </w:p>
        </w:tc>
        <w:tc>
          <w:tcPr>
            <w:tcW w:type="dxa" w:w="5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Tabular offender-risk and crime-forecast model training</w:t>
            </w:r>
          </w:p>
        </w:tc>
      </w:tr>
      <w:tr>
        <w:tc>
          <w:tcPr>
            <w:tcW w:type="dxa" w:w="17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Zia Services</w:t>
            </w:r>
          </w:p>
        </w:tc>
        <w:tc>
          <w:tcPr>
            <w:tcW w:type="dxa" w:w="2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11, 20</w:t>
            </w:r>
          </w:p>
        </w:tc>
        <w:tc>
          <w:tcPr>
            <w:tcW w:type="dxa" w:w="5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OCR, image moderation, ID/barcode scan, voice STT/TTS/translation</w:t>
            </w:r>
          </w:p>
        </w:tc>
      </w:tr>
      <w:tr>
        <w:tc>
          <w:tcPr>
            <w:tcW w:type="dxa" w:w="17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SmartBrowz</w:t>
            </w:r>
          </w:p>
        </w:tc>
        <w:tc>
          <w:tcPr>
            <w:tcW w:type="dxa" w:w="2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13, 26</w:t>
            </w:r>
          </w:p>
        </w:tc>
        <w:tc>
          <w:tcPr>
            <w:tcW w:type="dxa" w:w="5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PDF/report export, print-quality dashboard snapshots</w:t>
            </w:r>
          </w:p>
        </w:tc>
      </w:tr>
      <w:tr>
        <w:tc>
          <w:tcPr>
            <w:tcW w:type="dxa" w:w="17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Pipelines</w:t>
            </w:r>
          </w:p>
        </w:tc>
        <w:tc>
          <w:tcPr>
            <w:tcW w:type="dxa" w:w="2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1.3, 0.16.2</w:t>
            </w:r>
          </w:p>
        </w:tc>
        <w:tc>
          <w:tcPr>
            <w:tcW w:type="dxa" w:w="5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Build, test, and deploy automation; dependency/secret scanning</w:t>
            </w:r>
          </w:p>
        </w:tc>
      </w:tr>
      <w:tr>
        <w:tc>
          <w:tcPr>
            <w:tcW w:type="dxa" w:w="17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Cron</w:t>
            </w:r>
          </w:p>
        </w:tc>
        <w:tc>
          <w:tcPr>
            <w:tcW w:type="dxa" w:w="2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0.9, 0.16.1</w:t>
            </w:r>
          </w:p>
        </w:tc>
        <w:tc>
          <w:tcPr>
            <w:tcW w:type="dxa" w:w="5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Scheduled index refresh, backup verification, data anonymization</w:t>
            </w:r>
          </w:p>
        </w:tc>
      </w:tr>
      <w:tr>
        <w:tc>
          <w:tcPr>
            <w:tcW w:type="dxa" w:w="17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Signals</w:t>
            </w:r>
          </w:p>
        </w:tc>
        <w:tc>
          <w:tcPr>
            <w:tcW w:type="dxa" w:w="2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17, 21</w:t>
            </w:r>
          </w:p>
        </w:tc>
        <w:tc>
          <w:tcPr>
            <w:tcW w:type="dxa" w:w="5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Event-driven incremental updates; cross-service event routing</w:t>
            </w:r>
          </w:p>
        </w:tc>
      </w:tr>
      <w:tr>
        <w:tc>
          <w:tcPr>
            <w:tcW w:type="dxa" w:w="17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Connections</w:t>
            </w:r>
          </w:p>
        </w:tc>
        <w:tc>
          <w:tcPr>
            <w:tcW w:type="dxa" w:w="2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0.16.2, 19 (mapping/Kannada fallback)</w:t>
            </w:r>
          </w:p>
        </w:tc>
        <w:tc>
          <w:tcPr>
            <w:tcW w:type="dxa" w:w="5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OAuth-managed access to external and future KSP systems</w:t>
            </w:r>
          </w:p>
        </w:tc>
      </w:tr>
      <w:tr>
        <w:tc>
          <w:tcPr>
            <w:tcW w:type="dxa" w:w="17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Mail</w:t>
            </w:r>
          </w:p>
        </w:tc>
        <w:tc>
          <w:tcPr>
            <w:tcW w:type="dxa" w:w="2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0.14, 0.16.2</w:t>
            </w:r>
          </w:p>
        </w:tc>
        <w:tc>
          <w:tcPr>
            <w:tcW w:type="dxa" w:w="5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Reveal-request and review-queue notifications, incident alerts</w:t>
            </w:r>
          </w:p>
        </w:tc>
      </w:tr>
      <w:tr>
        <w:tc>
          <w:tcPr>
            <w:tcW w:type="dxa" w:w="17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Push Notifications</w:t>
            </w:r>
          </w:p>
        </w:tc>
        <w:tc>
          <w:tcPr>
            <w:tcW w:type="dxa" w:w="2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10, 19</w:t>
            </w:r>
          </w:p>
        </w:tc>
        <w:tc>
          <w:tcPr>
            <w:tcW w:type="dxa" w:w="5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Forecast/alert delivery to PWA and web sessions</w:t>
            </w:r>
          </w:p>
        </w:tc>
      </w:tr>
      <w:tr>
        <w:tc>
          <w:tcPr>
            <w:tcW w:type="dxa" w:w="17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AppSail</w:t>
            </w:r>
          </w:p>
        </w:tc>
        <w:tc>
          <w:tcPr>
            <w:tcW w:type="dxa" w:w="2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15.5, 26</w:t>
            </w:r>
          </w:p>
        </w:tc>
        <w:tc>
          <w:tcPr>
            <w:tcW w:type="dxa" w:w="5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Hosts the Next.js SSR frontend; custom OCI runtime for containerised OCR/GNN workloads</w:t>
            </w:r>
          </w:p>
        </w:tc>
      </w:tr>
      <w:tr>
        <w:tc>
          <w:tcPr>
            <w:tcW w:type="dxa" w:w="17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Domain Mappings</w:t>
            </w:r>
          </w:p>
        </w:tc>
        <w:tc>
          <w:tcPr>
            <w:tcW w:type="dxa" w:w="2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15.5, 26</w:t>
            </w:r>
          </w:p>
        </w:tc>
        <w:tc>
          <w:tcPr>
            <w:tcW w:type="dxa" w:w="5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Production custom domain with managed SSL</w:t>
            </w:r>
          </w:p>
        </w:tc>
      </w:tr>
    </w:tbl>
    <w:p>
      <w:r>
        <w:br w:type="page"/>
      </w:r>
    </w:p>
    <w:p>
      <w:pPr>
        <w:pStyle w:val="Heading1"/>
        <w:pBdr>
          <w:bottom w:val="single" w:color="D4A017" w:sz="8" w:space="4"/>
        </w:pBdr>
        <w:spacing w:after="200" w:before="400"/>
      </w:pPr>
      <w:r>
        <w:rPr>
          <w:b/>
          <w:bCs/>
          <w:color w:val="0B1E3F"/>
          <w:sz w:val="30"/>
          <w:szCs w:val="30"/>
        </w:rPr>
        <w:t xml:space="preserve">5. Data Architecture</w:t>
      </w:r>
    </w:p>
    <w:p>
      <w:pPr>
        <w:pStyle w:val="Heading2"/>
        <w:spacing w:after="140" w:before="300"/>
      </w:pPr>
      <w:r>
        <w:rPr>
          <w:b/>
          <w:bCs/>
          <w:color w:val="0B1E3F"/>
          <w:sz w:val="25"/>
          <w:szCs w:val="25"/>
        </w:rPr>
        <w:t xml:space="preserve">5.1 Source Schema</w:t>
      </w:r>
    </w:p>
    <w:p>
      <w:pPr>
        <w:spacing w:after="160" w:before="80" w:line="276"/>
        <w:jc w:val="both"/>
      </w:pPr>
      <w:r>
        <w:rPr>
          <w:b w:val="false"/>
          <w:bCs w:val="false"/>
          <w:i w:val="false"/>
          <w:iCs w:val="false"/>
          <w:color w:val="2B2B2B"/>
          <w:sz w:val="21"/>
          <w:szCs w:val="21"/>
        </w:rPr>
        <w:t xml:space="preserve">Built against the KSP Police FIR ER Diagram: 23 tables across six domains, with CaseMasterID as the spine every retriever joins through. Only CaseMaster carries point-level geolocation — arrests, courts, and units carry district/state-level geo only, so any "arrest location" view is district-level by design, not a gap.</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2000"/>
        <w:gridCol w:w="4200"/>
        <w:gridCol w:w="3150"/>
      </w:tblGrid>
      <w:tr>
        <w:trPr>
          <w:tblHeader/>
        </w:trPr>
        <w:tc>
          <w:tcPr>
            <w:tcW w:type="dxa" w:w="2000"/>
            <w:shd w:fill="0B1E3F" w:color="auto" w:val="clear"/>
            <w:tcMar>
              <w:top w:type="dxa" w:w="60"/>
              <w:left w:type="dxa" w:w="100"/>
              <w:bottom w:type="dxa" w:w="60"/>
              <w:right w:type="dxa" w:w="100"/>
            </w:tcMar>
          </w:tcPr>
          <w:p>
            <w:pPr>
              <w:spacing w:after="40" w:before="40" w:line="252"/>
            </w:pPr>
            <w:r>
              <w:rPr>
                <w:b/>
                <w:bCs/>
                <w:color w:val="FFFFFF"/>
                <w:sz w:val="19"/>
                <w:szCs w:val="19"/>
              </w:rPr>
              <w:t xml:space="preserve">Domain</w:t>
            </w:r>
          </w:p>
        </w:tc>
        <w:tc>
          <w:tcPr>
            <w:tcW w:type="dxa" w:w="4200"/>
            <w:shd w:fill="0B1E3F" w:color="auto" w:val="clear"/>
            <w:tcMar>
              <w:top w:type="dxa" w:w="60"/>
              <w:left w:type="dxa" w:w="100"/>
              <w:bottom w:type="dxa" w:w="60"/>
              <w:right w:type="dxa" w:w="100"/>
            </w:tcMar>
          </w:tcPr>
          <w:p>
            <w:pPr>
              <w:spacing w:after="40" w:before="40" w:line="252"/>
            </w:pPr>
            <w:r>
              <w:rPr>
                <w:b/>
                <w:bCs/>
                <w:color w:val="FFFFFF"/>
                <w:sz w:val="19"/>
                <w:szCs w:val="19"/>
              </w:rPr>
              <w:t xml:space="preserve">Tables</w:t>
            </w:r>
          </w:p>
        </w:tc>
        <w:tc>
          <w:tcPr>
            <w:tcW w:type="dxa" w:w="3150"/>
            <w:shd w:fill="0B1E3F" w:color="auto" w:val="clear"/>
            <w:tcMar>
              <w:top w:type="dxa" w:w="60"/>
              <w:left w:type="dxa" w:w="100"/>
              <w:bottom w:type="dxa" w:w="60"/>
              <w:right w:type="dxa" w:w="100"/>
            </w:tcMar>
          </w:tcPr>
          <w:p>
            <w:pPr>
              <w:spacing w:after="40" w:before="40" w:line="252"/>
            </w:pPr>
            <w:r>
              <w:rPr>
                <w:b/>
                <w:bCs/>
                <w:color w:val="FFFFFF"/>
                <w:sz w:val="19"/>
                <w:szCs w:val="19"/>
              </w:rPr>
              <w:t xml:space="preserve">Notes</w:t>
            </w:r>
          </w:p>
        </w:tc>
      </w:tr>
      <w:tr>
        <w:tc>
          <w:tcPr>
            <w:tcW w:type="dxa" w:w="2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Case Core</w:t>
            </w:r>
          </w:p>
        </w:tc>
        <w:tc>
          <w:tcPr>
            <w:tcW w:type="dxa" w:w="42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CaseMaster, ComplainantDetails, Victim, Accused, ArrestSurrender, ActSectionAssociation, ChargesheetDetails</w:t>
            </w:r>
          </w:p>
        </w:tc>
        <w:tc>
          <w:tcPr>
            <w:tcW w:type="dxa" w:w="31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CaseMasterID is the spine every other case-core table joins through</w:t>
            </w:r>
          </w:p>
        </w:tc>
      </w:tr>
      <w:tr>
        <w:tc>
          <w:tcPr>
            <w:tcW w:type="dxa" w:w="20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Legal Classification</w:t>
            </w:r>
          </w:p>
        </w:tc>
        <w:tc>
          <w:tcPr>
            <w:tcW w:type="dxa" w:w="42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Act, Section, CrimeHead, CrimeSubHead, CrimeHeadActSection</w:t>
            </w:r>
          </w:p>
        </w:tc>
        <w:tc>
          <w:tcPr>
            <w:tcW w:type="dxa" w:w="31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Feeds crime-type trend analytics and reasoning-theory matching</w:t>
            </w:r>
          </w:p>
        </w:tc>
      </w:tr>
      <w:tr>
        <w:tc>
          <w:tcPr>
            <w:tcW w:type="dxa" w:w="2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Socio-Demographic Lookups</w:t>
            </w:r>
          </w:p>
        </w:tc>
        <w:tc>
          <w:tcPr>
            <w:tcW w:type="dxa" w:w="42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CasteMaster, ReligionMaster, OccupationMaster</w:t>
            </w:r>
          </w:p>
        </w:tc>
        <w:tc>
          <w:tcPr>
            <w:tcW w:type="dxa" w:w="31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Most sensitive linkage data in the schema; lookups themselves are Internal, per-person linkage is Highly Restricted</w:t>
            </w:r>
          </w:p>
        </w:tc>
      </w:tr>
      <w:tr>
        <w:tc>
          <w:tcPr>
            <w:tcW w:type="dxa" w:w="20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Case Metadata Lookups</w:t>
            </w:r>
          </w:p>
        </w:tc>
        <w:tc>
          <w:tcPr>
            <w:tcW w:type="dxa" w:w="42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CaseCategory, GravityOffence, CaseStatusMaster</w:t>
            </w:r>
          </w:p>
        </w:tc>
        <w:tc>
          <w:tcPr>
            <w:tcW w:type="dxa" w:w="31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Operational classification, Internal sensitivity</w:t>
            </w:r>
          </w:p>
        </w:tc>
      </w:tr>
      <w:tr>
        <w:tc>
          <w:tcPr>
            <w:tcW w:type="dxa" w:w="20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Org / Geo Structure</w:t>
            </w:r>
          </w:p>
        </w:tc>
        <w:tc>
          <w:tcPr>
            <w:tcW w:type="dxa" w:w="42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State, District, Unit, UnitType, Court</w:t>
            </w:r>
          </w:p>
        </w:tc>
        <w:tc>
          <w:tcPr>
            <w:tcW w:type="dxa" w:w="31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District/state-level geo only outside CaseMaster</w:t>
            </w:r>
          </w:p>
        </w:tc>
      </w:tr>
      <w:tr>
        <w:tc>
          <w:tcPr>
            <w:tcW w:type="dxa" w:w="20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Personnel</w:t>
            </w:r>
          </w:p>
        </w:tc>
        <w:tc>
          <w:tcPr>
            <w:tcW w:type="dxa" w:w="42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Employee, Rank, Designation</w:t>
            </w:r>
          </w:p>
        </w:tc>
        <w:tc>
          <w:tcPr>
            <w:tcW w:type="dxa" w:w="31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Personnel PII fields are Restricted</w:t>
            </w:r>
          </w:p>
        </w:tc>
      </w:tr>
    </w:tbl>
    <w:p>
      <w:pPr>
        <w:spacing w:after="200" w:before="0"/>
      </w:pPr>
    </w:p>
    <w:p>
      <w:pPr>
        <w:pStyle w:val="Heading2"/>
        <w:spacing w:after="140" w:before="300"/>
      </w:pPr>
      <w:r>
        <w:rPr>
          <w:b/>
          <w:bCs/>
          <w:color w:val="0B1E3F"/>
          <w:sz w:val="25"/>
          <w:szCs w:val="25"/>
        </w:rPr>
        <w:t xml:space="preserve">5.2 Data Sensitivity Classification</w:t>
      </w:r>
    </w:p>
    <w:p>
      <w:pPr>
        <w:spacing w:after="160" w:before="80" w:line="276"/>
        <w:jc w:val="both"/>
      </w:pPr>
      <w:r>
        <w:rPr>
          <w:b w:val="false"/>
          <w:bCs w:val="false"/>
          <w:i w:val="false"/>
          <w:iCs w:val="false"/>
          <w:color w:val="2B2B2B"/>
          <w:sz w:val="21"/>
          <w:szCs w:val="21"/>
        </w:rPr>
        <w:t xml:space="preserve">Every column is tagged Public / Internal / Restricted / Highly Restricted before it is wired into any retriever, dashboard, or export. This table is the authoritative source for both the RBAC masking layer (Section 8.1) and field-level encryption (Section 8.2).</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3400"/>
        <w:gridCol w:w="2250"/>
        <w:gridCol w:w="3700"/>
      </w:tblGrid>
      <w:tr>
        <w:trPr>
          <w:tblHeader/>
        </w:trPr>
        <w:tc>
          <w:tcPr>
            <w:tcW w:type="dxa" w:w="3400"/>
            <w:shd w:fill="0B1E3F" w:color="auto" w:val="clear"/>
            <w:tcMar>
              <w:top w:type="dxa" w:w="60"/>
              <w:left w:type="dxa" w:w="100"/>
              <w:bottom w:type="dxa" w:w="60"/>
              <w:right w:type="dxa" w:w="100"/>
            </w:tcMar>
          </w:tcPr>
          <w:p>
            <w:pPr>
              <w:spacing w:after="40" w:before="40" w:line="252"/>
            </w:pPr>
            <w:r>
              <w:rPr>
                <w:b/>
                <w:bCs/>
                <w:color w:val="FFFFFF"/>
                <w:sz w:val="19"/>
                <w:szCs w:val="19"/>
              </w:rPr>
              <w:t xml:space="preserve">Field / Category</w:t>
            </w:r>
          </w:p>
        </w:tc>
        <w:tc>
          <w:tcPr>
            <w:tcW w:type="dxa" w:w="2250"/>
            <w:shd w:fill="0B1E3F" w:color="auto" w:val="clear"/>
            <w:tcMar>
              <w:top w:type="dxa" w:w="60"/>
              <w:left w:type="dxa" w:w="100"/>
              <w:bottom w:type="dxa" w:w="60"/>
              <w:right w:type="dxa" w:w="100"/>
            </w:tcMar>
          </w:tcPr>
          <w:p>
            <w:pPr>
              <w:spacing w:after="40" w:before="40" w:line="252"/>
            </w:pPr>
            <w:r>
              <w:rPr>
                <w:b/>
                <w:bCs/>
                <w:color w:val="FFFFFF"/>
                <w:sz w:val="19"/>
                <w:szCs w:val="19"/>
              </w:rPr>
              <w:t xml:space="preserve">Classification</w:t>
            </w:r>
          </w:p>
        </w:tc>
        <w:tc>
          <w:tcPr>
            <w:tcW w:type="dxa" w:w="3700"/>
            <w:shd w:fill="0B1E3F" w:color="auto" w:val="clear"/>
            <w:tcMar>
              <w:top w:type="dxa" w:w="60"/>
              <w:left w:type="dxa" w:w="100"/>
              <w:bottom w:type="dxa" w:w="60"/>
              <w:right w:type="dxa" w:w="100"/>
            </w:tcMar>
          </w:tcPr>
          <w:p>
            <w:pPr>
              <w:spacing w:after="40" w:before="40" w:line="252"/>
            </w:pPr>
            <w:r>
              <w:rPr>
                <w:b/>
                <w:bCs/>
                <w:color w:val="FFFFFF"/>
                <w:sz w:val="19"/>
                <w:szCs w:val="19"/>
              </w:rPr>
              <w:t xml:space="preserve">Control</w:t>
            </w:r>
          </w:p>
        </w:tc>
      </w:tr>
      <w:tr>
        <w:tc>
          <w:tcPr>
            <w:tcW w:type="dxa" w:w="3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Caste / religion linkage (ComplainantDetails.CasteID / ReligionID)</w:t>
            </w:r>
          </w:p>
        </w:tc>
        <w:tc>
          <w:tcPr>
            <w:tcW w:type="dxa" w:w="22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Highly Restricted</w:t>
            </w:r>
          </w:p>
        </w:tc>
        <w:tc>
          <w:tcPr>
            <w:tcW w:type="dxa" w:w="37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Field-level encryption + masked reveal, both audited</w:t>
            </w:r>
          </w:p>
        </w:tc>
      </w:tr>
      <w:tr>
        <w:tc>
          <w:tcPr>
            <w:tcW w:type="dxa" w:w="3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Juvenile / sensitive-crime victim identity</w:t>
            </w:r>
          </w:p>
        </w:tc>
        <w:tc>
          <w:tcPr>
            <w:tcW w:type="dxa" w:w="22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Highly Restricted</w:t>
            </w:r>
          </w:p>
        </w:tc>
        <w:tc>
          <w:tcPr>
            <w:tcW w:type="dxa" w:w="37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Field-level encryption + masked reveal, both audited</w:t>
            </w:r>
          </w:p>
        </w:tc>
      </w:tr>
      <w:tr>
        <w:tc>
          <w:tcPr>
            <w:tcW w:type="dxa" w:w="3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Complainant / Accused / Victim PII (name, age, gender)</w:t>
            </w:r>
          </w:p>
        </w:tc>
        <w:tc>
          <w:tcPr>
            <w:tcW w:type="dxa" w:w="22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Restricted</w:t>
            </w:r>
          </w:p>
        </w:tc>
        <w:tc>
          <w:tcPr>
            <w:tcW w:type="dxa" w:w="37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RBAC masking with logged reveal</w:t>
            </w:r>
          </w:p>
        </w:tc>
      </w:tr>
      <w:tr>
        <w:tc>
          <w:tcPr>
            <w:tcW w:type="dxa" w:w="3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CaseMaster.latitude/longitude, BriefFacts</w:t>
            </w:r>
          </w:p>
        </w:tc>
        <w:tc>
          <w:tcPr>
            <w:tcW w:type="dxa" w:w="22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Restricted (Highly Restricted if linked to a sensitive-crime category)</w:t>
            </w:r>
          </w:p>
        </w:tc>
        <w:tc>
          <w:tcPr>
            <w:tcW w:type="dxa" w:w="37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RBAC masking; precise location can re-identify a residence</w:t>
            </w:r>
          </w:p>
        </w:tc>
      </w:tr>
      <w:tr>
        <w:tc>
          <w:tcPr>
            <w:tcW w:type="dxa" w:w="3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Employee PII (DOB, KGID)</w:t>
            </w:r>
          </w:p>
        </w:tc>
        <w:tc>
          <w:tcPr>
            <w:tcW w:type="dxa" w:w="22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Restricted</w:t>
            </w:r>
          </w:p>
        </w:tc>
        <w:tc>
          <w:tcPr>
            <w:tcW w:type="dxa" w:w="37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RBAC masking with logged reveal</w:t>
            </w:r>
          </w:p>
        </w:tc>
      </w:tr>
      <w:tr>
        <w:tc>
          <w:tcPr>
            <w:tcW w:type="dxa" w:w="3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Operational fields (CrimeNo, CaseStatusID, UnitID, etc.)</w:t>
            </w:r>
          </w:p>
        </w:tc>
        <w:tc>
          <w:tcPr>
            <w:tcW w:type="dxa" w:w="22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Internal</w:t>
            </w:r>
          </w:p>
        </w:tc>
        <w:tc>
          <w:tcPr>
            <w:tcW w:type="dxa" w:w="37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Standard RBAC scoping, no reveal workflow required</w:t>
            </w:r>
          </w:p>
        </w:tc>
      </w:tr>
      <w:tr>
        <w:tc>
          <w:tcPr>
            <w:tcW w:type="dxa" w:w="3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Legal/organizational reference data (Act, Section, District, Court, etc.)</w:t>
            </w:r>
          </w:p>
        </w:tc>
        <w:tc>
          <w:tcPr>
            <w:tcW w:type="dxa" w:w="22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Public / Internal</w:t>
            </w:r>
          </w:p>
        </w:tc>
        <w:tc>
          <w:tcPr>
            <w:tcW w:type="dxa" w:w="37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No PII, freely joinable</w:t>
            </w:r>
          </w:p>
        </w:tc>
      </w:tr>
    </w:tbl>
    <w:p>
      <w:pPr>
        <w:spacing w:after="200" w:before="0"/>
      </w:pPr>
    </w:p>
    <w:p>
      <w:pPr>
        <w:pStyle w:val="Heading2"/>
        <w:spacing w:after="140" w:before="300"/>
      </w:pPr>
      <w:r>
        <w:rPr>
          <w:b/>
          <w:bCs/>
          <w:color w:val="0B1E3F"/>
          <w:sz w:val="25"/>
          <w:szCs w:val="25"/>
        </w:rPr>
        <w:t xml:space="preserve">5.3 Known Schema Gaps (documented, not silently patched)</w:t>
      </w:r>
    </w:p>
    <w:p>
      <w:pPr>
        <w:pStyle w:val="ListParagraph"/>
        <w:numPr>
          <w:ilvl w:val="0"/>
          <w:numId w:val="2"/>
        </w:numPr>
        <w:spacing w:after="40" w:before="40" w:line="264"/>
      </w:pPr>
      <w:r>
        <w:rPr>
          <w:color w:val="2B2B2B"/>
          <w:sz w:val="21"/>
          <w:szCs w:val="21"/>
        </w:rPr>
        <w:t xml:space="preserve">inv_arrestsurrenderaccused — appears in the relationship matrix (ArrestSurrender ↔ Accused, one-to-many via junction) but has no column definition in the source table list; a reasonable-assumption schema is used and flagged pending KSP confirmation.</w:t>
      </w:r>
    </w:p>
    <w:p>
      <w:pPr>
        <w:pStyle w:val="ListParagraph"/>
        <w:numPr>
          <w:ilvl w:val="0"/>
          <w:numId w:val="2"/>
        </w:numPr>
        <w:spacing w:after="40" w:before="40" w:line="264"/>
      </w:pPr>
      <w:r>
        <w:rPr>
          <w:color w:val="2B2B2B"/>
          <w:sz w:val="21"/>
          <w:szCs w:val="21"/>
        </w:rPr>
        <w:t xml:space="preserve">Inv_OccuranceTime — listed as a one-to-one child of CaseMaster but never defined; CaseMaster's own IncidentFromDate/IncidentToDate are treated as authoritative until confirmed otherwise.</w:t>
      </w:r>
    </w:p>
    <w:p>
      <w:pPr>
        <w:pStyle w:val="ListParagraph"/>
        <w:numPr>
          <w:ilvl w:val="0"/>
          <w:numId w:val="2"/>
        </w:numPr>
        <w:spacing w:after="40" w:before="40" w:line="264"/>
      </w:pPr>
      <w:r>
        <w:rPr>
          <w:color w:val="2B2B2B"/>
          <w:sz w:val="21"/>
          <w:szCs w:val="21"/>
        </w:rPr>
        <w:t xml:space="preserve">No explicit informant-identity table exists; ComplainantDetails is used as the closest analog for the field-level encryption requirement, pending KSP confirmation of whether informants are modelled separately in production.</w:t>
      </w:r>
    </w:p>
    <w:p>
      <w:pPr>
        <w:pStyle w:val="Heading2"/>
        <w:spacing w:after="140" w:before="300"/>
      </w:pPr>
      <w:r>
        <w:rPr>
          <w:b/>
          <w:bCs/>
          <w:color w:val="0B1E3F"/>
          <w:sz w:val="25"/>
          <w:szCs w:val="25"/>
        </w:rPr>
        <w:t xml:space="preserve">5.4 Storage Mapping</w:t>
      </w:r>
    </w:p>
    <w:p>
      <w:pPr>
        <w:pStyle w:val="ListParagraph"/>
        <w:numPr>
          <w:ilvl w:val="0"/>
          <w:numId w:val="2"/>
        </w:numPr>
        <w:spacing w:after="40" w:before="40" w:line="264"/>
      </w:pPr>
      <w:r>
        <w:rPr>
          <w:color w:val="2B2B2B"/>
          <w:sz w:val="21"/>
          <w:szCs w:val="21"/>
        </w:rPr>
        <w:t xml:space="preserve">Relational FIR data (all 23 tables) → Catalyst Data Store, with row-level RBAC enforcement</w:t>
      </w:r>
    </w:p>
    <w:p>
      <w:pPr>
        <w:pStyle w:val="ListParagraph"/>
        <w:numPr>
          <w:ilvl w:val="0"/>
          <w:numId w:val="2"/>
        </w:numPr>
        <w:spacing w:after="40" w:before="40" w:line="264"/>
      </w:pPr>
      <w:r>
        <w:rPr>
          <w:color w:val="2B2B2B"/>
          <w:sz w:val="21"/>
          <w:szCs w:val="21"/>
        </w:rPr>
        <w:t xml:space="preserve">Embeddings, chat sessions, reasoning outputs, semantic-memory context → Catalyst NoSQL</w:t>
      </w:r>
    </w:p>
    <w:p>
      <w:pPr>
        <w:pStyle w:val="ListParagraph"/>
        <w:numPr>
          <w:ilvl w:val="0"/>
          <w:numId w:val="2"/>
        </w:numPr>
        <w:spacing w:after="40" w:before="40" w:line="264"/>
      </w:pPr>
      <w:r>
        <w:rPr>
          <w:color w:val="2B2B2B"/>
          <w:sz w:val="21"/>
          <w:szCs w:val="21"/>
        </w:rPr>
        <w:t xml:space="preserve">Scanned documents, evidence media, exported PDFs → Catalyst Stratus (encrypted at rest)</w:t>
      </w:r>
    </w:p>
    <w:p>
      <w:pPr>
        <w:pStyle w:val="ListParagraph"/>
        <w:numPr>
          <w:ilvl w:val="0"/>
          <w:numId w:val="2"/>
        </w:numPr>
        <w:spacing w:after="40" w:before="40" w:line="264"/>
      </w:pPr>
      <w:r>
        <w:rPr>
          <w:color w:val="2B2B2B"/>
          <w:sz w:val="21"/>
          <w:szCs w:val="21"/>
        </w:rPr>
        <w:t xml:space="preserve">Hot precomputed indices (hotspot, gang, offender-risk, similarity, graph snapshot, embedding) → Catalyst Cache (hot) + Catalyst NoSQL (durable), each with a computed_at and snapshot_version field</w:t>
      </w:r>
    </w:p>
    <w:p>
      <w:r>
        <w:br w:type="page"/>
      </w:r>
    </w:p>
    <w:p>
      <w:pPr>
        <w:pStyle w:val="Heading1"/>
        <w:pBdr>
          <w:bottom w:val="single" w:color="D4A017" w:sz="8" w:space="4"/>
        </w:pBdr>
        <w:spacing w:after="200" w:before="400"/>
      </w:pPr>
      <w:r>
        <w:rPr>
          <w:b/>
          <w:bCs/>
          <w:color w:val="0B1E3F"/>
          <w:sz w:val="30"/>
          <w:szCs w:val="30"/>
        </w:rPr>
        <w:t xml:space="preserve">6. Non-Catalyst Dependencies (Explicitly Called Out)</w:t>
      </w:r>
    </w:p>
    <w:p>
      <w:pPr>
        <w:spacing w:after="160" w:before="80" w:line="276"/>
        <w:jc w:val="both"/>
      </w:pPr>
      <w:r>
        <w:rPr>
          <w:b w:val="false"/>
          <w:bCs w:val="false"/>
          <w:i w:val="false"/>
          <w:iCs w:val="false"/>
          <w:color w:val="2B2B2B"/>
          <w:sz w:val="21"/>
          <w:szCs w:val="21"/>
        </w:rPr>
        <w:t xml:space="preserve">Every phase document must be able to say precisely what is Catalyst-native and what is not — nothing is described as "Catalyst" that is actually an external wrapper. The following are the only capabilities in this build that fall outside Catalyst's native service catalogue, each with the reason and the specific, minimal external component used in its place. No functional requirement in the PRD is dropped or degraded because of a Catalyst gap.</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2350"/>
        <w:gridCol w:w="3400"/>
        <w:gridCol w:w="3600"/>
      </w:tblGrid>
      <w:tr>
        <w:trPr>
          <w:tblHeader/>
        </w:trPr>
        <w:tc>
          <w:tcPr>
            <w:tcW w:type="dxa" w:w="2350"/>
            <w:shd w:fill="0B1E3F" w:color="auto" w:val="clear"/>
            <w:tcMar>
              <w:top w:type="dxa" w:w="60"/>
              <w:left w:type="dxa" w:w="100"/>
              <w:bottom w:type="dxa" w:w="60"/>
              <w:right w:type="dxa" w:w="100"/>
            </w:tcMar>
          </w:tcPr>
          <w:p>
            <w:pPr>
              <w:spacing w:after="40" w:before="40" w:line="252"/>
            </w:pPr>
            <w:r>
              <w:rPr>
                <w:b/>
                <w:bCs/>
                <w:color w:val="FFFFFF"/>
                <w:sz w:val="19"/>
                <w:szCs w:val="19"/>
              </w:rPr>
              <w:t xml:space="preserve">Capability Needed</w:t>
            </w:r>
          </w:p>
        </w:tc>
        <w:tc>
          <w:tcPr>
            <w:tcW w:type="dxa" w:w="3400"/>
            <w:shd w:fill="0B1E3F" w:color="auto" w:val="clear"/>
            <w:tcMar>
              <w:top w:type="dxa" w:w="60"/>
              <w:left w:type="dxa" w:w="100"/>
              <w:bottom w:type="dxa" w:w="60"/>
              <w:right w:type="dxa" w:w="100"/>
            </w:tcMar>
          </w:tcPr>
          <w:p>
            <w:pPr>
              <w:spacing w:after="40" w:before="40" w:line="252"/>
            </w:pPr>
            <w:r>
              <w:rPr>
                <w:b/>
                <w:bCs/>
                <w:color w:val="FFFFFF"/>
                <w:sz w:val="19"/>
                <w:szCs w:val="19"/>
              </w:rPr>
              <w:t xml:space="preserve">Why Catalyst Doesn't Cover It</w:t>
            </w:r>
          </w:p>
        </w:tc>
        <w:tc>
          <w:tcPr>
            <w:tcW w:type="dxa" w:w="3600"/>
            <w:shd w:fill="0B1E3F" w:color="auto" w:val="clear"/>
            <w:tcMar>
              <w:top w:type="dxa" w:w="60"/>
              <w:left w:type="dxa" w:w="100"/>
              <w:bottom w:type="dxa" w:w="60"/>
              <w:right w:type="dxa" w:w="100"/>
            </w:tcMar>
          </w:tcPr>
          <w:p>
            <w:pPr>
              <w:spacing w:after="40" w:before="40" w:line="252"/>
            </w:pPr>
            <w:r>
              <w:rPr>
                <w:b/>
                <w:bCs/>
                <w:color w:val="FFFFFF"/>
                <w:sz w:val="19"/>
                <w:szCs w:val="19"/>
              </w:rPr>
              <w:t xml:space="preserve">What Is Used Instead</w:t>
            </w:r>
          </w:p>
        </w:tc>
      </w:tr>
      <w:tr>
        <w:tc>
          <w:tcPr>
            <w:tcW w:type="dxa" w:w="2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Map tile rendering for the geospatial layer</w:t>
            </w:r>
          </w:p>
        </w:tc>
        <w:tc>
          <w:tcPr>
            <w:tcW w:type="dxa" w:w="3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does not natively provide map tiles.</w:t>
            </w:r>
          </w:p>
        </w:tc>
        <w:tc>
          <w:tcPr>
            <w:tcW w:type="dxa" w:w="36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A standard external map-tile provider (e.g. Mapbox/OpenStreetMap-compatible), integrated via a Catalyst Connection so the OAuth/API key is centrally managed and least-privilege, never embedded client-side.</w:t>
            </w:r>
          </w:p>
        </w:tc>
      </w:tr>
      <w:tr>
        <w:tc>
          <w:tcPr>
            <w:tcW w:type="dxa" w:w="2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Kannada speech-to-text / text-to-speech, if Zia Services' native coverage is insufficient</w:t>
            </w:r>
          </w:p>
        </w:tc>
        <w:tc>
          <w:tcPr>
            <w:tcW w:type="dxa" w:w="3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Zia Services (item 15) is the primary voice engine; this is a documented fallback only if Kannada accuracy falls short in testing.</w:t>
            </w:r>
          </w:p>
        </w:tc>
        <w:tc>
          <w:tcPr>
            <w:tcW w:type="dxa" w:w="36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A supplementary Kannada ASR/TTS service, integrated via a Catalyst Connection, invoked only for the Kannada voice path — English and Kannada-text-only paths remain fully on Zia Services.</w:t>
            </w:r>
          </w:p>
        </w:tc>
      </w:tr>
      <w:tr>
        <w:tc>
          <w:tcPr>
            <w:tcW w:type="dxa" w:w="2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Kannada NLU / entity-extraction tokenization, if QuickML's native language coverage is insufficient</w:t>
            </w:r>
          </w:p>
        </w:tc>
        <w:tc>
          <w:tcPr>
            <w:tcW w:type="dxa" w:w="3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Documented fallback only, evaluated during Phase 11 build.</w:t>
            </w:r>
          </w:p>
        </w:tc>
        <w:tc>
          <w:tcPr>
            <w:tcW w:type="dxa" w:w="36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A supplementary Kannada NLU service behind the same retrieval interface, so the rest of the pipeline is language-agnostic to the swap.</w:t>
            </w:r>
          </w:p>
        </w:tc>
      </w:tr>
      <w:tr>
        <w:tc>
          <w:tcPr>
            <w:tcW w:type="dxa" w:w="23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Client-side graph and chart rendering (React Flow, D3.js)</w:t>
            </w:r>
          </w:p>
        </w:tc>
        <w:tc>
          <w:tcPr>
            <w:tcW w:type="dxa" w:w="3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These are frontend rendering libraries, not backend services — Catalyst has no equivalent and none is needed; they render data Catalyst-side services already computed.</w:t>
            </w:r>
          </w:p>
        </w:tc>
        <w:tc>
          <w:tcPr>
            <w:tcW w:type="dxa" w:w="36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Used purely as presentation libraries inside the Next.js frontend hosted on Catalyst AppSail; never described as "Catalyst" in the service inventory or the pitch.</w:t>
            </w:r>
          </w:p>
        </w:tc>
      </w:tr>
      <w:tr>
        <w:tc>
          <w:tcPr>
            <w:tcW w:type="dxa" w:w="23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GNN training framework for community-evolution / influence-propagation (Phase 18 upgrade)</w:t>
            </w:r>
          </w:p>
        </w:tc>
        <w:tc>
          <w:tcPr>
            <w:tcW w:type="dxa" w:w="3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Zia AutoML covers tabular model training; graph-neural-network training is a specialised workload outside that scope.</w:t>
            </w:r>
          </w:p>
        </w:tc>
        <w:tc>
          <w:tcPr>
            <w:tcW w:type="dxa" w:w="36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A standard GNN framework run as a batch job, packaged into a Docker image and deployed via Catalyst AppSail's custom OCI runtime so it stays inside the Catalyst deployment surface even though the training library itself is external.</w:t>
            </w:r>
          </w:p>
        </w:tc>
      </w:tr>
    </w:tbl>
    <w:p>
      <w:r>
        <w:br w:type="page"/>
      </w:r>
    </w:p>
    <w:p>
      <w:pPr>
        <w:pStyle w:val="Heading1"/>
        <w:pBdr>
          <w:bottom w:val="single" w:color="D4A017" w:sz="8" w:space="4"/>
        </w:pBdr>
        <w:spacing w:after="200" w:before="400"/>
      </w:pPr>
      <w:r>
        <w:rPr>
          <w:b/>
          <w:bCs/>
          <w:color w:val="0B1E3F"/>
          <w:sz w:val="30"/>
          <w:szCs w:val="30"/>
        </w:rPr>
        <w:t xml:space="preserve">7. Core Subsystem Design</w:t>
      </w:r>
    </w:p>
    <w:p>
      <w:pPr>
        <w:pStyle w:val="Heading2"/>
        <w:spacing w:after="140" w:before="300"/>
      </w:pPr>
      <w:r>
        <w:rPr>
          <w:b/>
          <w:bCs/>
          <w:color w:val="0B1E3F"/>
          <w:sz w:val="25"/>
          <w:szCs w:val="25"/>
        </w:rPr>
        <w:t xml:space="preserve">7.1 Crime Intelligence Layer (Standing Computation)</w:t>
      </w:r>
    </w:p>
    <w:p>
      <w:pPr>
        <w:spacing w:after="160" w:before="80" w:line="276"/>
        <w:jc w:val="both"/>
      </w:pPr>
      <w:r>
        <w:rPr>
          <w:b w:val="false"/>
          <w:bCs w:val="false"/>
          <w:i w:val="false"/>
          <w:iCs w:val="false"/>
          <w:color w:val="2B2B2B"/>
          <w:sz w:val="21"/>
          <w:szCs w:val="21"/>
        </w:rPr>
        <w:t xml:space="preserve">A dedicated Catalyst Functions group, intelligence-layer/, runs as a long-lived, cache-backed service rather than a request/response handler. It maintains six indices — hotspot, gang-score, offender-score, similarity, embedding, and graph — each stored in Catalyst Cache (hot) and Catalyst NoSQL (durable) with computed_at and snapshot_version fields. Chat, Dashboard, and Agents only read from this layer; none of them trigger a full recomputation inline.</w:t>
      </w:r>
    </w:p>
    <w:p>
      <w:pPr>
        <w:pStyle w:val="Heading2"/>
        <w:spacing w:after="140" w:before="300"/>
      </w:pPr>
      <w:r>
        <w:rPr>
          <w:b/>
          <w:bCs/>
          <w:color w:val="0B1E3F"/>
          <w:sz w:val="25"/>
          <w:szCs w:val="25"/>
        </w:rPr>
        <w:t xml:space="preserve">7.2 Hybrid Retrieval Architecture</w:t>
      </w:r>
    </w:p>
    <w:p>
      <w:pPr>
        <w:spacing w:after="160" w:before="80" w:line="276"/>
        <w:jc w:val="both"/>
      </w:pPr>
      <w:r>
        <w:rPr>
          <w:b w:val="false"/>
          <w:bCs w:val="false"/>
          <w:i w:val="false"/>
          <w:iCs w:val="false"/>
          <w:color w:val="2B2B2B"/>
          <w:sz w:val="21"/>
          <w:szCs w:val="21"/>
        </w:rPr>
        <w:t xml:space="preserve">A Retrieval Orchestrator runs SQL (Catalyst Data Store, including full-text search), Graph, Vector (Catalyst QuickML embeddings), OCR (Zia Services output indexed in Data Store full-text search), and Analytics retrievers in parallel via Catalyst Circuits, merging results into a single deduplicated evidence set tagged by source retriever for citation and versioning. A retriever timeout degrades gracefully — for example, proceeding with SQL + Vector if Graph is slow — rather than blocking the whole response.</w:t>
      </w:r>
    </w:p>
    <w:p>
      <w:pPr>
        <w:pStyle w:val="Heading2"/>
        <w:spacing w:after="140" w:before="300"/>
      </w:pPr>
      <w:r>
        <w:rPr>
          <w:b/>
          <w:bCs/>
          <w:color w:val="0B1E3F"/>
          <w:sz w:val="25"/>
          <w:szCs w:val="25"/>
        </w:rPr>
        <w:t xml:space="preserve">7.3 Entity Resolution Engine</w:t>
      </w:r>
    </w:p>
    <w:p>
      <w:pPr>
        <w:spacing w:after="160" w:before="80" w:line="276"/>
        <w:jc w:val="both"/>
      </w:pPr>
      <w:r>
        <w:rPr>
          <w:b w:val="false"/>
          <w:bCs w:val="false"/>
          <w:i w:val="false"/>
          <w:iCs w:val="false"/>
          <w:color w:val="2B2B2B"/>
          <w:sz w:val="21"/>
          <w:szCs w:val="21"/>
        </w:rPr>
        <w:t xml:space="preserve">Canonical person records are built by merging aliases, duplicate names, and shared vehicle/phone identifiers, backed by a review queue in Catalyst Data Store for merge decisions that fall below a confidence threshold — these are surfaced to a Supervisor rather than auto-merged silently.</w:t>
      </w:r>
    </w:p>
    <w:p>
      <w:pPr>
        <w:pStyle w:val="Heading2"/>
        <w:spacing w:after="140" w:before="300"/>
      </w:pPr>
      <w:r>
        <w:rPr>
          <w:b/>
          <w:bCs/>
          <w:color w:val="0B1E3F"/>
          <w:sz w:val="25"/>
          <w:szCs w:val="25"/>
        </w:rPr>
        <w:t xml:space="preserve">7.4 GraphRAG Pipeline</w:t>
      </w:r>
    </w:p>
    <w:p>
      <w:pPr>
        <w:spacing w:after="160" w:before="80" w:line="276"/>
        <w:jc w:val="both"/>
      </w:pPr>
      <w:r>
        <w:rPr>
          <w:b w:val="false"/>
          <w:bCs w:val="false"/>
          <w:i w:val="false"/>
          <w:iCs w:val="false"/>
          <w:color w:val="2B2B2B"/>
          <w:sz w:val="21"/>
          <w:szCs w:val="21"/>
        </w:rPr>
        <w:t xml:space="preserve">Vector search (QuickML embeddings) locates semantically similar narratives, expands through the precomputed graph index for relationship context, re-ranks the combined set through Evidence Ranking (7.6), and only then passes the masked, ranked evidence to the LLM (QuickML LLM Serving) for synthesis.</w:t>
      </w:r>
    </w:p>
    <w:p>
      <w:pPr>
        <w:pStyle w:val="Heading2"/>
        <w:spacing w:after="140" w:before="300"/>
      </w:pPr>
      <w:r>
        <w:rPr>
          <w:b/>
          <w:bCs/>
          <w:color w:val="0B1E3F"/>
          <w:sz w:val="25"/>
          <w:szCs w:val="25"/>
        </w:rPr>
        <w:t xml:space="preserve">7.5 Multi-Agent Architecture</w:t>
      </w:r>
    </w:p>
    <w:p>
      <w:pPr>
        <w:spacing w:after="160" w:before="80" w:line="276"/>
        <w:jc w:val="both"/>
      </w:pPr>
      <w:r>
        <w:rPr>
          <w:b w:val="false"/>
          <w:bCs w:val="false"/>
          <w:i w:val="false"/>
          <w:iCs w:val="false"/>
          <w:color w:val="2B2B2B"/>
          <w:sz w:val="21"/>
          <w:szCs w:val="21"/>
        </w:rPr>
        <w:t xml:space="preserve">A Catalyst Circuit orchestrates SQL, OCR, Analytics, Graph, and Forecast agents in parallel, feeding a Summarizer agent that drafts a cited narrative, followed by a Verifier agent that checks every claim against the evidence set and flags anything unsupported for the human feedback loop (7.9) instead of surfacing it as fact.</w:t>
      </w:r>
    </w:p>
    <w:p>
      <w:pPr>
        <w:pStyle w:val="Heading2"/>
        <w:spacing w:after="140" w:before="300"/>
      </w:pPr>
      <w:r>
        <w:rPr>
          <w:b/>
          <w:bCs/>
          <w:color w:val="0B1E3F"/>
          <w:sz w:val="25"/>
          <w:szCs w:val="25"/>
        </w:rPr>
        <w:t xml:space="preserve">7.6 Evidence Ranking</w:t>
      </w:r>
    </w:p>
    <w:p>
      <w:pPr>
        <w:spacing w:after="160" w:before="80" w:line="276"/>
        <w:jc w:val="both"/>
      </w:pPr>
      <w:r>
        <w:rPr>
          <w:b w:val="false"/>
          <w:bCs w:val="false"/>
          <w:i w:val="false"/>
          <w:iCs w:val="false"/>
          <w:color w:val="2B2B2B"/>
          <w:sz w:val="21"/>
          <w:szCs w:val="21"/>
        </w:rPr>
        <w:t xml:space="preserve">Every evidence item is scored on recency, textual/semantic relevance, source confidence, and graph proximity to the query's subject entity before it reaches an agent — so the LLM is always working from a ranked, not merely concatenated, evidence set.</w:t>
      </w:r>
    </w:p>
    <w:p>
      <w:pPr>
        <w:pStyle w:val="Heading2"/>
        <w:spacing w:after="140" w:before="300"/>
      </w:pPr>
      <w:r>
        <w:rPr>
          <w:b/>
          <w:bCs/>
          <w:color w:val="0B1E3F"/>
          <w:sz w:val="25"/>
          <w:szCs w:val="25"/>
        </w:rPr>
        <w:t xml:space="preserve">7.7 Semantic Memory</w:t>
      </w:r>
    </w:p>
    <w:p>
      <w:pPr>
        <w:spacing w:after="160" w:before="80" w:line="276"/>
        <w:jc w:val="both"/>
      </w:pPr>
      <w:r>
        <w:rPr>
          <w:b w:val="false"/>
          <w:bCs w:val="false"/>
          <w:i w:val="false"/>
          <w:iCs w:val="false"/>
          <w:color w:val="2B2B2B"/>
          <w:sz w:val="21"/>
          <w:szCs w:val="21"/>
        </w:rPr>
        <w:t xml:space="preserve">Structured conversational context (district, crime type, timeframe, active entity focus) is persisted per session in Catalyst NoSQL, so a follow-up question like "show only repeat offenders" correctly narrows the prior result set without the investigator repeating context.</w:t>
      </w:r>
    </w:p>
    <w:p>
      <w:pPr>
        <w:pStyle w:val="Heading2"/>
        <w:spacing w:after="140" w:before="300"/>
      </w:pPr>
      <w:r>
        <w:rPr>
          <w:b/>
          <w:bCs/>
          <w:color w:val="0B1E3F"/>
          <w:sz w:val="25"/>
          <w:szCs w:val="25"/>
        </w:rPr>
        <w:t xml:space="preserve">7.8 Precomputation Engine</w:t>
      </w:r>
    </w:p>
    <w:p>
      <w:pPr>
        <w:spacing w:after="160" w:before="80" w:line="276"/>
        <w:jc w:val="both"/>
      </w:pPr>
      <w:r>
        <w:rPr>
          <w:b w:val="false"/>
          <w:bCs w:val="false"/>
          <w:i w:val="false"/>
          <w:iCs w:val="false"/>
          <w:color w:val="2B2B2B"/>
          <w:sz w:val="21"/>
          <w:szCs w:val="21"/>
        </w:rPr>
        <w:t xml:space="preserve">Catalyst Cron drives nightly full refreshes and Catalyst Signals drives event-driven incremental refreshes (e.g., on new FIR insert) of every index in 7.1, so query-time computation is always a cache read, never a cold start.</w:t>
      </w:r>
    </w:p>
    <w:p>
      <w:pPr>
        <w:pStyle w:val="Heading2"/>
        <w:spacing w:after="140" w:before="300"/>
      </w:pPr>
      <w:r>
        <w:rPr>
          <w:b/>
          <w:bCs/>
          <w:color w:val="0B1E3F"/>
          <w:sz w:val="25"/>
          <w:szCs w:val="25"/>
        </w:rPr>
        <w:t xml:space="preserve">7.9 Continuous Learning &amp; Human Feedback Loop</w:t>
      </w:r>
    </w:p>
    <w:p>
      <w:pPr>
        <w:spacing w:after="160" w:before="80" w:line="276"/>
        <w:jc w:val="both"/>
      </w:pPr>
      <w:r>
        <w:rPr>
          <w:b w:val="false"/>
          <w:bCs w:val="false"/>
          <w:i w:val="false"/>
          <w:iCs w:val="false"/>
          <w:color w:val="2B2B2B"/>
          <w:sz w:val="21"/>
          <w:szCs w:val="21"/>
        </w:rPr>
        <w:t xml:space="preserve">Wrong / correct / needs-review flags captured from the UI, plus every Verifier-flagged answer, route into a Supervisor review queue (Catalyst Circuits approval workflow, Catalyst Mail notification). Approved corrections feed prompt and re-ranker improvements — this is explicitly a feedback loop for prompts and ranking weights, not a claim of live model retraining.</w:t>
      </w:r>
    </w:p>
    <w:p>
      <w:r>
        <w:br w:type="page"/>
      </w:r>
    </w:p>
    <w:p>
      <w:pPr>
        <w:pStyle w:val="Heading1"/>
        <w:pBdr>
          <w:bottom w:val="single" w:color="D4A017" w:sz="8" w:space="4"/>
        </w:pBdr>
        <w:spacing w:after="200" w:before="400"/>
      </w:pPr>
      <w:r>
        <w:rPr>
          <w:b/>
          <w:bCs/>
          <w:color w:val="0B1E3F"/>
          <w:sz w:val="30"/>
          <w:szCs w:val="30"/>
        </w:rPr>
        <w:t xml:space="preserve">8. Security Architecture</w:t>
      </w:r>
    </w:p>
    <w:p>
      <w:pPr>
        <w:pStyle w:val="Heading2"/>
        <w:spacing w:after="140" w:before="300"/>
      </w:pPr>
      <w:r>
        <w:rPr>
          <w:b/>
          <w:bCs/>
          <w:color w:val="0B1E3F"/>
          <w:sz w:val="25"/>
          <w:szCs w:val="25"/>
        </w:rPr>
        <w:t xml:space="preserve">8.1 RBAC &amp; Query-Level Governance (Security Beyond RBAC)</w:t>
      </w:r>
    </w:p>
    <w:p>
      <w:pPr>
        <w:pStyle w:val="ListParagraph"/>
        <w:numPr>
          <w:ilvl w:val="0"/>
          <w:numId w:val="2"/>
        </w:numPr>
        <w:spacing w:after="40" w:before="40" w:line="264"/>
      </w:pPr>
      <w:r>
        <w:rPr>
          <w:color w:val="2B2B2B"/>
          <w:sz w:val="21"/>
          <w:szCs w:val="21"/>
        </w:rPr>
        <w:t xml:space="preserve">Field masking: Restricted/Highly Restricted fields are masked by default; an explicit, audited reveal action is required to view them</w:t>
      </w:r>
    </w:p>
    <w:p>
      <w:pPr>
        <w:pStyle w:val="ListParagraph"/>
        <w:numPr>
          <w:ilvl w:val="0"/>
          <w:numId w:val="2"/>
        </w:numPr>
        <w:spacing w:after="40" w:before="40" w:line="264"/>
      </w:pPr>
      <w:r>
        <w:rPr>
          <w:color w:val="2B2B2B"/>
          <w:sz w:val="21"/>
          <w:szCs w:val="21"/>
        </w:rPr>
        <w:t xml:space="preserve">Row-level permissions: enforced at the Catalyst Data Store query layer, verified so a crafted query cannot bypass a role's district/case scope</w:t>
      </w:r>
    </w:p>
    <w:p>
      <w:pPr>
        <w:pStyle w:val="ListParagraph"/>
        <w:numPr>
          <w:ilvl w:val="0"/>
          <w:numId w:val="2"/>
        </w:numPr>
        <w:spacing w:after="40" w:before="40" w:line="264"/>
      </w:pPr>
      <w:r>
        <w:rPr>
          <w:color w:val="2B2B2B"/>
          <w:sz w:val="21"/>
          <w:szCs w:val="21"/>
        </w:rPr>
        <w:t xml:space="preserve">Query auditing: every retrieval — not only UI navigation — is logged with who, what, when, and which rows were returned</w:t>
      </w:r>
    </w:p>
    <w:p>
      <w:pPr>
        <w:pStyle w:val="ListParagraph"/>
        <w:numPr>
          <w:ilvl w:val="0"/>
          <w:numId w:val="2"/>
        </w:numPr>
        <w:spacing w:after="40" w:before="40" w:line="264"/>
      </w:pPr>
      <w:r>
        <w:rPr>
          <w:color w:val="2B2B2B"/>
          <w:sz w:val="21"/>
          <w:szCs w:val="21"/>
        </w:rPr>
        <w:t xml:space="preserve">Anomaly detection for misuse: unusual access-volume patterns are flagged for Administrator review</w:t>
      </w:r>
    </w:p>
    <w:p>
      <w:pPr>
        <w:pStyle w:val="ListParagraph"/>
        <w:numPr>
          <w:ilvl w:val="0"/>
          <w:numId w:val="2"/>
        </w:numPr>
        <w:spacing w:after="40" w:before="40" w:line="264"/>
      </w:pPr>
      <w:r>
        <w:rPr>
          <w:color w:val="2B2B2B"/>
          <w:sz w:val="21"/>
          <w:szCs w:val="21"/>
        </w:rPr>
        <w:t xml:space="preserve">Sensitive-entity redaction: configurable, override-only redaction for categories such as juvenile victims, applied regardless of role unless explicitly and auditably overridden</w:t>
      </w:r>
    </w:p>
    <w:p>
      <w:pPr>
        <w:pStyle w:val="Heading2"/>
        <w:spacing w:after="140" w:before="300"/>
      </w:pPr>
      <w:r>
        <w:rPr>
          <w:b/>
          <w:bCs/>
          <w:color w:val="0B1E3F"/>
          <w:sz w:val="25"/>
          <w:szCs w:val="25"/>
        </w:rPr>
        <w:t xml:space="preserve">8.2 Data &amp; Application Security</w:t>
      </w:r>
    </w:p>
    <w:p>
      <w:pPr>
        <w:pStyle w:val="Heading3"/>
        <w:spacing w:after="100" w:before="220"/>
      </w:pPr>
      <w:r>
        <w:rPr>
          <w:b/>
          <w:bCs/>
          <w:color w:val="081530"/>
          <w:sz w:val="22"/>
          <w:szCs w:val="22"/>
        </w:rPr>
        <w:t xml:space="preserve">8.2.1 Data Security</w:t>
      </w:r>
    </w:p>
    <w:p>
      <w:pPr>
        <w:pStyle w:val="ListParagraph"/>
        <w:numPr>
          <w:ilvl w:val="0"/>
          <w:numId w:val="2"/>
        </w:numPr>
        <w:spacing w:after="40" w:before="40" w:line="264"/>
      </w:pPr>
      <w:r>
        <w:rPr>
          <w:color w:val="2B2B2B"/>
          <w:sz w:val="21"/>
          <w:szCs w:val="21"/>
        </w:rPr>
        <w:t xml:space="preserve">Encryption at rest and in transit across Data Store, NoSQL, and Stratus; TLS enforced on every internal hop, not just the public API Gateway edge</w:t>
      </w:r>
    </w:p>
    <w:p>
      <w:pPr>
        <w:pStyle w:val="ListParagraph"/>
        <w:numPr>
          <w:ilvl w:val="0"/>
          <w:numId w:val="2"/>
        </w:numPr>
        <w:spacing w:after="40" w:before="40" w:line="264"/>
      </w:pPr>
      <w:r>
        <w:rPr>
          <w:color w:val="2B2B2B"/>
          <w:sz w:val="21"/>
          <w:szCs w:val="21"/>
        </w:rPr>
        <w:t xml:space="preserve">Field-level encryption for Highly Restricted columns, independent of and stacked on top of RBAC masking — an authorized reveal still triggers a separately audited decryption step</w:t>
      </w:r>
    </w:p>
    <w:p>
      <w:pPr>
        <w:pStyle w:val="ListParagraph"/>
        <w:numPr>
          <w:ilvl w:val="0"/>
          <w:numId w:val="2"/>
        </w:numPr>
        <w:spacing w:after="40" w:before="40" w:line="264"/>
      </w:pPr>
      <w:r>
        <w:rPr>
          <w:color w:val="2B2B2B"/>
          <w:sz w:val="21"/>
          <w:szCs w:val="21"/>
        </w:rPr>
        <w:t xml:space="preserve">Retention &amp; purge policy for raw OCR scans, voice recordings, and chat transcripts via a scheduled Catalyst Cron job, not indefinite retention by default</w:t>
      </w:r>
    </w:p>
    <w:p>
      <w:pPr>
        <w:pStyle w:val="ListParagraph"/>
        <w:numPr>
          <w:ilvl w:val="0"/>
          <w:numId w:val="2"/>
        </w:numPr>
        <w:spacing w:after="40" w:before="40" w:line="264"/>
      </w:pPr>
      <w:r>
        <w:rPr>
          <w:color w:val="2B2B2B"/>
          <w:sz w:val="21"/>
          <w:szCs w:val="21"/>
        </w:rPr>
        <w:t xml:space="preserve">Backup &amp; disaster recovery with documented RPO/RTO targets and at least one tested restore drill</w:t>
      </w:r>
    </w:p>
    <w:p>
      <w:pPr>
        <w:pStyle w:val="ListParagraph"/>
        <w:numPr>
          <w:ilvl w:val="0"/>
          <w:numId w:val="2"/>
        </w:numPr>
        <w:spacing w:after="40" w:before="40" w:line="264"/>
      </w:pPr>
      <w:r>
        <w:rPr>
          <w:color w:val="2B2B2B"/>
          <w:sz w:val="21"/>
          <w:szCs w:val="21"/>
        </w:rPr>
        <w:t xml:space="preserve">Sensitivity tagging is a required step of adding any new field — classified before it is wired into any retriever, dashboard, or export</w:t>
      </w:r>
    </w:p>
    <w:p>
      <w:pPr>
        <w:pStyle w:val="Heading3"/>
        <w:spacing w:after="100" w:before="220"/>
      </w:pPr>
      <w:r>
        <w:rPr>
          <w:b/>
          <w:bCs/>
          <w:color w:val="081530"/>
          <w:sz w:val="22"/>
          <w:szCs w:val="22"/>
        </w:rPr>
        <w:t xml:space="preserve">8.2.2 Application Security</w:t>
      </w:r>
    </w:p>
    <w:p>
      <w:pPr>
        <w:pStyle w:val="ListParagraph"/>
        <w:numPr>
          <w:ilvl w:val="0"/>
          <w:numId w:val="2"/>
        </w:numPr>
        <w:spacing w:after="40" w:before="40" w:line="264"/>
      </w:pPr>
      <w:r>
        <w:rPr>
          <w:color w:val="2B2B2B"/>
          <w:sz w:val="21"/>
          <w:szCs w:val="21"/>
        </w:rPr>
        <w:t xml:space="preserve">Secure SDLC: dependency and secret scanning wired into Catalyst Pipelines, with a mandatory code-review gate before merge to a protected branch</w:t>
      </w:r>
    </w:p>
    <w:p>
      <w:pPr>
        <w:pStyle w:val="ListParagraph"/>
        <w:numPr>
          <w:ilvl w:val="0"/>
          <w:numId w:val="2"/>
        </w:numPr>
        <w:spacing w:after="40" w:before="40" w:line="264"/>
      </w:pPr>
      <w:r>
        <w:rPr>
          <w:color w:val="2B2B2B"/>
          <w:sz w:val="21"/>
          <w:szCs w:val="21"/>
        </w:rPr>
        <w:t xml:space="preserve">API Gateway hardening: rate limiting, request schema validation, and replay-attack protection enforced at the Catalyst API Gateway, before any Function is reached</w:t>
      </w:r>
    </w:p>
    <w:p>
      <w:pPr>
        <w:pStyle w:val="ListParagraph"/>
        <w:numPr>
          <w:ilvl w:val="0"/>
          <w:numId w:val="2"/>
        </w:numPr>
        <w:spacing w:after="40" w:before="40" w:line="264"/>
      </w:pPr>
      <w:r>
        <w:rPr>
          <w:color w:val="2B2B2B"/>
          <w:sz w:val="21"/>
          <w:szCs w:val="21"/>
        </w:rPr>
        <w:t xml:space="preserve">Authentication hardening: MFA for Investigator/Supervisor/Administrator roles, defined session-timeout policy, token rotation via Catalyst Authentication</w:t>
      </w:r>
    </w:p>
    <w:p>
      <w:pPr>
        <w:pStyle w:val="ListParagraph"/>
        <w:numPr>
          <w:ilvl w:val="0"/>
          <w:numId w:val="2"/>
        </w:numPr>
        <w:spacing w:after="40" w:before="40" w:line="264"/>
      </w:pPr>
      <w:r>
        <w:rPr>
          <w:color w:val="2B2B2B"/>
          <w:sz w:val="21"/>
          <w:szCs w:val="21"/>
        </w:rPr>
        <w:t xml:space="preserve">Least-privilege service identities: every Function and Circuit is granted only the specific Connections/permissions it needs — no shared credential across the backend</w:t>
      </w:r>
    </w:p>
    <w:p>
      <w:pPr>
        <w:pStyle w:val="ListParagraph"/>
        <w:numPr>
          <w:ilvl w:val="0"/>
          <w:numId w:val="2"/>
        </w:numPr>
        <w:spacing w:after="40" w:before="40" w:line="264"/>
      </w:pPr>
      <w:r>
        <w:rPr>
          <w:color w:val="2B2B2B"/>
          <w:sz w:val="21"/>
          <w:szCs w:val="21"/>
        </w:rPr>
        <w:t xml:space="preserve">Incident response plan: documented runbook wired to Observability (Section 9) and anomaly detection (8.1), rehearsed as a tabletop exercise</w:t>
      </w:r>
    </w:p>
    <w:p>
      <w:pPr>
        <w:pStyle w:val="ListParagraph"/>
        <w:numPr>
          <w:ilvl w:val="0"/>
          <w:numId w:val="2"/>
        </w:numPr>
        <w:spacing w:after="40" w:before="40" w:line="264"/>
      </w:pPr>
      <w:r>
        <w:rPr>
          <w:color w:val="2B2B2B"/>
          <w:sz w:val="21"/>
          <w:szCs w:val="21"/>
        </w:rPr>
        <w:t xml:space="preserve">LLM data-boundary statement: a written, verifiable statement of exactly what leaves the Catalyst environment on a QuickML call — evidence is always masked/redacted per 8.1 before it is included in a prompt, and no raw Highly Restricted field is ever sent to a model call</w:t>
      </w:r>
    </w:p>
    <w:p>
      <w:pPr>
        <w:pStyle w:val="Heading2"/>
        <w:spacing w:after="140" w:before="300"/>
      </w:pPr>
      <w:r>
        <w:rPr>
          <w:b/>
          <w:bCs/>
          <w:color w:val="0B1E3F"/>
          <w:sz w:val="25"/>
          <w:szCs w:val="25"/>
        </w:rPr>
        <w:t xml:space="preserve">8.3 Identity &amp; Access Summary</w:t>
      </w:r>
    </w:p>
    <w:p>
      <w:pPr>
        <w:spacing w:after="160" w:before="80" w:line="276"/>
        <w:jc w:val="both"/>
      </w:pPr>
      <w:r>
        <w:rPr>
          <w:b w:val="false"/>
          <w:bCs w:val="false"/>
          <w:i w:val="false"/>
          <w:iCs w:val="false"/>
          <w:color w:val="2B2B2B"/>
          <w:sz w:val="21"/>
          <w:szCs w:val="21"/>
        </w:rPr>
        <w:t xml:space="preserve">Catalyst Authentication is the single identity provider for all five roles (Constable, Investigator, Inspector, Supervisor, Administrator). MFA is enforced for the three roles with reveal or approval capability. Every Function and Circuit authenticates to its downstream Catalyst services with a scoped, least-privilege identity rather than a shared service account.</w:t>
      </w:r>
    </w:p>
    <w:p>
      <w:pPr>
        <w:pStyle w:val="Heading1"/>
        <w:pBdr>
          <w:bottom w:val="single" w:color="D4A017" w:sz="8" w:space="4"/>
        </w:pBdr>
        <w:spacing w:after="200" w:before="400"/>
      </w:pPr>
      <w:r>
        <w:rPr>
          <w:b/>
          <w:bCs/>
          <w:color w:val="0B1E3F"/>
          <w:sz w:val="30"/>
          <w:szCs w:val="30"/>
        </w:rPr>
        <w:t xml:space="preserve">9. Observability, Knowledge Versioning &amp; Cost Governance</w:t>
      </w:r>
    </w:p>
    <w:p>
      <w:pPr>
        <w:pStyle w:val="Heading2"/>
        <w:spacing w:after="140" w:before="300"/>
      </w:pPr>
      <w:r>
        <w:rPr>
          <w:b/>
          <w:bCs/>
          <w:color w:val="0B1E3F"/>
          <w:sz w:val="25"/>
          <w:szCs w:val="25"/>
        </w:rPr>
        <w:t xml:space="preserve">9.1 Observability</w:t>
      </w:r>
    </w:p>
    <w:p>
      <w:pPr>
        <w:spacing w:after="160" w:before="80" w:line="276"/>
        <w:jc w:val="both"/>
      </w:pPr>
      <w:r>
        <w:rPr>
          <w:b w:val="false"/>
          <w:bCs w:val="false"/>
          <w:i w:val="false"/>
          <w:iCs w:val="false"/>
          <w:color w:val="2B2B2B"/>
          <w:sz w:val="21"/>
          <w:szCs w:val="21"/>
        </w:rPr>
        <w:t xml:space="preserve">Tracks AI latency, OCR failure rate, cache hit ratio, and retrieval accuracy, feeding both the Administrator panel and the incident-response runbook (Section 8.2.2).</w:t>
      </w:r>
    </w:p>
    <w:p>
      <w:pPr>
        <w:pStyle w:val="Heading2"/>
        <w:spacing w:after="140" w:before="300"/>
      </w:pPr>
      <w:r>
        <w:rPr>
          <w:b/>
          <w:bCs/>
          <w:color w:val="0B1E3F"/>
          <w:sz w:val="25"/>
          <w:szCs w:val="25"/>
        </w:rPr>
        <w:t xml:space="preserve">9.2 Knowledge Versioning</w:t>
      </w:r>
    </w:p>
    <w:p>
      <w:pPr>
        <w:spacing w:after="160" w:before="80" w:line="276"/>
        <w:jc w:val="both"/>
      </w:pPr>
      <w:r>
        <w:rPr>
          <w:b w:val="false"/>
          <w:bCs w:val="false"/>
          <w:i w:val="false"/>
          <w:iCs w:val="false"/>
          <w:color w:val="2B2B2B"/>
          <w:sz w:val="21"/>
          <w:szCs w:val="21"/>
        </w:rPr>
        <w:t xml:space="preserve">Every AI answer is tied to a snapshot_version across the FIR data, OCR index, graph index, and embedding index used to produce it — so any answer can be reproduced or audited against exactly the evidence state that generated it, even after nightly reindexing.</w:t>
      </w:r>
    </w:p>
    <w:p>
      <w:pPr>
        <w:pStyle w:val="Heading2"/>
        <w:spacing w:after="140" w:before="300"/>
      </w:pPr>
      <w:r>
        <w:rPr>
          <w:b/>
          <w:bCs/>
          <w:color w:val="0B1E3F"/>
          <w:sz w:val="25"/>
          <w:szCs w:val="25"/>
        </w:rPr>
        <w:t xml:space="preserve">9.3 Cost &amp; Credit Awareness</w:t>
      </w:r>
    </w:p>
    <w:p>
      <w:pPr>
        <w:spacing w:after="160" w:before="80" w:line="276"/>
        <w:jc w:val="both"/>
      </w:pPr>
      <w:r>
        <w:rPr>
          <w:b w:val="false"/>
          <w:bCs w:val="false"/>
          <w:i w:val="false"/>
          <w:iCs w:val="false"/>
          <w:color w:val="2B2B2B"/>
          <w:sz w:val="21"/>
          <w:szCs w:val="21"/>
        </w:rPr>
        <w:t xml:space="preserve">Every Function/Circuit invocation, QuickML call, and Cron job consumes Catalyst credits, tracked from the first phase of the build rather than reconciled retroactively. This feeds the Administrator panel's cost-monitoring widget, and any phase whose design would blow the credit budget at scale (e.g., inline recomputation instead of the standing intelligence layer in Section 7.1) is flagged during design review, not after deployment.</w:t>
      </w:r>
    </w:p>
    <w:p>
      <w:r>
        <w:br w:type="page"/>
      </w:r>
    </w:p>
    <w:p>
      <w:pPr>
        <w:pStyle w:val="Heading1"/>
        <w:pBdr>
          <w:bottom w:val="single" w:color="D4A017" w:sz="8" w:space="4"/>
        </w:pBdr>
        <w:spacing w:after="200" w:before="400"/>
      </w:pPr>
      <w:r>
        <w:rPr>
          <w:b/>
          <w:bCs/>
          <w:color w:val="0B1E3F"/>
          <w:sz w:val="30"/>
          <w:szCs w:val="30"/>
        </w:rPr>
        <w:t xml:space="preserve">10. Deployment Architecture</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2650"/>
        <w:gridCol w:w="2900"/>
        <w:gridCol w:w="3800"/>
      </w:tblGrid>
      <w:tr>
        <w:trPr>
          <w:tblHeader/>
        </w:trPr>
        <w:tc>
          <w:tcPr>
            <w:tcW w:type="dxa" w:w="2650"/>
            <w:shd w:fill="0B1E3F" w:color="auto" w:val="clear"/>
            <w:tcMar>
              <w:top w:type="dxa" w:w="60"/>
              <w:left w:type="dxa" w:w="100"/>
              <w:bottom w:type="dxa" w:w="60"/>
              <w:right w:type="dxa" w:w="100"/>
            </w:tcMar>
          </w:tcPr>
          <w:p>
            <w:pPr>
              <w:spacing w:after="40" w:before="40" w:line="252"/>
            </w:pPr>
            <w:r>
              <w:rPr>
                <w:b/>
                <w:bCs/>
                <w:color w:val="FFFFFF"/>
                <w:sz w:val="19"/>
                <w:szCs w:val="19"/>
              </w:rPr>
              <w:t xml:space="preserve">Component</w:t>
            </w:r>
          </w:p>
        </w:tc>
        <w:tc>
          <w:tcPr>
            <w:tcW w:type="dxa" w:w="2900"/>
            <w:shd w:fill="0B1E3F" w:color="auto" w:val="clear"/>
            <w:tcMar>
              <w:top w:type="dxa" w:w="60"/>
              <w:left w:type="dxa" w:w="100"/>
              <w:bottom w:type="dxa" w:w="60"/>
              <w:right w:type="dxa" w:w="100"/>
            </w:tcMar>
          </w:tcPr>
          <w:p>
            <w:pPr>
              <w:spacing w:after="40" w:before="40" w:line="252"/>
            </w:pPr>
            <w:r>
              <w:rPr>
                <w:b/>
                <w:bCs/>
                <w:color w:val="FFFFFF"/>
                <w:sz w:val="19"/>
                <w:szCs w:val="19"/>
              </w:rPr>
              <w:t xml:space="preserve">Catalyst Service</w:t>
            </w:r>
          </w:p>
        </w:tc>
        <w:tc>
          <w:tcPr>
            <w:tcW w:type="dxa" w:w="3800"/>
            <w:shd w:fill="0B1E3F" w:color="auto" w:val="clear"/>
            <w:tcMar>
              <w:top w:type="dxa" w:w="60"/>
              <w:left w:type="dxa" w:w="100"/>
              <w:bottom w:type="dxa" w:w="60"/>
              <w:right w:type="dxa" w:w="100"/>
            </w:tcMar>
          </w:tcPr>
          <w:p>
            <w:pPr>
              <w:spacing w:after="40" w:before="40" w:line="252"/>
            </w:pPr>
            <w:r>
              <w:rPr>
                <w:b/>
                <w:bCs/>
                <w:color w:val="FFFFFF"/>
                <w:sz w:val="19"/>
                <w:szCs w:val="19"/>
              </w:rPr>
              <w:t xml:space="preserve">Notes</w:t>
            </w:r>
          </w:p>
        </w:tc>
      </w:tr>
      <w:tr>
        <w:tc>
          <w:tcPr>
            <w:tcW w:type="dxa" w:w="26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Frontend (Next.js SSR)</w:t>
            </w:r>
          </w:p>
        </w:tc>
        <w:tc>
          <w:tcPr>
            <w:tcW w:type="dxa" w:w="2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AppSail — managed runtime</w:t>
            </w:r>
          </w:p>
        </w:tc>
        <w:tc>
          <w:tcPr>
            <w:tcW w:type="dxa" w:w="38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Production hosting behind Domain Mappings + API Gateway</w:t>
            </w:r>
          </w:p>
        </w:tc>
      </w:tr>
      <w:tr>
        <w:tc>
          <w:tcPr>
            <w:tcW w:type="dxa" w:w="26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Static/admin shell</w:t>
            </w:r>
          </w:p>
        </w:tc>
        <w:tc>
          <w:tcPr>
            <w:tcW w:type="dxa" w:w="29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Slate / Web Client Hosting</w:t>
            </w:r>
          </w:p>
        </w:tc>
        <w:tc>
          <w:tcPr>
            <w:tcW w:type="dxa" w:w="38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Statically-exportable views</w:t>
            </w:r>
          </w:p>
        </w:tc>
      </w:tr>
      <w:tr>
        <w:tc>
          <w:tcPr>
            <w:tcW w:type="dxa" w:w="26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Backend business logic</w:t>
            </w:r>
          </w:p>
        </w:tc>
        <w:tc>
          <w:tcPr>
            <w:tcW w:type="dxa" w:w="2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Serverless Functions</w:t>
            </w:r>
          </w:p>
        </w:tc>
        <w:tc>
          <w:tcPr>
            <w:tcW w:type="dxa" w:w="38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One Function group per subsystem; least-privilege identity each</w:t>
            </w:r>
          </w:p>
        </w:tc>
      </w:tr>
      <w:tr>
        <w:tc>
          <w:tcPr>
            <w:tcW w:type="dxa" w:w="26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Containerised workloads (OCR runtime, GNN batch jobs)</w:t>
            </w:r>
          </w:p>
        </w:tc>
        <w:tc>
          <w:tcPr>
            <w:tcW w:type="dxa" w:w="29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AppSail — custom OCI runtime</w:t>
            </w:r>
          </w:p>
        </w:tc>
        <w:tc>
          <w:tcPr>
            <w:tcW w:type="dxa" w:w="38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Docker image deployment for workloads Functions can't host natively</w:t>
            </w:r>
          </w:p>
        </w:tc>
      </w:tr>
      <w:tr>
        <w:tc>
          <w:tcPr>
            <w:tcW w:type="dxa" w:w="26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CI/CD</w:t>
            </w:r>
          </w:p>
        </w:tc>
        <w:tc>
          <w:tcPr>
            <w:tcW w:type="dxa" w:w="29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Pipelines</w:t>
            </w:r>
          </w:p>
        </w:tc>
        <w:tc>
          <w:tcPr>
            <w:tcW w:type="dxa" w:w="38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Scan → test → review gate → deploy, on every merge to a protected branch</w:t>
            </w:r>
          </w:p>
        </w:tc>
      </w:tr>
      <w:tr>
        <w:tc>
          <w:tcPr>
            <w:tcW w:type="dxa" w:w="26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Domain &amp; SSL</w:t>
            </w:r>
          </w:p>
        </w:tc>
        <w:tc>
          <w:tcPr>
            <w:tcW w:type="dxa" w:w="29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Domain Mappings</w:t>
            </w:r>
          </w:p>
        </w:tc>
        <w:tc>
          <w:tcPr>
            <w:tcW w:type="dxa" w:w="38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Production KSP-branded domain, managed certificate</w:t>
            </w:r>
          </w:p>
        </w:tc>
      </w:tr>
    </w:tbl>
    <w:p>
      <w:pPr>
        <w:spacing w:after="200" w:before="0"/>
      </w:pPr>
    </w:p>
    <w:p>
      <w:pPr>
        <w:pStyle w:val="Heading2"/>
        <w:spacing w:after="140" w:before="300"/>
      </w:pPr>
      <w:r>
        <w:rPr>
          <w:b/>
          <w:bCs/>
          <w:color w:val="0B1E3F"/>
          <w:sz w:val="25"/>
          <w:szCs w:val="25"/>
        </w:rPr>
        <w:t xml:space="preserve">10.1 Environments</w:t>
      </w:r>
    </w:p>
    <w:p>
      <w:pPr>
        <w:pStyle w:val="ListParagraph"/>
        <w:numPr>
          <w:ilvl w:val="0"/>
          <w:numId w:val="2"/>
        </w:numPr>
        <w:spacing w:after="40" w:before="40" w:line="264"/>
      </w:pPr>
      <w:r>
        <w:rPr>
          <w:color w:val="2B2B2B"/>
          <w:sz w:val="21"/>
          <w:szCs w:val="21"/>
        </w:rPr>
        <w:t xml:space="preserve">Development — individual Catalyst project environment per engineer, synthetic dataset only</w:t>
      </w:r>
    </w:p>
    <w:p>
      <w:pPr>
        <w:pStyle w:val="ListParagraph"/>
        <w:numPr>
          <w:ilvl w:val="0"/>
          <w:numId w:val="2"/>
        </w:numPr>
        <w:spacing w:after="40" w:before="40" w:line="264"/>
      </w:pPr>
      <w:r>
        <w:rPr>
          <w:color w:val="2B2B2B"/>
          <w:sz w:val="21"/>
          <w:szCs w:val="21"/>
        </w:rPr>
        <w:t xml:space="preserve">Staging — shared Catalyst environment, full synthetic dataset (500+ persons, 200+ FIRs, 2,000+ edges), used for the rehearsed demo and integration testing</w:t>
      </w:r>
    </w:p>
    <w:p>
      <w:pPr>
        <w:pStyle w:val="ListParagraph"/>
        <w:numPr>
          <w:ilvl w:val="0"/>
          <w:numId w:val="2"/>
        </w:numPr>
        <w:spacing w:after="40" w:before="40" w:line="264"/>
      </w:pPr>
      <w:r>
        <w:rPr>
          <w:color w:val="2B2B2B"/>
          <w:sz w:val="21"/>
          <w:szCs w:val="21"/>
        </w:rPr>
        <w:t xml:space="preserve">Production / Pilot — KSP-branded domain, hardened per Section 8, real or KSP-approved data only after sign-off</w:t>
      </w:r>
    </w:p>
    <w:p>
      <w:pPr>
        <w:pStyle w:val="Heading1"/>
        <w:pBdr>
          <w:bottom w:val="single" w:color="D4A017" w:sz="8" w:space="4"/>
        </w:pBdr>
        <w:spacing w:after="200" w:before="400"/>
      </w:pPr>
      <w:r>
        <w:rPr>
          <w:b/>
          <w:bCs/>
          <w:color w:val="0B1E3F"/>
          <w:sz w:val="30"/>
          <w:szCs w:val="30"/>
        </w:rPr>
        <w:t xml:space="preserve">11. Performance &amp; Scalability Targets</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3200"/>
        <w:gridCol w:w="2100"/>
        <w:gridCol w:w="4050"/>
      </w:tblGrid>
      <w:tr>
        <w:trPr>
          <w:tblHeader/>
        </w:trPr>
        <w:tc>
          <w:tcPr>
            <w:tcW w:type="dxa" w:w="3200"/>
            <w:shd w:fill="0B1E3F" w:color="auto" w:val="clear"/>
            <w:tcMar>
              <w:top w:type="dxa" w:w="60"/>
              <w:left w:type="dxa" w:w="100"/>
              <w:bottom w:type="dxa" w:w="60"/>
              <w:right w:type="dxa" w:w="100"/>
            </w:tcMar>
          </w:tcPr>
          <w:p>
            <w:pPr>
              <w:spacing w:after="40" w:before="40" w:line="252"/>
            </w:pPr>
            <w:r>
              <w:rPr>
                <w:b/>
                <w:bCs/>
                <w:color w:val="FFFFFF"/>
                <w:sz w:val="19"/>
                <w:szCs w:val="19"/>
              </w:rPr>
              <w:t xml:space="preserve">Target</w:t>
            </w:r>
          </w:p>
        </w:tc>
        <w:tc>
          <w:tcPr>
            <w:tcW w:type="dxa" w:w="2100"/>
            <w:shd w:fill="0B1E3F" w:color="auto" w:val="clear"/>
            <w:tcMar>
              <w:top w:type="dxa" w:w="60"/>
              <w:left w:type="dxa" w:w="100"/>
              <w:bottom w:type="dxa" w:w="60"/>
              <w:right w:type="dxa" w:w="100"/>
            </w:tcMar>
          </w:tcPr>
          <w:p>
            <w:pPr>
              <w:spacing w:after="40" w:before="40" w:line="252"/>
            </w:pPr>
            <w:r>
              <w:rPr>
                <w:b/>
                <w:bCs/>
                <w:color w:val="FFFFFF"/>
                <w:sz w:val="19"/>
                <w:szCs w:val="19"/>
              </w:rPr>
              <w:t xml:space="preserve">Threshold</w:t>
            </w:r>
          </w:p>
        </w:tc>
        <w:tc>
          <w:tcPr>
            <w:tcW w:type="dxa" w:w="4050"/>
            <w:shd w:fill="0B1E3F" w:color="auto" w:val="clear"/>
            <w:tcMar>
              <w:top w:type="dxa" w:w="60"/>
              <w:left w:type="dxa" w:w="100"/>
              <w:bottom w:type="dxa" w:w="60"/>
              <w:right w:type="dxa" w:w="100"/>
            </w:tcMar>
          </w:tcPr>
          <w:p>
            <w:pPr>
              <w:spacing w:after="40" w:before="40" w:line="252"/>
            </w:pPr>
            <w:r>
              <w:rPr>
                <w:b/>
                <w:bCs/>
                <w:color w:val="FFFFFF"/>
                <w:sz w:val="19"/>
                <w:szCs w:val="19"/>
              </w:rPr>
              <w:t xml:space="preserve">Notes</w:t>
            </w:r>
          </w:p>
        </w:tc>
      </w:tr>
      <w:tr>
        <w:tc>
          <w:tcPr>
            <w:tcW w:type="dxa" w:w="32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Precomputed index read (Cache)</w:t>
            </w:r>
          </w:p>
        </w:tc>
        <w:tc>
          <w:tcPr>
            <w:tcW w:type="dxa" w:w="21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&lt;50ms</w:t>
            </w:r>
          </w:p>
        </w:tc>
        <w:tc>
          <w:tcPr>
            <w:tcW w:type="dxa" w:w="40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Hotspot/gang/offender score reads</w:t>
            </w:r>
          </w:p>
        </w:tc>
      </w:tr>
      <w:tr>
        <w:tc>
          <w:tcPr>
            <w:tcW w:type="dxa" w:w="32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Chat answer, cached retrieval path</w:t>
            </w:r>
          </w:p>
        </w:tc>
        <w:tc>
          <w:tcPr>
            <w:tcW w:type="dxa" w:w="21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&lt;3s p50 / &lt;6s p95</w:t>
            </w:r>
          </w:p>
        </w:tc>
        <w:tc>
          <w:tcPr>
            <w:tcW w:type="dxa" w:w="40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End-to-end, including masking + ranking</w:t>
            </w:r>
          </w:p>
        </w:tc>
      </w:tr>
      <w:tr>
        <w:tc>
          <w:tcPr>
            <w:tcW w:type="dxa" w:w="32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Dashboard cross-filter update</w:t>
            </w:r>
          </w:p>
        </w:tc>
        <w:tc>
          <w:tcPr>
            <w:tcW w:type="dxa" w:w="21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&lt;500ms</w:t>
            </w:r>
          </w:p>
        </w:tc>
        <w:tc>
          <w:tcPr>
            <w:tcW w:type="dxa" w:w="40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Chart-to-chart interaction on one view</w:t>
            </w:r>
          </w:p>
        </w:tc>
      </w:tr>
      <w:tr>
        <w:tc>
          <w:tcPr>
            <w:tcW w:type="dxa" w:w="32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Graph render, 500+ node dataset</w:t>
            </w:r>
          </w:p>
        </w:tc>
        <w:tc>
          <w:tcPr>
            <w:tcW w:type="dxa" w:w="21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No visible interaction lag</w:t>
            </w:r>
          </w:p>
        </w:tc>
        <w:tc>
          <w:tcPr>
            <w:tcW w:type="dxa" w:w="40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Synthetic demo-scale dataset</w:t>
            </w:r>
          </w:p>
        </w:tc>
      </w:tr>
      <w:tr>
        <w:tc>
          <w:tcPr>
            <w:tcW w:type="dxa" w:w="32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Nightly precomputation window</w:t>
            </w:r>
          </w:p>
        </w:tc>
        <w:tc>
          <w:tcPr>
            <w:tcW w:type="dxa" w:w="21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Completes before business-hours query load</w:t>
            </w:r>
          </w:p>
        </w:tc>
        <w:tc>
          <w:tcPr>
            <w:tcW w:type="dxa" w:w="40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Cron scheduled job</w:t>
            </w:r>
          </w:p>
        </w:tc>
      </w:tr>
      <w:tr>
        <w:tc>
          <w:tcPr>
            <w:tcW w:type="dxa" w:w="32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API Gateway rejection of malformed/replayed requests</w:t>
            </w:r>
          </w:p>
        </w:tc>
        <w:tc>
          <w:tcPr>
            <w:tcW w:type="dxa" w:w="21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Before reaching any Function</w:t>
            </w:r>
          </w:p>
        </w:tc>
        <w:tc>
          <w:tcPr>
            <w:tcW w:type="dxa" w:w="40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Verified in load/security testing</w:t>
            </w:r>
          </w:p>
        </w:tc>
      </w:tr>
    </w:tbl>
    <w:p>
      <w:r>
        <w:br w:type="page"/>
      </w:r>
    </w:p>
    <w:p>
      <w:pPr>
        <w:pStyle w:val="Heading1"/>
        <w:pBdr>
          <w:bottom w:val="single" w:color="D4A017" w:sz="8" w:space="4"/>
        </w:pBdr>
        <w:spacing w:after="200" w:before="400"/>
      </w:pPr>
      <w:r>
        <w:rPr>
          <w:b/>
          <w:bCs/>
          <w:color w:val="0B1E3F"/>
          <w:sz w:val="30"/>
          <w:szCs w:val="30"/>
        </w:rPr>
        <w:t xml:space="preserve">12. Representative API Surface</w:t>
      </w:r>
    </w:p>
    <w:p>
      <w:pPr>
        <w:spacing w:after="160" w:before="80" w:line="276"/>
        <w:jc w:val="both"/>
      </w:pPr>
      <w:r>
        <w:rPr>
          <w:b w:val="false"/>
          <w:bCs w:val="false"/>
          <w:i w:val="false"/>
          <w:iCs w:val="false"/>
          <w:color w:val="2B2B2B"/>
          <w:sz w:val="21"/>
          <w:szCs w:val="21"/>
        </w:rPr>
        <w:t xml:space="preserve">All endpoints sit behind Catalyst API Gateway (rate limiting, schema validation, replay protection) and Catalyst Authentication (RBAC + MFA where applicable). The list below is representative, not exhaustive; the full OpenAPI specification is maintained alongside the codebase per Phase 25's public API documentation deliverable.</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2650"/>
        <w:gridCol w:w="4400"/>
        <w:gridCol w:w="2300"/>
      </w:tblGrid>
      <w:tr>
        <w:trPr>
          <w:tblHeader/>
        </w:trPr>
        <w:tc>
          <w:tcPr>
            <w:tcW w:type="dxa" w:w="2650"/>
            <w:shd w:fill="0B1E3F" w:color="auto" w:val="clear"/>
            <w:tcMar>
              <w:top w:type="dxa" w:w="60"/>
              <w:left w:type="dxa" w:w="100"/>
              <w:bottom w:type="dxa" w:w="60"/>
              <w:right w:type="dxa" w:w="100"/>
            </w:tcMar>
          </w:tcPr>
          <w:p>
            <w:pPr>
              <w:spacing w:after="40" w:before="40" w:line="252"/>
            </w:pPr>
            <w:r>
              <w:rPr>
                <w:b/>
                <w:bCs/>
                <w:color w:val="FFFFFF"/>
                <w:sz w:val="19"/>
                <w:szCs w:val="19"/>
              </w:rPr>
              <w:t xml:space="preserve">Endpoint</w:t>
            </w:r>
          </w:p>
        </w:tc>
        <w:tc>
          <w:tcPr>
            <w:tcW w:type="dxa" w:w="4400"/>
            <w:shd w:fill="0B1E3F" w:color="auto" w:val="clear"/>
            <w:tcMar>
              <w:top w:type="dxa" w:w="60"/>
              <w:left w:type="dxa" w:w="100"/>
              <w:bottom w:type="dxa" w:w="60"/>
              <w:right w:type="dxa" w:w="100"/>
            </w:tcMar>
          </w:tcPr>
          <w:p>
            <w:pPr>
              <w:spacing w:after="40" w:before="40" w:line="252"/>
            </w:pPr>
            <w:r>
              <w:rPr>
                <w:b/>
                <w:bCs/>
                <w:color w:val="FFFFFF"/>
                <w:sz w:val="19"/>
                <w:szCs w:val="19"/>
              </w:rPr>
              <w:t xml:space="preserve">Purpose</w:t>
            </w:r>
          </w:p>
        </w:tc>
        <w:tc>
          <w:tcPr>
            <w:tcW w:type="dxa" w:w="2300"/>
            <w:shd w:fill="0B1E3F" w:color="auto" w:val="clear"/>
            <w:tcMar>
              <w:top w:type="dxa" w:w="60"/>
              <w:left w:type="dxa" w:w="100"/>
              <w:bottom w:type="dxa" w:w="60"/>
              <w:right w:type="dxa" w:w="100"/>
            </w:tcMar>
          </w:tcPr>
          <w:p>
            <w:pPr>
              <w:spacing w:after="40" w:before="40" w:line="252"/>
            </w:pPr>
            <w:r>
              <w:rPr>
                <w:b/>
                <w:bCs/>
                <w:color w:val="FFFFFF"/>
                <w:sz w:val="19"/>
                <w:szCs w:val="19"/>
              </w:rPr>
              <w:t xml:space="preserve">Minimum Role</w:t>
            </w:r>
          </w:p>
        </w:tc>
      </w:tr>
      <w:tr>
        <w:tc>
          <w:tcPr>
            <w:tcW w:type="dxa" w:w="26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POST /api/chat/query</w:t>
            </w:r>
          </w:p>
        </w:tc>
        <w:tc>
          <w:tcPr>
            <w:tcW w:type="dxa" w:w="4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Submit an investigator question; returns cited answer + reasoning block</w:t>
            </w:r>
          </w:p>
        </w:tc>
        <w:tc>
          <w:tcPr>
            <w:tcW w:type="dxa" w:w="2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Investigator+</w:t>
            </w:r>
          </w:p>
        </w:tc>
      </w:tr>
      <w:tr>
        <w:tc>
          <w:tcPr>
            <w:tcW w:type="dxa" w:w="26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GET /api/graph/network</w:t>
            </w:r>
          </w:p>
        </w:tc>
        <w:tc>
          <w:tcPr>
            <w:tcW w:type="dxa" w:w="4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Fetch network graph for a case/person/cluster</w:t>
            </w:r>
          </w:p>
        </w:tc>
        <w:tc>
          <w:tcPr>
            <w:tcW w:type="dxa" w:w="2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Investigator+</w:t>
            </w:r>
          </w:p>
        </w:tc>
      </w:tr>
      <w:tr>
        <w:tc>
          <w:tcPr>
            <w:tcW w:type="dxa" w:w="26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GET /api/dashboard/hotspots</w:t>
            </w:r>
          </w:p>
        </w:tc>
        <w:tc>
          <w:tcPr>
            <w:tcW w:type="dxa" w:w="4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Precomputed hotspot heatmap data</w:t>
            </w:r>
          </w:p>
        </w:tc>
        <w:tc>
          <w:tcPr>
            <w:tcW w:type="dxa" w:w="2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Investigator+</w:t>
            </w:r>
          </w:p>
        </w:tc>
      </w:tr>
      <w:tr>
        <w:tc>
          <w:tcPr>
            <w:tcW w:type="dxa" w:w="26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POST /api/reveal/request</w:t>
            </w:r>
          </w:p>
        </w:tc>
        <w:tc>
          <w:tcPr>
            <w:tcW w:type="dxa" w:w="4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Request masked-field reveal with justification</w:t>
            </w:r>
          </w:p>
        </w:tc>
        <w:tc>
          <w:tcPr>
            <w:tcW w:type="dxa" w:w="2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Investigator+, approval by Supervisor</w:t>
            </w:r>
          </w:p>
        </w:tc>
      </w:tr>
      <w:tr>
        <w:tc>
          <w:tcPr>
            <w:tcW w:type="dxa" w:w="26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GET /api/audit/log</w:t>
            </w:r>
          </w:p>
        </w:tc>
        <w:tc>
          <w:tcPr>
            <w:tcW w:type="dxa" w:w="4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Query the audit log</w:t>
            </w:r>
          </w:p>
        </w:tc>
        <w:tc>
          <w:tcPr>
            <w:tcW w:type="dxa" w:w="2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Supervisor (own district), Administrator (all)</w:t>
            </w:r>
          </w:p>
        </w:tc>
      </w:tr>
      <w:tr>
        <w:tc>
          <w:tcPr>
            <w:tcW w:type="dxa" w:w="26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POST /api/export/report</w:t>
            </w:r>
          </w:p>
        </w:tc>
        <w:tc>
          <w:tcPr>
            <w:tcW w:type="dxa" w:w="4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Generate a PDF report via SmartBrowz</w:t>
            </w:r>
          </w:p>
        </w:tc>
        <w:tc>
          <w:tcPr>
            <w:tcW w:type="dxa" w:w="2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Investigator+</w:t>
            </w:r>
          </w:p>
        </w:tc>
      </w:tr>
      <w:tr>
        <w:tc>
          <w:tcPr>
            <w:tcW w:type="dxa" w:w="265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GET /api/forecast/alerts</w:t>
            </w:r>
          </w:p>
        </w:tc>
        <w:tc>
          <w:tcPr>
            <w:tcW w:type="dxa" w:w="44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Active forecast/risk alerts</w:t>
            </w:r>
          </w:p>
        </w:tc>
        <w:tc>
          <w:tcPr>
            <w:tcW w:type="dxa" w:w="2300"/>
            <w:shd w:fill="FFFFFF" w:color="auto" w:val="clear"/>
            <w:tcMar>
              <w:top w:type="dxa" w:w="60"/>
              <w:left w:type="dxa" w:w="100"/>
              <w:bottom w:type="dxa" w:w="60"/>
              <w:right w:type="dxa" w:w="100"/>
            </w:tcMar>
          </w:tcPr>
          <w:p>
            <w:pPr>
              <w:spacing w:after="40" w:before="40" w:line="252"/>
            </w:pPr>
            <w:r>
              <w:rPr>
                <w:b w:val="false"/>
                <w:bCs w:val="false"/>
                <w:color w:val="2B2B2B"/>
                <w:sz w:val="19"/>
                <w:szCs w:val="19"/>
              </w:rPr>
              <w:t xml:space="preserve">Investigator+, approval action for Supervisor</w:t>
            </w:r>
          </w:p>
        </w:tc>
      </w:tr>
      <w:tr>
        <w:tc>
          <w:tcPr>
            <w:tcW w:type="dxa" w:w="265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GET /api/admin/cost</w:t>
            </w:r>
          </w:p>
        </w:tc>
        <w:tc>
          <w:tcPr>
            <w:tcW w:type="dxa" w:w="44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Catalyst credit/cost dashboard data</w:t>
            </w:r>
          </w:p>
        </w:tc>
        <w:tc>
          <w:tcPr>
            <w:tcW w:type="dxa" w:w="2300"/>
            <w:shd w:fill="F2F3F5" w:color="auto" w:val="clear"/>
            <w:tcMar>
              <w:top w:type="dxa" w:w="60"/>
              <w:left w:type="dxa" w:w="100"/>
              <w:bottom w:type="dxa" w:w="60"/>
              <w:right w:type="dxa" w:w="100"/>
            </w:tcMar>
          </w:tcPr>
          <w:p>
            <w:pPr>
              <w:spacing w:after="40" w:before="40" w:line="252"/>
            </w:pPr>
            <w:r>
              <w:rPr>
                <w:b w:val="false"/>
                <w:bCs w:val="false"/>
                <w:color w:val="2B2B2B"/>
                <w:sz w:val="19"/>
                <w:szCs w:val="19"/>
              </w:rPr>
              <w:t xml:space="preserve">Administrator only</w:t>
            </w:r>
          </w:p>
        </w:tc>
      </w:tr>
    </w:tbl>
    <w:p>
      <w:pPr>
        <w:pStyle w:val="Heading1"/>
        <w:pBdr>
          <w:bottom w:val="single" w:color="D4A017" w:sz="8" w:space="4"/>
        </w:pBdr>
        <w:spacing w:after="200" w:before="400"/>
      </w:pPr>
      <w:r>
        <w:rPr>
          <w:b/>
          <w:bCs/>
          <w:color w:val="0B1E3F"/>
          <w:sz w:val="30"/>
          <w:szCs w:val="30"/>
        </w:rPr>
        <w:t xml:space="preserve">13. Appendix</w:t>
      </w:r>
    </w:p>
    <w:p>
      <w:pPr>
        <w:pStyle w:val="Heading2"/>
        <w:spacing w:after="140" w:before="300"/>
      </w:pPr>
      <w:r>
        <w:rPr>
          <w:b/>
          <w:bCs/>
          <w:color w:val="0B1E3F"/>
          <w:sz w:val="25"/>
          <w:szCs w:val="25"/>
        </w:rPr>
        <w:t xml:space="preserve">13.1 Related Documents</w:t>
      </w:r>
    </w:p>
    <w:p>
      <w:pPr>
        <w:pStyle w:val="ListParagraph"/>
        <w:numPr>
          <w:ilvl w:val="0"/>
          <w:numId w:val="2"/>
        </w:numPr>
        <w:spacing w:after="40" w:before="40" w:line="264"/>
      </w:pPr>
      <w:r>
        <w:rPr>
          <w:color w:val="2B2B2B"/>
          <w:sz w:val="21"/>
          <w:szCs w:val="21"/>
        </w:rPr>
        <w:t xml:space="preserve">Product Requirements Document (PRD) — CrimeIntel — functional requirements, personas, RBAC, KPIs, roadmap</w:t>
      </w:r>
    </w:p>
    <w:p>
      <w:pPr>
        <w:pStyle w:val="ListParagraph"/>
        <w:numPr>
          <w:ilvl w:val="0"/>
          <w:numId w:val="2"/>
        </w:numPr>
        <w:spacing w:after="40" w:before="40" w:line="264"/>
      </w:pPr>
      <w:r>
        <w:rPr>
          <w:color w:val="2B2B2B"/>
          <w:sz w:val="21"/>
          <w:szCs w:val="21"/>
        </w:rPr>
        <w:t xml:space="preserve">CrimeIntel 25-Phase Development Blueprint (source planning document)</w:t>
      </w:r>
    </w:p>
    <w:p>
      <w:pPr>
        <w:pStyle w:val="Heading2"/>
        <w:spacing w:after="140" w:before="300"/>
      </w:pPr>
      <w:r>
        <w:rPr>
          <w:b/>
          <w:bCs/>
          <w:color w:val="0B1E3F"/>
          <w:sz w:val="25"/>
          <w:szCs w:val="25"/>
        </w:rPr>
        <w:t xml:space="preserve">13.2 Traceability</w:t>
      </w:r>
    </w:p>
    <w:p>
      <w:pPr>
        <w:spacing w:after="160" w:before="80" w:line="276"/>
        <w:jc w:val="both"/>
      </w:pPr>
      <w:r>
        <w:rPr>
          <w:b w:val="false"/>
          <w:bCs w:val="false"/>
          <w:i w:val="false"/>
          <w:iCs w:val="false"/>
          <w:color w:val="2B2B2B"/>
          <w:sz w:val="21"/>
          <w:szCs w:val="21"/>
        </w:rPr>
        <w:t xml:space="preserve">Every Catalyst service in Section 4 and every non-Catalyst dependency in Section 6 is traceable to a specific blueprint phase; this table is regenerated from the blueprint's own Phase 0.17 chapter, not maintained as a separate, divergent source of truth.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CrimeIntel — Technical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936"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2026-07-22T15:03:43.514Z</dcterms:created>
  <dcterms:modified xsi:type="dcterms:W3CDTF">2026-07-22T15:03:43.514Z</dcterms:modified>
</cp:coreProperties>
</file>

<file path=docProps/custom.xml><?xml version="1.0" encoding="utf-8"?>
<Properties xmlns="http://schemas.openxmlformats.org/officeDocument/2006/custom-properties" xmlns:vt="http://schemas.openxmlformats.org/officeDocument/2006/docPropsVTypes"/>
</file>