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F172A"/>
          <w:sz w:val="40"/>
          <w:szCs w:val="40"/>
        </w:rPr>
        <w:t xml:space="preserve">BUSINESS REQUIREMENTS DOCUMENT</w:t>
      </w:r>
    </w:p>
    <w:p>
      <w:pPr>
        <w:spacing w:after="20"/>
        <w:jc w:val="center"/>
      </w:pPr>
      <w:r>
        <w:rPr>
          <w:b/>
          <w:bCs/>
          <w:color w:val="0D9488"/>
          <w:sz w:val="24"/>
          <w:szCs w:val="24"/>
        </w:rPr>
        <w:t xml:space="preserve">Aura Marketing AI Operating System — Digital Marketing Platform</w:t>
      </w:r>
    </w:p>
    <w:p>
      <w:pPr>
        <w:spacing w:after="300"/>
        <w:jc w:val="center"/>
      </w:pPr>
      <w:r>
        <w:rPr>
          <w:i/>
          <w:iCs/>
          <w:color w:val="334155"/>
          <w:sz w:val="18"/>
          <w:szCs w:val="18"/>
        </w:rPr>
        <w:t xml:space="preserve">Prepared as a Business Analyst requirements pass over the existing codebase, with a gap analysis against what is currently built.</w:t>
      </w:r>
    </w:p>
    <w:p>
      <w:pPr>
        <w:pStyle w:val="Heading1"/>
        <w:spacing w:after="120" w:before="280"/>
      </w:pPr>
      <w:r>
        <w:rPr>
          <w:b/>
          <w:bCs/>
          <w:color w:val="0F172A"/>
          <w:sz w:val="26"/>
          <w:szCs w:val="26"/>
        </w:rPr>
        <w:t xml:space="preserve">1. Purpose &amp; Scope</w:t>
      </w:r>
    </w:p>
    <w:p>
      <w:pPr>
        <w:spacing w:after="120"/>
      </w:pPr>
      <w:r>
        <w:rPr>
          <w:i w:val="false"/>
          <w:iCs w:val="false"/>
          <w:color w:val="334155"/>
          <w:sz w:val="20"/>
          <w:szCs w:val="20"/>
        </w:rPr>
        <w:t xml:space="preserve">This document defines the business and functional requirements a Business Analyst would specify for a digital-marketing automation platform of this kind — covering campaign management, SEO intelligence, content generation, analytics/attribution, and billing — and maps each requirement against the current state of the 'Aura Marketing AI OS' codebase. Its purpose is twofold: (1) give the product a proper requirements baseline it does not currently have, and (2) make explicit what is missing, fabricated, or broken relative to that baseline.</w:t>
      </w:r>
    </w:p>
    <w:p>
      <w:pPr>
        <w:pStyle w:val="Heading1"/>
        <w:spacing w:after="120" w:before="280"/>
      </w:pPr>
      <w:r>
        <w:rPr>
          <w:b/>
          <w:bCs/>
          <w:color w:val="0F172A"/>
          <w:sz w:val="26"/>
          <w:szCs w:val="26"/>
        </w:rPr>
        <w:t xml:space="preserve">2. Business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Give a small business or marketer a single workspace to plan, create, launch, and measure campaigns across search, social, and email — replacing 4–6 separate point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Reduce the skill/time barrier to running paid and organic marketing through AI-assisted content generation and diagnostics.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Monetize via a token-based credit system for AI-driven actions (scans, creative generation, video/image generation).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Build trust as an analytics source of truth — attribution and health scoring must be defensible, not illustrative.</w:t>
      </w:r>
    </w:p>
    <w:p>
      <w:pPr>
        <w:pStyle w:val="Heading1"/>
        <w:spacing w:after="120" w:before="280"/>
      </w:pPr>
      <w:r>
        <w:rPr>
          <w:b/>
          <w:bCs/>
          <w:color w:val="0F172A"/>
          <w:sz w:val="26"/>
          <w:szCs w:val="26"/>
        </w:rPr>
        <w:t xml:space="preserve">3. Stakeholders &amp; Personas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Primary user — Small business owner / solo marketer: needs guided, low-effort campaign creation and clear ROI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Secondary user — Agency marketer managing multiple client workspaces: needs multi-tenant access control and white-label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Internal — Support/Finance admin: needs visibility into payments, refunds, and abuse (e.g., token fraud).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System stakeholders — Ad platforms (Google/Meta/LinkedIn), payment processor (Razorpay), SEO/keyword data provider, generative-AI provider.</w:t>
      </w:r>
    </w:p>
    <w:p>
      <w:pPr>
        <w:pStyle w:val="Heading1"/>
        <w:spacing w:after="120" w:before="280"/>
      </w:pPr>
      <w:r>
        <w:rPr>
          <w:b/>
          <w:bCs/>
          <w:color w:val="0F172A"/>
          <w:sz w:val="26"/>
          <w:szCs w:val="26"/>
        </w:rPr>
        <w:t xml:space="preserve">4. Functional Requirements</w:t>
      </w:r>
    </w:p>
    <w:p>
      <w:pPr>
        <w:spacing w:after="120"/>
      </w:pPr>
      <w:r>
        <w:rPr>
          <w:i w:val="false"/>
          <w:iCs w:val="false"/>
          <w:color w:val="334155"/>
          <w:sz w:val="20"/>
          <w:szCs w:val="20"/>
        </w:rPr>
        <w:t xml:space="preserve">Status legend: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D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Implemented</w:t>
            </w:r>
          </w:p>
        </w:tc>
        <w:tc>
          <w:tcPr>
            <w:tcW w:type="dxa" w:w="1872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Partial</w:t>
            </w:r>
          </w:p>
        </w:tc>
        <w:tc>
          <w:tcPr>
            <w:tcW w:type="dxa" w:w="1872"/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Fabricated</w:t>
            </w:r>
          </w:p>
        </w:tc>
        <w:tc>
          <w:tcPr>
            <w:tcW w:type="dxa" w:w="1872"/>
            <w:shd w:fill="F4CC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Missing</w:t>
            </w:r>
          </w:p>
        </w:tc>
        <w:tc>
          <w:tcPr>
            <w:tcW w:type="dxa" w:w="1872"/>
            <w:shd w:fill="EAD1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Broken</w:t>
            </w:r>
          </w:p>
        </w:tc>
      </w:tr>
    </w:tbl>
    <w:p>
      <w:pPr>
        <w:spacing w:after="120"/>
      </w:pPr>
      <w:r>
        <w:rPr>
          <w:i w:val="false"/>
          <w:iCs w:val="false"/>
          <w:color w:val="334155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D9488"/>
          <w:sz w:val="22"/>
          <w:szCs w:val="22"/>
        </w:rPr>
        <w:t xml:space="preserve">4.1 Authentication &amp; Account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000"/>
        <w:gridCol w:w="2260"/>
      </w:tblGrid>
      <w:tr>
        <w:trPr>
          <w:tblHeader/>
        </w:trPr>
        <w:tc>
          <w:tcPr>
            <w:tcW w:type="dxa" w:w="9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2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0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26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Current Status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AUTH-01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Users can register with email/password, with mandatory email verification before first login.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AUTH-02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Users can sign in / sign up via Google and Apple SSO.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Should</w:t>
            </w:r>
          </w:p>
        </w:tc>
        <w:tc>
          <w:tcPr>
            <w:tcW w:type="dxa" w:w="2260"/>
            <w:shd w:fill="F4CC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AUTH-03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Access tokens are short-lived and paired with revocable refresh tokens; logout invalidates the session.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F4CC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AUTH-04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Role-based access control (Owner / Marketer / Viewer) scoped to a workspace or team.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F4CC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AUTH-05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Self-service password reset via a verified email link.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F4CC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AUTH-06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Every authenticated endpoint rejects requests with a missing or invalid token — no anonymous/demo fallback.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EAD1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Broken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AUTH-07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No default or auto-seeded admin credentials exist outside an isolated local-dev environment.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EAD1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Broken</w:t>
            </w:r>
          </w:p>
        </w:tc>
      </w:tr>
    </w:tbl>
    <w:p>
      <w:pPr>
        <w:spacing w:after="120"/>
      </w:pPr>
      <w:r>
        <w:rPr>
          <w:i w:val="false"/>
          <w:iCs w:val="false"/>
          <w:color w:val="334155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D9488"/>
          <w:sz w:val="22"/>
          <w:szCs w:val="22"/>
        </w:rPr>
        <w:t xml:space="preserve">4.2 Campaign &amp; Ad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000"/>
        <w:gridCol w:w="2260"/>
      </w:tblGrid>
      <w:tr>
        <w:trPr>
          <w:tblHeader/>
        </w:trPr>
        <w:tc>
          <w:tcPr>
            <w:tcW w:type="dxa" w:w="9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2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0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26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Current Status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CAMP-01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Users can define a campaign: objective, budget, target audience, product, and channel mix.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D9EAD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Implemented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CAMP-02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Users can connect real Google Ads, Meta Ads, and LinkedIn Ads accounts via OAuth.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F4CC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CAMP-03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Campaigns are actually created/published on the connected ad platforms, not simulated locally.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F4CC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CAMP-04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Live performance metrics (impressions, clicks, CTR, conversions, spend, ROAS) are pulled from the connected ad accounts on a schedule.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Fabricated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CAMP-05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Users can reallocate budget across channels based on measured performance, with an audit trail of changes.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Should</w:t>
            </w:r>
          </w:p>
        </w:tc>
        <w:tc>
          <w:tcPr>
            <w:tcW w:type="dxa" w:w="2260"/>
            <w:shd w:fill="F4CC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CAMP-06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Ad creative (headline, body, CTA) is generated by a real generative-AI model, parameterized by product, audience, and brand voice.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Fabricated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CAMP-07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Users can run A/B tests between creative variants with statistical-significance reporting.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Should</w:t>
            </w:r>
          </w:p>
        </w:tc>
        <w:tc>
          <w:tcPr>
            <w:tcW w:type="dxa" w:w="2260"/>
            <w:shd w:fill="F4CC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Missing</w:t>
            </w:r>
          </w:p>
        </w:tc>
      </w:tr>
    </w:tbl>
    <w:p>
      <w:pPr>
        <w:spacing w:after="120"/>
      </w:pPr>
      <w:r>
        <w:rPr>
          <w:i w:val="false"/>
          <w:iCs w:val="false"/>
          <w:color w:val="334155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D9488"/>
          <w:sz w:val="22"/>
          <w:szCs w:val="22"/>
        </w:rPr>
        <w:t xml:space="preserve">4.3 SEO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000"/>
        <w:gridCol w:w="2260"/>
      </w:tblGrid>
      <w:tr>
        <w:trPr>
          <w:tblHeader/>
        </w:trPr>
        <w:tc>
          <w:tcPr>
            <w:tcW w:type="dxa" w:w="9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2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0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26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Current Status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SEO-01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Keyword search volume, difficulty, and current SERP position are sourced from a licensed data provider or Search Console.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Fabricated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SEO-02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Page-2 (positions 11–20) ranking keywords are identified from real ranking data, with a genuine traffic-opportunity estimate.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Fabricated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SEO-03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On-page fix recommendations (title/meta/H1/schema) are grounded in a real content-gap comparison against actual top-ranking pages.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Should</w:t>
            </w:r>
          </w:p>
        </w:tc>
        <w:tc>
          <w:tcPr>
            <w:tcW w:type="dxa" w:w="226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SEO-04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Ranking history is tracked over time per keyword, with alerts on significant movement.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Should</w:t>
            </w:r>
          </w:p>
        </w:tc>
        <w:tc>
          <w:tcPr>
            <w:tcW w:type="dxa" w:w="2260"/>
            <w:shd w:fill="F4CC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SEO-05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Users can connect Google Search Console for first-party impression/click/position data.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Should</w:t>
            </w:r>
          </w:p>
        </w:tc>
        <w:tc>
          <w:tcPr>
            <w:tcW w:type="dxa" w:w="2260"/>
            <w:shd w:fill="F4CC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Missing</w:t>
            </w:r>
          </w:p>
        </w:tc>
      </w:tr>
    </w:tbl>
    <w:p>
      <w:pPr>
        <w:spacing w:after="120"/>
      </w:pPr>
      <w:r>
        <w:rPr>
          <w:i w:val="false"/>
          <w:iCs w:val="false"/>
          <w:color w:val="334155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D9488"/>
          <w:sz w:val="22"/>
          <w:szCs w:val="22"/>
        </w:rPr>
        <w:t xml:space="preserve">4.4 Website Technical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000"/>
        <w:gridCol w:w="2260"/>
      </w:tblGrid>
      <w:tr>
        <w:trPr>
          <w:tblHeader/>
        </w:trPr>
        <w:tc>
          <w:tcPr>
            <w:tcW w:type="dxa" w:w="9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2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0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26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Current Status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AUDIT-01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Website technical audits return genuine Lighthouse / Core Web Vitals scores for performance, accessibility, SEO, and best practices.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Fabricated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AUDIT-02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Audit results are cached with a defined TTL and can be re-run on demand.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Should</w:t>
            </w:r>
          </w:p>
        </w:tc>
        <w:tc>
          <w:tcPr>
            <w:tcW w:type="dxa" w:w="2260"/>
            <w:shd w:fill="D9EAD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Implemented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AUDIT-03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Audits check SSL validity, mobile-friendliness, broken links, and Core Web Vitals thresholds.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Should</w:t>
            </w:r>
          </w:p>
        </w:tc>
        <w:tc>
          <w:tcPr>
            <w:tcW w:type="dxa" w:w="226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Partial</w:t>
            </w:r>
          </w:p>
        </w:tc>
      </w:tr>
    </w:tbl>
    <w:p>
      <w:pPr>
        <w:spacing w:after="120"/>
      </w:pPr>
      <w:r>
        <w:rPr>
          <w:i w:val="false"/>
          <w:iCs w:val="false"/>
          <w:color w:val="334155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D9488"/>
          <w:sz w:val="22"/>
          <w:szCs w:val="22"/>
        </w:rPr>
        <w:t xml:space="preserve">4.5 Competitor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000"/>
        <w:gridCol w:w="2260"/>
      </w:tblGrid>
      <w:tr>
        <w:trPr>
          <w:tblHeader/>
        </w:trPr>
        <w:tc>
          <w:tcPr>
            <w:tcW w:type="dxa" w:w="9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2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0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26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Current Status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COMP-01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Competitor pages are scraped for meta title/description, social presence, and detected technology stack.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Should</w:t>
            </w:r>
          </w:p>
        </w:tc>
        <w:tc>
          <w:tcPr>
            <w:tcW w:type="dxa" w:w="226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COMP-02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SWOT analysis is generated from the specific data scraped for that competitor, not a fixed template.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Should</w:t>
            </w:r>
          </w:p>
        </w:tc>
        <w:tc>
          <w:tcPr>
            <w:tcW w:type="dxa" w:w="2260"/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Fabricated</w:t>
            </w:r>
          </w:p>
        </w:tc>
      </w:tr>
    </w:tbl>
    <w:p>
      <w:pPr>
        <w:spacing w:after="120"/>
      </w:pPr>
      <w:r>
        <w:rPr>
          <w:i w:val="false"/>
          <w:iCs w:val="false"/>
          <w:color w:val="334155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D9488"/>
          <w:sz w:val="22"/>
          <w:szCs w:val="22"/>
        </w:rPr>
        <w:t xml:space="preserve">4.6 Content, Social &amp;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000"/>
        <w:gridCol w:w="2260"/>
      </w:tblGrid>
      <w:tr>
        <w:trPr>
          <w:tblHeader/>
        </w:trPr>
        <w:tc>
          <w:tcPr>
            <w:tcW w:type="dxa" w:w="9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2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0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26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Current Status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CONT-01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 social content calendar is generated by AI, tailored to brand, industry, and audience inputs.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Should</w:t>
            </w:r>
          </w:p>
        </w:tc>
        <w:tc>
          <w:tcPr>
            <w:tcW w:type="dxa" w:w="2260"/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Fabricated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CONT-02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Approved posts can be scheduled and published directly to connected social accounts (Meta, LinkedIn, X, TikTok).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Should</w:t>
            </w:r>
          </w:p>
        </w:tc>
        <w:tc>
          <w:tcPr>
            <w:tcW w:type="dxa" w:w="2260"/>
            <w:shd w:fill="F4CC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CONT-03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Lifecycle email sequences (welcome, cart-abandonment, promo) are generated and actually sent through a connected ESP (SendGrid / Mailchimp / Klaviyo).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F4CC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Missing</w:t>
            </w:r>
          </w:p>
        </w:tc>
      </w:tr>
    </w:tbl>
    <w:p>
      <w:pPr>
        <w:spacing w:after="120"/>
      </w:pPr>
      <w:r>
        <w:rPr>
          <w:i w:val="false"/>
          <w:iCs w:val="false"/>
          <w:color w:val="334155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D9488"/>
          <w:sz w:val="22"/>
          <w:szCs w:val="22"/>
        </w:rPr>
        <w:t xml:space="preserve">4.7 AI Studio (Video &amp; Image)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000"/>
        <w:gridCol w:w="2260"/>
      </w:tblGrid>
      <w:tr>
        <w:trPr>
          <w:tblHeader/>
        </w:trPr>
        <w:tc>
          <w:tcPr>
            <w:tcW w:type="dxa" w:w="9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2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0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26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Current Status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STU-01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Short promotional videos are generated from a text prompt via a real generation provider, with working job-status polling exposed on the live API.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Should</w:t>
            </w:r>
          </w:p>
        </w:tc>
        <w:tc>
          <w:tcPr>
            <w:tcW w:type="dxa" w:w="2260"/>
            <w:shd w:fill="EAD1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Broken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STU-02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AI image edits (background removal, upscale, style transfer) call the configured provider and only deduct credits on confirmed success.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EAD1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Broken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STU-03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Users are clearly told when an output is a stock/simulated asset rather than a genuine AI generation.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F4CC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Missing</w:t>
            </w:r>
          </w:p>
        </w:tc>
      </w:tr>
    </w:tbl>
    <w:p>
      <w:pPr>
        <w:spacing w:after="120"/>
      </w:pPr>
      <w:r>
        <w:rPr>
          <w:i w:val="false"/>
          <w:iCs w:val="false"/>
          <w:color w:val="334155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D9488"/>
          <w:sz w:val="22"/>
          <w:szCs w:val="22"/>
        </w:rPr>
        <w:t xml:space="preserve">4.8 Analytics &amp; Attribution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000"/>
        <w:gridCol w:w="2260"/>
      </w:tblGrid>
      <w:tr>
        <w:trPr>
          <w:tblHeader/>
        </w:trPr>
        <w:tc>
          <w:tcPr>
            <w:tcW w:type="dxa" w:w="9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2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0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26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Current Status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ANLY-01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 tracking snippet/pixel on the customer's site captures real touchpoint events (channel, session, conversion value).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F4CC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ANLY-02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First-Touch, Last-Touch, Linear, and W-Shaped attribution are computed over the real touchpoint stream.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D9EAD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Implemented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ANLY-03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GA4 and/or Meta Conversions API data can be imported to cross-validate attribution.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Should</w:t>
            </w:r>
          </w:p>
        </w:tc>
        <w:tc>
          <w:tcPr>
            <w:tcW w:type="dxa" w:w="2260"/>
            <w:shd w:fill="F4CC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ANLY-04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The usage dashboard reflects each account's real token/feature consumption, not placeholder data.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Fabricated</w:t>
            </w:r>
          </w:p>
        </w:tc>
      </w:tr>
    </w:tbl>
    <w:p>
      <w:pPr>
        <w:spacing w:after="120"/>
      </w:pPr>
      <w:r>
        <w:rPr>
          <w:i w:val="false"/>
          <w:iCs w:val="false"/>
          <w:color w:val="334155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D9488"/>
          <w:sz w:val="22"/>
          <w:szCs w:val="22"/>
        </w:rPr>
        <w:t xml:space="preserve">4.9 Billing, Wallet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000"/>
        <w:gridCol w:w="2260"/>
      </w:tblGrid>
      <w:tr>
        <w:trPr>
          <w:tblHeader/>
        </w:trPr>
        <w:tc>
          <w:tcPr>
            <w:tcW w:type="dxa" w:w="9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2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0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26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Current Status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PAY-01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 payment is credited only after its signature is cryptographically verified against a configured secret — never a default pass.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EAD1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Broken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PAY-02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Every credit/debit is an immutable, auditable transaction protected by an idempotency key against double-crediting.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PAY-03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Razorpay server-to-server webhooks (not client-submitted IDs) are the system of record for payment success.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F4CC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PAY-04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Tokens are debited for a feature only after that feature's underlying task is confirmed successful.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EAD1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Broken</w:t>
            </w:r>
          </w:p>
        </w:tc>
      </w:tr>
    </w:tbl>
    <w:p>
      <w:pPr>
        <w:spacing w:after="120"/>
      </w:pPr>
      <w:r>
        <w:rPr>
          <w:i w:val="false"/>
          <w:iCs w:val="false"/>
          <w:color w:val="334155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D9488"/>
          <w:sz w:val="22"/>
          <w:szCs w:val="22"/>
        </w:rPr>
        <w:t xml:space="preserve">4.10 Admin &amp;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000"/>
        <w:gridCol w:w="2260"/>
      </w:tblGrid>
      <w:tr>
        <w:trPr>
          <w:tblHeader/>
        </w:trPr>
        <w:tc>
          <w:tcPr>
            <w:tcW w:type="dxa" w:w="9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2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0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26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Current Status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ADM-01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An admin panel lets authorized staff view/manage users, transactions, and refunds, itself protected by admin-only auth.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Should</w:t>
            </w:r>
          </w:p>
        </w:tc>
        <w:tc>
          <w:tcPr>
            <w:tcW w:type="dxa" w:w="226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ADM-02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Users receive real-time, account-specific notifications for actual events (rank change, payment received, scan complete).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Should</w:t>
            </w:r>
          </w:p>
        </w:tc>
        <w:tc>
          <w:tcPr>
            <w:tcW w:type="dxa" w:w="2260"/>
            <w:shd w:fill="FCE5C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Fabricated</w:t>
            </w:r>
          </w:p>
        </w:tc>
      </w:tr>
    </w:tbl>
    <w:p>
      <w:pPr>
        <w:spacing w:after="120"/>
      </w:pPr>
      <w:r>
        <w:rPr>
          <w:i w:val="false"/>
          <w:iCs w:val="false"/>
          <w:color w:val="334155"/>
          <w:sz w:val="20"/>
          <w:szCs w:val="20"/>
        </w:rP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spacing w:after="120" w:before="280"/>
      </w:pPr>
      <w:r>
        <w:rPr>
          <w:b/>
          <w:bCs/>
          <w:color w:val="0F172A"/>
          <w:sz w:val="26"/>
          <w:szCs w:val="26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000"/>
        <w:gridCol w:w="2260"/>
      </w:tblGrid>
      <w:tr>
        <w:trPr>
          <w:tblHeader/>
        </w:trPr>
        <w:tc>
          <w:tcPr>
            <w:tcW w:type="dxa" w:w="9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2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00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260"/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Current Status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NFR-SEC-01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All secrets (JWT signing key, API keys) are sourced from a secret manager/environment; no hardcoded fallback exists in source.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EAD1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Broken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NFR-SEC-02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CORS allows only an explicit, whitelisted set of origins; wildcard origin combined with credentials is never used.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EAD1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Broken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NFR-SEC-03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Every endpoint that touches money or personal data requires valid, non-bypassable authentication.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EAD1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Broken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NFR-DATA-01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Production runs on a durable, managed datastore; the in-memory fallback is dev-only and never silently used in production.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F4CC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NFR-PERF-01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Long-running scans (SEO/audit) run as async jobs with a defined SLA, instead of blocking the request.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Should</w:t>
            </w:r>
          </w:p>
        </w:tc>
        <w:tc>
          <w:tcPr>
            <w:tcW w:type="dxa" w:w="2260"/>
            <w:shd w:fill="F4CC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NFR-AUDIT-01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All financial transactions and admin actions write to an immutable audit log.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NFR-COMPLY-01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Payment handling meets PCI-DSS SAQ-A requirements for a hosted-checkout integration; no raw card data is ever handled directly.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NFR-COMPLY-02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Personal data (emails, touchpoint identifiers) is handled per India's DPDP Act 2023, and GDPR/CCPA for EU/US users.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F4CC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NFR-COMPLY-03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Automated marketing emails comply with CAN-SPAM/GDPR consent and one-click unsubscribe requirements.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F4CC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NFR-COMPLY-04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Any simulated or AI-generated output shown to end customers (video, image, health score) is clearly disclosed as such.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F4CC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NFR-UX-01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Every primary UI flow resolves to a working feature or is removed — no dead buttons calling nonexistent endpoints.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Must</w:t>
            </w:r>
          </w:p>
        </w:tc>
        <w:tc>
          <w:tcPr>
            <w:tcW w:type="dxa" w:w="2260"/>
            <w:shd w:fill="EAD1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7"/>
                <w:szCs w:val="17"/>
              </w:rPr>
              <w:t xml:space="preserve">Broken</w:t>
            </w:r>
          </w:p>
        </w:tc>
      </w:tr>
    </w:tbl>
    <w:p>
      <w:pPr>
        <w:spacing w:after="120"/>
      </w:pPr>
      <w:r>
        <w:rPr>
          <w:i w:val="false"/>
          <w:iCs w:val="false"/>
          <w:color w:val="334155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b/>
          <w:bCs/>
          <w:color w:val="0F172A"/>
          <w:sz w:val="26"/>
          <w:szCs w:val="26"/>
        </w:rPr>
        <w:t xml:space="preserve">6. Integration Requirements</w:t>
      </w:r>
    </w:p>
    <w:p>
      <w:pPr>
        <w:spacing w:after="120"/>
      </w:pPr>
      <w:r>
        <w:rPr>
          <w:i w:val="false"/>
          <w:iCs w:val="false"/>
          <w:color w:val="334155"/>
          <w:sz w:val="20"/>
          <w:szCs w:val="20"/>
        </w:rPr>
        <w:t xml:space="preserve">None of the following third-party integrations exist in the current codebase except a scaffolded, optional Replicate call and a functioning Razorpay checkout — every other capability below is required but not yet connected: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Ad platforms: Google Ads API, Meta Marketing API, LinkedIn Marketing API (TikTok Ads API optional).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Analytics: GA4 Measurement Protocol / Data API, Meta Conversions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SEO data: Google Search Console API, plus one licensed keyword/rank provider (e.g., DataForSEO, SEMrush, or Ahrefs).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Generative AI: a production LLM provider (OpenAI, Anthropic, or Gemini) for copy generation — currently absent entirely.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Image/video generation: complete the existing Stability AI / Clipdrop / Cloudinary wiring for images, and mount the existing Replicate video pipeline onto a live route.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Email delivery: SendGrid, AWS SES, Mailchimp, or Klaviyo to actually send generated sequences.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Social publishing: Meta Graph API, LinkedIn API, X API for scheduled posting.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Payments: keep Razorpay, but add webhook-based server-to-server reconciliation.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Identity: Google Identity Services and Sign in with Apple for the SSO buttons already in the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Observability: error tracking (e.g., Sentry) and uptime monitoring — none currently exists.</w:t>
      </w:r>
    </w:p>
    <w:p>
      <w:pPr>
        <w:pStyle w:val="Heading1"/>
        <w:spacing w:after="120" w:before="280"/>
      </w:pPr>
      <w:r>
        <w:rPr>
          <w:b/>
          <w:bCs/>
          <w:color w:val="0F172A"/>
          <w:sz w:val="26"/>
          <w:szCs w:val="26"/>
        </w:rPr>
        <w:t xml:space="preserve">7. Data &amp; Compliance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A durable, managed primary datastore for production — the current in-memory fallback must never be the production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Historical, time-series storage for keyword rankings and campaign metrics (none exists today; everything is point-in-time).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Data handling aligned to India's DPDP Act 2023 and, where EU/US customers are served, GDPR/CCPA — covering visitor emails and touchpoint identifiers collected via the tracking pixel.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PCI-DSS SAQ-A posture maintained by keeping card data exclusively inside Razorpay's hosted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CAN-SPAM/GDPR-compliant consent capture and one-click unsubscribe once real email sending is added.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Clear labeling of any simulated/AI-generated output shown to a paying customer as fact (health scores, rankings, video assets).</w:t>
      </w:r>
    </w:p>
    <w:p>
      <w:pPr>
        <w:pStyle w:val="Heading1"/>
        <w:spacing w:after="120" w:before="280"/>
      </w:pPr>
      <w:r>
        <w:rPr>
          <w:b/>
          <w:bCs/>
          <w:color w:val="0F172A"/>
          <w:sz w:val="26"/>
          <w:szCs w:val="26"/>
        </w:rPr>
        <w:t xml:space="preserve">8. Top Missing Requirements — Priority Summary</w:t>
      </w:r>
    </w:p>
    <w:p>
      <w:pPr>
        <w:spacing w:after="120"/>
      </w:pPr>
      <w:r>
        <w:rPr>
          <w:i w:val="false"/>
          <w:iCs w:val="false"/>
          <w:color w:val="334155"/>
          <w:sz w:val="20"/>
          <w:szCs w:val="20"/>
        </w:rPr>
        <w:t xml:space="preserve">Pulling together every 'Missing' or 'Broken' item above, ranked by business risk if left unaddressed: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1. No real ad-platform connections — the platform cannot actually run a campaign anywhere (CAMP-02, CAMP-03, CAMP-04).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2. No real keyword/rank data source — every SEO number shown to a customer is fabricated from a string hash (SEO-01, SEO-02).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3. Payment verification can be bypassed, and billing isn't reconciled against Razorpay's own webhooks — direct revenue/fraud risk (PAY-01, PAY-03).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4. No authentication enforcement — every paid endpoint is usable by an unauthenticated caller via the demo-user fallback (AUTH-06).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5. Paid AI image editing performs no edit but still charges — a billing-integrity and consumer-trust issue (STU-02, PAY-04).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6. No generative-AI integration anywhere — 'AI-generated' copy is static templates, a truth-in-advertising exposure (CAMP-06, CONT-01).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7. No real analytics/event pipeline — the attribution engine is well-built but has nothing real to attribute (ANLY-01).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8. No email-sending capability — generated sequences cannot actually be sent to a customer's list (CONT-03).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9. No RBAC/multi-tenant model — cannot safely support an agency managing multiple clients (AUTH-04).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10. No production-grade datastore guarantee, no secret management, and CORS/JWT-secret hardening are all outstanding (NFR-SEC-01/02, NFR-DATA-01).</w:t>
      </w:r>
    </w:p>
    <w:p>
      <w:pPr>
        <w:pStyle w:val="Heading1"/>
        <w:spacing w:after="120" w:before="280"/>
      </w:pPr>
      <w:r>
        <w:rPr>
          <w:b/>
          <w:bCs/>
          <w:color w:val="0F172A"/>
          <w:sz w:val="26"/>
          <w:szCs w:val="26"/>
        </w:rPr>
        <w:t xml:space="preserve">9. Assumptions &amp;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Assumed: the product is pre-launch, since default admin credentials and a payment bypass are still live — if it is already public, items 3 and 4 above are urgent, not just planned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Open question: is the near-term goal a fully real multi-channel ad platform, or a lighter-weight content/diagnostic assistant that is honest about not publishing ads? That choice changes which of the above are truly 'Must' versus out of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4155"/>
          <w:sz w:val="19"/>
          <w:szCs w:val="19"/>
        </w:rPr>
        <w:t xml:space="preserve">Open question: which single keyword-data provider and which single LLM provider should be standardized on, to bound integration cost before broader build-out?</w:t>
      </w:r>
    </w:p>
    <w:sectPr>
      <w:headerReference w:type="default" r:id="rId7"/>
      <w:footerReference w:type="default" r:id="rId8"/>
      <w:pgSz w:w="12240" w:h="15840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4"/>
        <w:szCs w:val="14"/>
      </w:rPr>
      <w:t xml:space="preserve">Page </w:t>
    </w:r>
    <w:r>
      <w:rPr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4"/>
        <w:szCs w:val="14"/>
      </w:rPr>
      <w:t xml:space="preserve"> of </w:t>
    </w:r>
    <w:r>
      <w:rPr>
        <w:color w:val="94A3B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4"/>
        <w:szCs w:val="14"/>
      </w:rPr>
      <w:t xml:space="preserve">Aura Marketing AI OS —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2026-08-28T11:52:57.644Z</dcterms:created>
  <dcterms:modified xsi:type="dcterms:W3CDTF">2026-08-28T11:52:57.658Z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