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  <w:jc w:val="center"/>
      </w:pPr>
      <w:r>
        <w:rPr>
          <w:b/>
          <w:bCs/>
          <w:color w:val="4F46E5"/>
          <w:sz w:val="72"/>
          <w:szCs w:val="72"/>
        </w:rPr>
        <w:t xml:space="preserve">ZARBAN</w:t>
      </w:r>
    </w:p>
    <w:p>
      <w:pPr>
        <w:spacing w:after="60"/>
        <w:jc w:val="center"/>
      </w:pPr>
      <w:r>
        <w:rPr>
          <w:b/>
          <w:bCs/>
          <w:color w:val="1B2138"/>
          <w:sz w:val="30"/>
          <w:szCs w:val="30"/>
        </w:rPr>
        <w:t xml:space="preserve">Technical Handover &amp; Deep-Dive Documentation</w:t>
      </w:r>
    </w:p>
    <w:p>
      <w:pPr>
        <w:spacing w:after="400"/>
        <w:jc w:val="center"/>
      </w:pPr>
      <w:r>
        <w:rPr>
          <w:i/>
          <w:iCs/>
          <w:color w:val="5A6178"/>
          <w:sz w:val="22"/>
          <w:szCs w:val="22"/>
        </w:rPr>
        <w:t xml:space="preserve">A granular, phase-by-phase workflow narrative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EEF0F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line="264"/>
            </w:pPr>
            <w:r>
              <w:rPr>
                <w:b/>
                <w:bCs/>
                <w:caps/>
                <w:color w:val="7C3AED"/>
                <w:sz w:val="18"/>
                <w:szCs w:val="18"/>
              </w:rPr>
              <w:t xml:space="preserve">Audience  </w:t>
            </w:r>
            <w:r>
              <w:rPr>
                <w:color w:val="1B2138"/>
                <w:sz w:val="20"/>
                <w:szCs w:val="20"/>
              </w:rPr>
              <w:t xml:space="preserve">Hiring Manager &amp; Development Team (technical interview / project handover). Reads equally well as a client handover — non-technical readers can follow the headings, reasoning, and Impact sections and skip the code-level sub-steps.</w:t>
            </w:r>
          </w:p>
        </w:tc>
      </w:tr>
    </w:tbl>
    <w:p>
      <w:pPr>
        <w:spacing w:after="60"/>
      </w:pPr>
      <w:r>
        <w:rPr>
          <w:sz w:val="8"/>
          <w:szCs w:val="8"/>
        </w:rPr>
        <w:t xml:space="preserve"/>
      </w:r>
    </w:p>
    <w:p>
      <w:pPr>
        <w:spacing w:before="200"/>
        <w:jc w:val="center"/>
      </w:pPr>
      <w:r>
        <w:rPr>
          <w:color w:val="5A6178"/>
          <w:sz w:val="20"/>
          <w:szCs w:val="20"/>
        </w:rPr>
        <w:t xml:space="preserve">Live system:  </w:t>
      </w:r>
      <w:hyperlink w:history="1" r:id="rIduzsjguy4t7l32hjwnokoq">
        <w:r>
          <w:rPr>
            <w:color w:val="4F46E5"/>
            <w:sz w:val="20"/>
            <w:szCs w:val="20"/>
            <w:u w:val="single"/>
          </w:rPr>
          <w:t xml:space="preserve">zarban.zarbanlabs-app.workers.dev</w:t>
        </w:r>
      </w:hyperlink>
    </w:p>
    <w:p>
      <w:pPr>
        <w:jc w:val="center"/>
      </w:pPr>
      <w:r>
        <w:rPr>
          <w:color w:val="5A6178"/>
          <w:sz w:val="20"/>
          <w:szCs w:val="20"/>
        </w:rPr>
        <w:t xml:space="preserve">Repository:  </w:t>
      </w:r>
      <w:hyperlink w:history="1" r:id="rIdghxkeeyfcq024-s1huau7">
        <w:r>
          <w:rPr>
            <w:color w:val="4F46E5"/>
            <w:sz w:val="20"/>
            <w:szCs w:val="20"/>
            <w:u w:val="single"/>
          </w:rPr>
          <w:t xml:space="preserve">github.com/karthikLagudu/Zarban</w:t>
        </w:r>
      </w:hyperlink>
    </w:p>
    <w:p>
      <w:r>
        <w:br w:type="page"/>
      </w:r>
    </w:p>
    <w:p>
      <w:pPr>
        <w:spacing w:after="120"/>
      </w:pPr>
      <w:r>
        <w:rPr>
          <w:b/>
          <w:bCs/>
          <w:color w:val="1B2138"/>
          <w:sz w:val="28"/>
          <w:szCs w:val="28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4F46E5"/>
          <w:sz w:val="30"/>
          <w:szCs w:val="30"/>
        </w:rPr>
        <w:t xml:space="preserve">1. Project Overview — the Why and the What</w:t>
      </w:r>
    </w:p>
    <w:p>
      <w:pPr>
        <w:pStyle w:val="Heading2"/>
        <w:spacing w:after="90" w:before="220"/>
      </w:pPr>
      <w:r>
        <w:rPr>
          <w:b/>
          <w:bCs/>
          <w:color w:val="1B2138"/>
          <w:sz w:val="25"/>
          <w:szCs w:val="25"/>
        </w:rPr>
        <w:t xml:space="preserve">1.1 The problem</w:t>
      </w:r>
    </w:p>
    <w:p>
      <w:pPr>
        <w:spacing w:after="120" w:line="276"/>
      </w:pPr>
      <w:r>
        <w:rPr>
          <w:color w:val="1B2138"/>
          <w:sz w:val="21"/>
          <w:szCs w:val="21"/>
        </w:rPr>
        <w:t xml:space="preserve">Conventional online math tests return a score. A score tells a teacher that a student is weak; it never tells them why, or what to do next. A 60% could be a calculation problem, a reading-comprehension problem, or a missing prerequisite two grades below — and the remediation for each is completely different.</w:t>
      </w:r>
    </w:p>
    <w:p>
      <w:pPr>
        <w:spacing w:after="120" w:line="276"/>
      </w:pPr>
      <w:r>
        <w:rPr>
          <w:b/>
          <w:bCs/>
          <w:color w:val="1B2138"/>
          <w:sz w:val="21"/>
          <w:szCs w:val="21"/>
        </w:rPr>
        <w:t xml:space="preserve">Zarban</w:t>
      </w:r>
      <w:r>
        <w:rPr>
          <w:color w:val="1B2138"/>
          <w:sz w:val="21"/>
          <w:szCs w:val="21"/>
        </w:rPr>
        <w:t xml:space="preserve"> solves this: it is an adaptive diagnostic + learning ecosystem for Grades 5–10 (NCERT-aligned) that discovers the </w:t>
      </w:r>
      <w:r>
        <w:rPr>
          <w:i/>
          <w:iCs/>
          <w:color w:val="1B2138"/>
          <w:sz w:val="21"/>
          <w:szCs w:val="21"/>
        </w:rPr>
        <w:t xml:space="preserve">cause</w:t>
      </w:r>
      <w:r>
        <w:rPr>
          <w:color w:val="1B2138"/>
          <w:sz w:val="21"/>
          <w:szCs w:val="21"/>
        </w:rPr>
        <w:t xml:space="preserve"> of each mistake and closes the loop with targeted practice, teacher monitoring, and a full administrative control plane.</w:t>
      </w:r>
    </w:p>
    <w:p>
      <w:pPr>
        <w:pStyle w:val="Heading2"/>
        <w:spacing w:after="90" w:before="220"/>
      </w:pPr>
      <w:r>
        <w:rPr>
          <w:b/>
          <w:bCs/>
          <w:color w:val="1B2138"/>
          <w:sz w:val="25"/>
          <w:szCs w:val="25"/>
        </w:rPr>
        <w:t xml:space="preserve">1.2 What it does — the three experiences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Student: </w:t>
      </w:r>
      <w:r>
        <w:t xml:space="preserve">takes an adaptive test (no marks shown mid-test), receives a diagnostic report that names the root cause, then practises the exact gaps.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Teacher: </w:t>
      </w:r>
      <w:r>
        <w:t xml:space="preserve">monitors classrooms, cohorts, error patterns, and per-student mastery.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Admin / Content author: </w:t>
      </w:r>
      <w:r>
        <w:t xml:space="preserve">manages the question bank, curriculum, staff accounts, system health, and — via a bespoke Database manager — the entire database.</w:t>
      </w:r>
    </w:p>
    <w:tbl>
      <w:tblPr>
        <w:tblW w:type="dxa" w:w="9026"/>
        <w:tblBorders>
          <w:top w:val="single" w:color="D9DCEA" w:sz="4"/>
          <w:left w:val="single" w:color="D9DCEA" w:sz="4"/>
          <w:bottom w:val="single" w:color="D9DCEA" w:sz="4"/>
          <w:right w:val="single" w:color="D9DCEA" w:sz="4"/>
          <w:insideH w:val="single" w:color="D9DCEA" w:sz="4"/>
          <w:insideV w:val="single" w:color="D9DCEA" w:sz="4"/>
        </w:tblBorders>
      </w:tblPr>
      <w:tblGrid>
        <w:gridCol w:w="9026"/>
      </w:tblGrid>
      <w:tr>
        <w:tc>
          <w:tcPr>
            <w:tcW w:type="dxa" w:w="9026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600700" cy="3505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0700" cy="350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40"/>
        <w:jc w:val="center"/>
      </w:pPr>
      <w:r>
        <w:rPr>
          <w:i/>
          <w:iCs/>
          <w:color w:val="5A6178"/>
          <w:sz w:val="18"/>
          <w:szCs w:val="18"/>
        </w:rPr>
        <w:t xml:space="preserve">Figure 1 — The student landing page (/), with the assessment start card and class 5–10 selector.</w:t>
      </w:r>
    </w:p>
    <w:p>
      <w:pPr>
        <w:pStyle w:val="Heading2"/>
        <w:spacing w:after="90" w:before="220"/>
      </w:pPr>
      <w:r>
        <w:rPr>
          <w:b/>
          <w:bCs/>
          <w:color w:val="1B2138"/>
          <w:sz w:val="25"/>
          <w:szCs w:val="25"/>
        </w:rPr>
        <w:t xml:space="preserve">1.3 The tech stack (and why each piece)</w:t>
      </w:r>
    </w:p>
    <w:tbl>
      <w:tblPr>
        <w:tblW w:type="dxa" w:w="9026"/>
        <w:tblBorders>
          <w:top w:val="single" w:color="E2E5F0" w:sz="2"/>
          <w:left w:val="single" w:color="E2E5F0" w:sz="2"/>
          <w:bottom w:val="single" w:color="E2E5F0" w:sz="2"/>
          <w:right w:val="single" w:color="E2E5F0" w:sz="2"/>
          <w:insideH w:val="single" w:color="E2E5F0" w:sz="2"/>
          <w:insideV w:val="single" w:color="E2E5F0" w:sz="2"/>
        </w:tblBorders>
      </w:tblPr>
      <w:tblGrid>
        <w:gridCol w:w="1500"/>
        <w:gridCol w:w="2400"/>
        <w:gridCol w:w="5126"/>
      </w:tblGrid>
      <w:tr>
        <w:trPr>
          <w:tblHeader/>
        </w:trPr>
        <w:tc>
          <w:tcPr>
            <w:tcW w:type="dxa" w:w="1500"/>
            <w:shd w:fill="4F46E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400"/>
            <w:shd w:fill="4F46E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Choice</w:t>
            </w:r>
          </w:p>
        </w:tc>
        <w:tc>
          <w:tcPr>
            <w:tcW w:type="dxa" w:w="5126"/>
            <w:shd w:fill="4F46E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Why this choice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color w:val="1B2138"/>
                <w:sz w:val="19"/>
                <w:szCs w:val="19"/>
              </w:rPr>
              <w:t xml:space="preserve">Framework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color w:val="1B2138"/>
                <w:sz w:val="19"/>
                <w:szCs w:val="19"/>
              </w:rPr>
              <w:t xml:space="preserve">Next.js 16 (App Router, RSC)</w:t>
            </w:r>
          </w:p>
        </w:tc>
        <w:tc>
          <w:tcPr>
            <w:tcW w:type="dxa" w:w="51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color w:val="1B2138"/>
                <w:sz w:val="19"/>
                <w:szCs w:val="19"/>
              </w:rPr>
              <w:t xml:space="preserve">One codebase for UI + API; server components keep data-fetching server-side; file routing maps to the product surfaces.</w:t>
            </w:r>
          </w:p>
        </w:tc>
      </w:tr>
      <w:tr>
        <w:tc>
          <w:tcPr>
            <w:tcW w:type="dxa" w:w="1500"/>
            <w:shd w:fill="F7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color w:val="1B2138"/>
                <w:sz w:val="19"/>
                <w:szCs w:val="19"/>
              </w:rPr>
              <w:t xml:space="preserve">Language</w:t>
            </w:r>
          </w:p>
        </w:tc>
        <w:tc>
          <w:tcPr>
            <w:tcW w:type="dxa" w:w="2400"/>
            <w:shd w:fill="F7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color w:val="1B2138"/>
                <w:sz w:val="19"/>
                <w:szCs w:val="19"/>
              </w:rPr>
              <w:t xml:space="preserve">TypeScript 5.9</w:t>
            </w:r>
          </w:p>
        </w:tc>
        <w:tc>
          <w:tcPr>
            <w:tcW w:type="dxa" w:w="5126"/>
            <w:shd w:fill="F7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color w:val="1B2138"/>
                <w:sz w:val="19"/>
                <w:szCs w:val="19"/>
              </w:rPr>
              <w:t xml:space="preserve">The engine has intricate state; static types make the orchestrator safe to refactor.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color w:val="1B2138"/>
                <w:sz w:val="19"/>
                <w:szCs w:val="19"/>
              </w:rPr>
              <w:t xml:space="preserve">Styling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color w:val="1B2138"/>
                <w:sz w:val="19"/>
                <w:szCs w:val="19"/>
              </w:rPr>
              <w:t xml:space="preserve">Tailwind CSS 4</w:t>
            </w:r>
          </w:p>
        </w:tc>
        <w:tc>
          <w:tcPr>
            <w:tcW w:type="dxa" w:w="51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color w:val="1B2138"/>
                <w:sz w:val="19"/>
                <w:szCs w:val="19"/>
              </w:rPr>
              <w:t xml:space="preserve">Utility-first keeps ~30 pages consistent without CSS sprawl.</w:t>
            </w:r>
          </w:p>
        </w:tc>
      </w:tr>
      <w:tr>
        <w:tc>
          <w:tcPr>
            <w:tcW w:type="dxa" w:w="1500"/>
            <w:shd w:fill="F7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color w:val="1B2138"/>
                <w:sz w:val="19"/>
                <w:szCs w:val="19"/>
              </w:rPr>
              <w:t xml:space="preserve">Charts / icons</w:t>
            </w:r>
          </w:p>
        </w:tc>
        <w:tc>
          <w:tcPr>
            <w:tcW w:type="dxa" w:w="2400"/>
            <w:shd w:fill="F7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color w:val="1B2138"/>
                <w:sz w:val="19"/>
                <w:szCs w:val="19"/>
              </w:rPr>
              <w:t xml:space="preserve">Recharts + lucide-react</w:t>
            </w:r>
          </w:p>
        </w:tc>
        <w:tc>
          <w:tcPr>
            <w:tcW w:type="dxa" w:w="5126"/>
            <w:shd w:fill="F7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color w:val="1B2138"/>
                <w:sz w:val="19"/>
                <w:szCs w:val="19"/>
              </w:rPr>
              <w:t xml:space="preserve">Declarative React charts; one consistent icon set.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color w:val="1B2138"/>
                <w:sz w:val="19"/>
                <w:szCs w:val="19"/>
              </w:rPr>
              <w:t xml:space="preserve">ORM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color w:val="1B2138"/>
                <w:sz w:val="19"/>
                <w:szCs w:val="19"/>
              </w:rPr>
              <w:t xml:space="preserve">Prisma 6</w:t>
            </w:r>
          </w:p>
        </w:tc>
        <w:tc>
          <w:tcPr>
            <w:tcW w:type="dxa" w:w="51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color w:val="1B2138"/>
                <w:sz w:val="19"/>
                <w:szCs w:val="19"/>
              </w:rPr>
              <w:t xml:space="preserve">Typed schema → typed client; declarative migrations.</w:t>
            </w:r>
          </w:p>
        </w:tc>
      </w:tr>
      <w:tr>
        <w:tc>
          <w:tcPr>
            <w:tcW w:type="dxa" w:w="1500"/>
            <w:shd w:fill="F7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color w:val="1B2138"/>
                <w:sz w:val="19"/>
                <w:szCs w:val="19"/>
              </w:rPr>
              <w:t xml:space="preserve">Database</w:t>
            </w:r>
          </w:p>
        </w:tc>
        <w:tc>
          <w:tcPr>
            <w:tcW w:type="dxa" w:w="2400"/>
            <w:shd w:fill="F7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color w:val="1B2138"/>
                <w:sz w:val="19"/>
                <w:szCs w:val="19"/>
              </w:rPr>
              <w:t xml:space="preserve">Cloudflare D1 (SQLite)</w:t>
            </w:r>
          </w:p>
        </w:tc>
        <w:tc>
          <w:tcPr>
            <w:tcW w:type="dxa" w:w="5126"/>
            <w:shd w:fill="F7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color w:val="1B2138"/>
                <w:sz w:val="19"/>
                <w:szCs w:val="19"/>
              </w:rPr>
              <w:t xml:space="preserve">Serverless SQLite at the edge, free tier, co-located with the Worker.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color w:val="1B2138"/>
                <w:sz w:val="19"/>
                <w:szCs w:val="19"/>
              </w:rPr>
              <w:t xml:space="preserve">Runtime / host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color w:val="1B2138"/>
                <w:sz w:val="19"/>
                <w:szCs w:val="19"/>
              </w:rPr>
              <w:t xml:space="preserve">Cloudflare Workers (vinext + wrangler)</w:t>
            </w:r>
          </w:p>
        </w:tc>
        <w:tc>
          <w:tcPr>
            <w:tcW w:type="dxa" w:w="51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color w:val="1B2138"/>
                <w:sz w:val="19"/>
                <w:szCs w:val="19"/>
              </w:rPr>
              <w:t xml:space="preserve">Global edge execution, generous free tier, native D1 binding (env.DB).</w:t>
            </w:r>
          </w:p>
        </w:tc>
      </w:tr>
      <w:tr>
        <w:tc>
          <w:tcPr>
            <w:tcW w:type="dxa" w:w="1500"/>
            <w:shd w:fill="F7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color w:val="1B2138"/>
                <w:sz w:val="19"/>
                <w:szCs w:val="19"/>
              </w:rPr>
              <w:t xml:space="preserve">Auth</w:t>
            </w:r>
          </w:p>
        </w:tc>
        <w:tc>
          <w:tcPr>
            <w:tcW w:type="dxa" w:w="2400"/>
            <w:shd w:fill="F7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color w:val="1B2138"/>
                <w:sz w:val="19"/>
                <w:szCs w:val="19"/>
              </w:rPr>
              <w:t xml:space="preserve">jose (JWT) + bcryptjs</w:t>
            </w:r>
          </w:p>
        </w:tc>
        <w:tc>
          <w:tcPr>
            <w:tcW w:type="dxa" w:w="5126"/>
            <w:shd w:fill="F7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color w:val="1B2138"/>
                <w:sz w:val="19"/>
                <w:szCs w:val="19"/>
              </w:rPr>
              <w:t xml:space="preserve">jose is Workers-safe (Web Crypto); bcryptjs avoids native bindings unavailable on Workers.</w:t>
            </w:r>
          </w:p>
        </w:tc>
      </w:tr>
    </w:tbl>
    <w:p>
      <w:pPr>
        <w:spacing w:after="60"/>
      </w:pPr>
      <w:r>
        <w:rPr>
          <w:sz w:val="8"/>
          <w:szCs w:val="8"/>
        </w:rP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EEF0F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line="264"/>
            </w:pPr>
            <w:r>
              <w:rPr>
                <w:b/>
                <w:bCs/>
                <w:caps/>
                <w:color w:val="7C3AED"/>
                <w:sz w:val="18"/>
                <w:szCs w:val="18"/>
              </w:rPr>
              <w:t xml:space="preserve">Decision point  </w:t>
            </w:r>
            <w:r>
              <w:rPr>
                <w:color w:val="1B2138"/>
                <w:sz w:val="20"/>
                <w:szCs w:val="20"/>
              </w:rPr>
              <w:t xml:space="preserve">Why Cloudflare Workers over a Node host (Vercel/Render)? The app is read-heavy at the edge and the data is small and relational. D1 + Workers gives edge latency, a genuinely free production tier, and a single deploy artifact. The trade-off — no long-lived connections, a SQLite feature subset, and cloudflare:workers-only bindings — shaped several decisions in Phases 1 and 9.</w:t>
            </w:r>
          </w:p>
        </w:tc>
      </w:tr>
    </w:tbl>
    <w:p>
      <w:pPr>
        <w:pStyle w:val="Heading2"/>
        <w:spacing w:after="90" w:before="220"/>
      </w:pPr>
      <w:r>
        <w:rPr>
          <w:b/>
          <w:bCs/>
          <w:color w:val="1B2138"/>
          <w:sz w:val="25"/>
          <w:szCs w:val="25"/>
        </w:rPr>
        <w:t xml:space="preserve">1.4 My role</w:t>
      </w:r>
    </w:p>
    <w:p>
      <w:pPr>
        <w:spacing w:after="120" w:line="276"/>
      </w:pPr>
      <w:r>
        <w:rPr>
          <w:b/>
          <w:bCs/>
          <w:color w:val="1B2138"/>
          <w:sz w:val="21"/>
          <w:szCs w:val="21"/>
        </w:rPr>
        <w:t xml:space="preserve">Sole developer &amp; system architect.</w:t>
      </w:r>
      <w:r>
        <w:rPr>
          <w:color w:val="1B2138"/>
          <w:sz w:val="21"/>
          <w:szCs w:val="21"/>
        </w:rPr>
        <w:t xml:space="preserve"> End-to-end ownership: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B2138"/>
          <w:sz w:val="21"/>
          <w:szCs w:val="21"/>
        </w:rPr>
        <w:t xml:space="preserve">Designed the relational schema and the D1 migration pipeline.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B2138"/>
          <w:sz w:val="21"/>
          <w:szCs w:val="21"/>
        </w:rPr>
        <w:t xml:space="preserve">Implemented the multi-algorithm adaptive engine (IRT, BKT, CDM, DKT-lite, CAT selection, twin-probe) from the psychometric spec.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B2138"/>
          <w:sz w:val="21"/>
          <w:szCs w:val="21"/>
        </w:rPr>
        <w:t xml:space="preserve">Built all three product surfaces (student, teacher, admin) and their APIs.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B2138"/>
          <w:sz w:val="21"/>
          <w:szCs w:val="21"/>
        </w:rPr>
        <w:t xml:space="preserve">Authored the parametric question-bank generator and its QA gate.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B2138"/>
          <w:sz w:val="21"/>
          <w:szCs w:val="21"/>
        </w:rPr>
        <w:t xml:space="preserve">Ran the full production deployment on Cloudflare, including DNS/subdomain and secrets.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B2138"/>
          <w:sz w:val="21"/>
          <w:szCs w:val="21"/>
        </w:rPr>
        <w:t xml:space="preserve">Profiled and optimized latency across the app.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B2138"/>
          <w:sz w:val="21"/>
          <w:szCs w:val="21"/>
        </w:rPr>
        <w:t xml:space="preserve">Wrote the end-to-end test harness.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4F46E5"/>
          <w:sz w:val="30"/>
          <w:szCs w:val="30"/>
        </w:rPr>
        <w:t xml:space="preserve">Phase 0 — Environment &amp; Project Setup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EEF0F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line="264"/>
            </w:pPr>
            <w:r>
              <w:rPr>
                <w:b/>
                <w:bCs/>
                <w:caps/>
                <w:color w:val="7C3AED"/>
                <w:sz w:val="18"/>
                <w:szCs w:val="18"/>
              </w:rPr>
              <w:t xml:space="preserve">Reasoning  </w:t>
            </w:r>
            <w:r>
              <w:rPr>
                <w:color w:val="1B2138"/>
                <w:sz w:val="20"/>
                <w:szCs w:val="20"/>
              </w:rPr>
              <w:t xml:space="preserve">The runtime constraints of Workers must be respected from the first commit, or code fails only at deploy time.</w:t>
            </w:r>
          </w:p>
        </w:tc>
      </w:tr>
    </w:tbl>
    <w:p>
      <w:pPr>
        <w:spacing w:after="60"/>
      </w:pPr>
      <w:r>
        <w:rPr>
          <w:sz w:val="8"/>
          <w:szCs w:val="8"/>
        </w:rPr>
        <w:t xml:space="preserve"/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0.1  </w:t>
      </w:r>
      <w:r>
        <w:t xml:space="preserve">Scaffold the Next.js 16 app with the App Router and TypeScript.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0.2  </w:t>
      </w:r>
      <w:r>
        <w:t xml:space="preserve">Add the Cloudflare toolchain: </w:t>
      </w:r>
      <w:r>
        <w:rPr>
          <w:rFonts w:ascii="Consolas" w:cs="Consolas" w:eastAsia="Consolas" w:hAnsi="Consolas"/>
          <w:color w:val="334155"/>
          <w:sz w:val="19"/>
          <w:szCs w:val="19"/>
        </w:rPr>
        <w:t xml:space="preserve">vinext</w:t>
      </w:r>
      <w:r>
        <w:t xml:space="preserve"> (compiles the Next.js app into a Worker bundle) and </w:t>
      </w:r>
      <w:r>
        <w:rPr>
          <w:rFonts w:ascii="Consolas" w:cs="Consolas" w:eastAsia="Consolas" w:hAnsi="Consolas"/>
          <w:color w:val="334155"/>
          <w:sz w:val="19"/>
          <w:szCs w:val="19"/>
        </w:rPr>
        <w:t xml:space="preserve">wrangler</w:t>
      </w:r>
      <w:r>
        <w:t xml:space="preserve"> (the Cloudflare CLI: dev server, D1, deploy).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0.3  </w:t>
      </w:r>
      <w:r>
        <w:t xml:space="preserve">Configure the </w:t>
      </w:r>
      <w:r>
        <w:rPr>
          <w:rFonts w:ascii="Consolas" w:cs="Consolas" w:eastAsia="Consolas" w:hAnsi="Consolas"/>
          <w:color w:val="334155"/>
          <w:sz w:val="19"/>
          <w:szCs w:val="19"/>
        </w:rPr>
        <w:t xml:space="preserve">package.json</w:t>
      </w:r>
      <w:r>
        <w:t xml:space="preserve"> scripts — the operational surface of the project:</w:t>
      </w:r>
    </w:p>
    <w:p>
      <w:pPr>
        <w:pStyle w:val="ListParagraph"/>
        <w:numPr>
          <w:ilvl w:val="1"/>
          <w:numId w:val="2"/>
        </w:numPr>
        <w:spacing w:after="60" w:line="264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dev → vinext dev (local Worker + Miniflare D1)</w:t>
      </w:r>
    </w:p>
    <w:p>
      <w:pPr>
        <w:pStyle w:val="ListParagraph"/>
        <w:numPr>
          <w:ilvl w:val="1"/>
          <w:numId w:val="2"/>
        </w:numPr>
        <w:spacing w:after="60" w:line="264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build → vinext build (produces dist/server/)</w:t>
      </w:r>
    </w:p>
    <w:p>
      <w:pPr>
        <w:pStyle w:val="ListParagraph"/>
        <w:numPr>
          <w:ilvl w:val="1"/>
          <w:numId w:val="2"/>
        </w:numPr>
        <w:spacing w:after="60" w:line="264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db:push → prisma db push</w:t>
      </w:r>
    </w:p>
    <w:p>
      <w:pPr>
        <w:pStyle w:val="ListParagraph"/>
        <w:numPr>
          <w:ilvl w:val="1"/>
          <w:numId w:val="2"/>
        </w:numPr>
        <w:spacing w:after="60" w:line="264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generate:workbook / verify:workbook / seed → the content pipeline</w:t>
      </w:r>
    </w:p>
    <w:p>
      <w:pPr>
        <w:pStyle w:val="ListParagraph"/>
        <w:numPr>
          <w:ilvl w:val="1"/>
          <w:numId w:val="2"/>
        </w:numPr>
        <w:spacing w:after="60" w:line="264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e2e → tsx scripts/e2e.ts</w:t>
      </w:r>
    </w:p>
    <w:p>
      <w:pPr>
        <w:pStyle w:val="ListParagraph"/>
        <w:numPr>
          <w:ilvl w:val="1"/>
          <w:numId w:val="2"/>
        </w:numPr>
        <w:spacing w:after="60" w:line="264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setup → chains push → generate → verify → seed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0.4  </w:t>
      </w:r>
      <w:r>
        <w:t xml:space="preserve">Establish </w:t>
      </w:r>
      <w:r>
        <w:rPr>
          <w:rFonts w:ascii="Consolas" w:cs="Consolas" w:eastAsia="Consolas" w:hAnsi="Consolas"/>
          <w:color w:val="334155"/>
          <w:sz w:val="19"/>
          <w:szCs w:val="19"/>
        </w:rPr>
        <w:t xml:space="preserve">src/lib/db.ts</w:t>
      </w:r>
      <w:r>
        <w:t xml:space="preserve"> — the single D1 access point.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FF4E5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line="264"/>
            </w:pPr>
            <w:r>
              <w:rPr>
                <w:b/>
                <w:bCs/>
                <w:caps/>
                <w:color w:val="B45309"/>
                <w:sz w:val="18"/>
                <w:szCs w:val="18"/>
              </w:rPr>
              <w:t xml:space="preserve">⚠ Pitfall  </w:t>
            </w:r>
            <w:r>
              <w:rPr>
                <w:color w:val="1B2138"/>
                <w:sz w:val="20"/>
                <w:szCs w:val="20"/>
              </w:rPr>
              <w:t xml:space="preserve">import { env } from “cloudflare:workers” is only resolvable inside the Worker runtime, and the binding is injected after module load — a naively-constructed Prisma client throws at import time. Fix: a lazy Proxy that constructs the client on first property access, inside request context. This is why no client component may ever transitively import a server module (see Phase 6).</w:t>
            </w:r>
          </w:p>
        </w:tc>
      </w:tr>
    </w:tbl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E9FBF0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line="264"/>
            </w:pPr>
            <w:r>
              <w:rPr>
                <w:b/>
                <w:bCs/>
                <w:caps/>
                <w:color w:val="047857"/>
                <w:sz w:val="18"/>
                <w:szCs w:val="18"/>
              </w:rPr>
              <w:t xml:space="preserve">📷 Capture — Repo file tree  </w:t>
            </w:r>
            <w:r>
              <w:rPr>
                <w:color w:val="1B2138"/>
                <w:sz w:val="20"/>
                <w:szCs w:val="20"/>
              </w:rPr>
              <w:t xml:space="preserve">VS Code explorer showing src/app, src/lib/engine, prisma/schema.prisma, scripts/ — the project structure in one frame.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4F46E5"/>
          <w:sz w:val="30"/>
          <w:szCs w:val="30"/>
        </w:rPr>
        <w:t xml:space="preserve">Phase 1 — Data Model &amp; the D1 Migration Pipeline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EEF0F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line="264"/>
            </w:pPr>
            <w:r>
              <w:rPr>
                <w:b/>
                <w:bCs/>
                <w:caps/>
                <w:color w:val="7C3AED"/>
                <w:sz w:val="18"/>
                <w:szCs w:val="18"/>
              </w:rPr>
              <w:t xml:space="preserve">Reasoning  </w:t>
            </w:r>
            <w:r>
              <w:rPr>
                <w:color w:val="1B2138"/>
                <w:sz w:val="20"/>
                <w:szCs w:val="20"/>
              </w:rPr>
              <w:t xml:space="preserve">D1 is SQLite-compatible but not a standard Prisma target — prisma migrate can’t drive it directly. A repeatable, three-surface pipeline keeps schema, local dev DB, and remote D1 from drifting.</w:t>
            </w:r>
          </w:p>
        </w:tc>
      </w:tr>
    </w:tbl>
    <w:p>
      <w:pPr>
        <w:spacing w:after="60"/>
      </w:pPr>
      <w:r>
        <w:rPr>
          <w:sz w:val="8"/>
          <w:szCs w:val="8"/>
        </w:rPr>
        <w:t xml:space="preserve"/>
      </w:r>
    </w:p>
    <w:p>
      <w:pPr>
        <w:pStyle w:val="Heading2"/>
        <w:spacing w:after="90" w:before="220"/>
      </w:pPr>
      <w:r>
        <w:rPr>
          <w:b/>
          <w:bCs/>
          <w:color w:val="1B2138"/>
          <w:sz w:val="25"/>
          <w:szCs w:val="25"/>
        </w:rPr>
        <w:t xml:space="preserve">1.1 The schema (prisma/schema.prisma)</w:t>
      </w:r>
    </w:p>
    <w:p>
      <w:pPr>
        <w:spacing w:after="120" w:line="276"/>
      </w:pPr>
      <w:r>
        <w:rPr>
          <w:color w:val="1B2138"/>
          <w:sz w:val="21"/>
          <w:szCs w:val="21"/>
        </w:rPr>
        <w:t xml:space="preserve">20 models, grouped as Curriculum (Skill, KnowledgeGraphEdge, Question, QMatrixEntry, AnswerTrap, QuestionDimension, Subject, Topic, Textbook), Learners &amp; runtime (Student, Classroom, AssessmentSession, Response, BktState, DimensionScore, TraversalEvent, ReviewFlag), and Ops (Setting, AdminUser, AdminAuditLog).</w:t>
      </w:r>
    </w:p>
    <w:p>
      <w:pPr>
        <w:spacing w:after="120" w:line="276"/>
      </w:pPr>
      <w:r>
        <w:t xml:space="preserve">Every hot query path is indexed deliberately: </w:t>
      </w:r>
      <w:r>
        <w:rPr>
          <w:rFonts w:ascii="Consolas" w:cs="Consolas" w:eastAsia="Consolas" w:hAnsi="Consolas"/>
          <w:color w:val="334155"/>
          <w:sz w:val="19"/>
          <w:szCs w:val="19"/>
        </w:rPr>
        <w:t xml:space="preserve">Question</w:t>
      </w:r>
      <w:r>
        <w:t xml:space="preserve"> carries </w:t>
      </w:r>
      <w:r>
        <w:rPr>
          <w:rFonts w:ascii="Consolas" w:cs="Consolas" w:eastAsia="Consolas" w:hAnsi="Consolas"/>
          <w:color w:val="334155"/>
          <w:sz w:val="19"/>
          <w:szCs w:val="19"/>
        </w:rPr>
        <w:t xml:space="preserve">@@index([primarySkillId, gradeLevel, difficultyBand])</w:t>
      </w:r>
      <w:r>
        <w:t xml:space="preserve"> and </w:t>
      </w:r>
      <w:r>
        <w:rPr>
          <w:rFonts w:ascii="Consolas" w:cs="Consolas" w:eastAsia="Consolas" w:hAnsi="Consolas"/>
          <w:color w:val="334155"/>
          <w:sz w:val="19"/>
          <w:szCs w:val="19"/>
        </w:rPr>
        <w:t xml:space="preserve">@@index([gradeLevel, difficultyBand])</w:t>
      </w:r>
      <w:r>
        <w:t xml:space="preserve">; </w:t>
      </w:r>
      <w:r>
        <w:rPr>
          <w:rFonts w:ascii="Consolas" w:cs="Consolas" w:eastAsia="Consolas" w:hAnsi="Consolas"/>
          <w:color w:val="334155"/>
          <w:sz w:val="19"/>
          <w:szCs w:val="19"/>
        </w:rPr>
        <w:t xml:space="preserve">Response</w:t>
      </w:r>
      <w:r>
        <w:t xml:space="preserve"> carries </w:t>
      </w:r>
      <w:r>
        <w:rPr>
          <w:rFonts w:ascii="Consolas" w:cs="Consolas" w:eastAsia="Consolas" w:hAnsi="Consolas"/>
          <w:color w:val="334155"/>
          <w:sz w:val="19"/>
          <w:szCs w:val="19"/>
        </w:rPr>
        <w:t xml:space="preserve">@@index([sessionId])</w:t>
      </w:r>
      <w:r>
        <w:t xml:space="preserve">. Without composite indexes, D1 full-scans 900+ rows per lookup.</w:t>
      </w:r>
    </w:p>
    <w:p>
      <w:pPr>
        <w:pStyle w:val="Heading2"/>
        <w:spacing w:after="90" w:before="220"/>
      </w:pPr>
      <w:r>
        <w:rPr>
          <w:b/>
          <w:bCs/>
          <w:color w:val="1B2138"/>
          <w:sz w:val="25"/>
          <w:szCs w:val="25"/>
        </w:rPr>
        <w:t xml:space="preserve">1.2 The migration “dance” — the actual sub-steps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Edit prisma/schema.prisma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npx prisma db push</w:t>
      </w:r>
      <w:r>
        <w:t xml:space="preserve"> — regenerates the typed client and pushes to the dev database.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Apply the same DDL to the local Miniflare D1 sqlite at </w:t>
      </w:r>
      <w:r>
        <w:rPr>
          <w:rFonts w:ascii="Consolas" w:cs="Consolas" w:eastAsia="Consolas" w:hAnsi="Consolas"/>
          <w:color w:val="334155"/>
          <w:sz w:val="19"/>
          <w:szCs w:val="19"/>
        </w:rPr>
        <w:t xml:space="preserve">.wrangler/state/v3/d1/miniflare-D1DatabaseObject/*.sqlite</w:t>
      </w:r>
      <w:r>
        <w:t xml:space="preserve"> via a node:sqlite script.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Update </w:t>
      </w:r>
      <w:r>
        <w:rPr>
          <w:rFonts w:ascii="Consolas" w:cs="Consolas" w:eastAsia="Consolas" w:hAnsi="Consolas"/>
          <w:color w:val="334155"/>
          <w:sz w:val="19"/>
          <w:szCs w:val="19"/>
        </w:rPr>
        <w:t xml:space="preserve">scripts/export-d1-migration.py</w:t>
      </w:r>
      <w:r>
        <w:t xml:space="preserve"> — its SCHEMA_ORDER / SEED_ORDER arrays control table + seed order (FK-safe).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python scripts/export-d1-migration.py</w:t>
      </w:r>
      <w:r>
        <w:t xml:space="preserve"> — regenerates </w:t>
      </w:r>
      <w:r>
        <w:rPr>
          <w:rFonts w:ascii="Consolas" w:cs="Consolas" w:eastAsia="Consolas" w:hAnsi="Consolas"/>
          <w:color w:val="334155"/>
          <w:sz w:val="19"/>
          <w:szCs w:val="19"/>
        </w:rPr>
        <w:t xml:space="preserve">drizzle/0000_initial.sql</w:t>
      </w:r>
      <w:r>
        <w:t xml:space="preserve">, the single 6,680-statement file that recreates schema + seed on remote D1.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FF4E5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line="264"/>
            </w:pPr>
            <w:r>
              <w:rPr>
                <w:b/>
                <w:bCs/>
                <w:caps/>
                <w:color w:val="B45309"/>
                <w:sz w:val="18"/>
                <w:szCs w:val="18"/>
              </w:rPr>
              <w:t xml:space="preserve">⚠ Pitfall  </w:t>
            </w:r>
            <w:r>
              <w:rPr>
                <w:color w:val="1B2138"/>
                <w:sz w:val="20"/>
                <w:szCs w:val="20"/>
              </w:rPr>
              <w:t xml:space="preserve">Running raw SQL through node -e mangles double-quoted SQL identifiers into JS strings. Fix: all ad-hoc SQL runs via heredoc .mjs files with single-quoted SQL.</w:t>
            </w:r>
          </w:p>
        </w:tc>
      </w:tr>
    </w:tbl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E9FBF0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line="264"/>
            </w:pPr>
            <w:r>
              <w:rPr>
                <w:b/>
                <w:bCs/>
                <w:caps/>
                <w:color w:val="047857"/>
                <w:sz w:val="18"/>
                <w:szCs w:val="18"/>
              </w:rPr>
              <w:t xml:space="preserve">📷 Capture — prisma/schema.prisma  </w:t>
            </w:r>
            <w:r>
              <w:rPr>
                <w:color w:val="1B2138"/>
                <w:sz w:val="20"/>
                <w:szCs w:val="20"/>
              </w:rPr>
              <w:t xml:space="preserve">Two representative models (Question with its @@index lines, and AssessmentSession) — shows the indexing discipline and snake_case @map conventions.</w:t>
            </w:r>
          </w:p>
        </w:tc>
      </w:tr>
    </w:tbl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E9FBF0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line="264"/>
            </w:pPr>
            <w:r>
              <w:rPr>
                <w:b/>
                <w:bCs/>
                <w:caps/>
                <w:color w:val="047857"/>
                <w:sz w:val="18"/>
                <w:szCs w:val="18"/>
              </w:rPr>
              <w:t xml:space="preserve">🎥 Screen recording — The migration pipeline  </w:t>
            </w:r>
            <w:r>
              <w:rPr>
                <w:color w:val="1B2138"/>
                <w:sz w:val="20"/>
                <w:szCs w:val="20"/>
              </w:rPr>
              <w:t xml:space="preserve">Terminal running db:push → the sqlite-apply script → export-d1-migration.py, ending with git diff of the regenerated migration. ~40s.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4F46E5"/>
          <w:sz w:val="30"/>
          <w:szCs w:val="30"/>
        </w:rPr>
        <w:t xml:space="preserve">Phase 2 — The Adaptive Engine (Core Logic)</w:t>
      </w:r>
    </w:p>
    <w:p>
      <w:pPr>
        <w:spacing w:after="120" w:line="276"/>
      </w:pPr>
      <w:r>
        <w:rPr>
          <w:color w:val="1B2138"/>
          <w:sz w:val="21"/>
          <w:szCs w:val="21"/>
        </w:rPr>
        <w:t xml:space="preserve">This is the intellectual core. It lives in src/lib/engine/ as closed-form TypeScript — every model is analytic, so it runs inside a Worker in milliseconds with no ML runtime.</w:t>
      </w:r>
    </w:p>
    <w:p>
      <w:pPr>
        <w:pStyle w:val="Heading2"/>
        <w:spacing w:after="90" w:before="220"/>
      </w:pPr>
      <w:r>
        <w:rPr>
          <w:b/>
          <w:bCs/>
          <w:color w:val="1B2138"/>
          <w:sz w:val="25"/>
          <w:szCs w:val="25"/>
        </w:rPr>
        <w:t xml:space="preserve">2.1 The five algorithms and their exact parameters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CAT + 3PL IRT (irt.ts): </w:t>
      </w:r>
      <w:r>
        <w:t xml:space="preserve">ability θ is estimated by Newton–Raphson MLE over the full history, clamped to [−4, 4]. The next item is chosen by maximum Fisher information at the current θ — the candidate whose IRT difficulty b is closest to θ, tie-broken toward higher discrimination 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BKT (bkt.ts): </w:t>
      </w:r>
      <w:r>
        <w:t xml:space="preserve">exact posterior update per skill with P(L₀)=0.10, P(transit)=0.3, P(guess)=0.2, P(slip)=0.1; mastery ≥ 0.95, foundational-gap threshold ≤ 0.30.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CDM — answer traps: </w:t>
      </w:r>
      <w:r>
        <w:t xml:space="preserve">every wrong option is pre-mapped to a misconception and a remedial action (serve_same_level, go_down_grade, go_prereq_skill, flag_review).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DKT-lite: </w:t>
      </w:r>
      <w:r>
        <w:t xml:space="preserve">a correct/incorrect answer propagates a fraction of its mastery delta to dependent skills along the knowledge graph.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Twin-Question probe: </w:t>
      </w:r>
      <w:r>
        <w:t xml:space="preserve">a missed word problem triggers its equation-only twin; word-wrong + equation-right ⇒ a reading gap (not a maths gap), logged as Reading_Error.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EEF0F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line="264"/>
            </w:pPr>
            <w:r>
              <w:rPr>
                <w:b/>
                <w:bCs/>
                <w:caps/>
                <w:color w:val="7C3AED"/>
                <w:sz w:val="18"/>
                <w:szCs w:val="18"/>
              </w:rPr>
              <w:t xml:space="preserve">Decision point  </w:t>
            </w:r>
            <w:r>
              <w:rPr>
                <w:color w:val="1B2138"/>
                <w:sz w:val="20"/>
                <w:szCs w:val="20"/>
              </w:rPr>
              <w:t xml:space="preserve">Why closed-form instead of a hosted ML model? Workers have no GPU and a strict CPU budget. Analytic IRT/BKT are provably correct, deterministic (critical for the replayable report), and run in &lt;1 ms — which is also what makes the diagnostic auditable.</w:t>
            </w:r>
          </w:p>
        </w:tc>
      </w:tr>
    </w:tbl>
    <w:p>
      <w:pPr>
        <w:pStyle w:val="Heading2"/>
        <w:spacing w:after="90" w:before="220"/>
      </w:pPr>
      <w:r>
        <w:rPr>
          <w:b/>
          <w:bCs/>
          <w:color w:val="1B2138"/>
          <w:sz w:val="25"/>
          <w:szCs w:val="25"/>
        </w:rPr>
        <w:t xml:space="preserve">2.2 The master loop (orchestrator.ts → processResponse)</w:t>
      </w:r>
    </w:p>
    <w:p>
      <w:pPr>
        <w:spacing w:after="120" w:line="276"/>
      </w:pPr>
      <w:r>
        <w:rPr>
          <w:color w:val="1B2138"/>
          <w:sz w:val="21"/>
          <w:szCs w:val="21"/>
        </w:rPr>
        <w:t xml:space="preserve">On every submitted answer, in order: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1B2138"/>
          <w:sz w:val="21"/>
          <w:szCs w:val="21"/>
        </w:rPr>
        <w:t xml:space="preserve">Load the session and the answered question.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1B2138"/>
          <w:sz w:val="21"/>
          <w:szCs w:val="21"/>
        </w:rPr>
        <w:t xml:space="preserve">Grade it; determine whether this response is a twin probe.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1B2138"/>
          <w:sz w:val="21"/>
          <w:szCs w:val="21"/>
        </w:rPr>
        <w:t xml:space="preserve">CDM: if wrong, look up the AnswerTrap for the chosen option.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1B2138"/>
          <w:sz w:val="21"/>
          <w:szCs w:val="21"/>
        </w:rPr>
        <w:t xml:space="preserve">BKT: read prior mastery, apply bktUpdate, upsert the new BktState.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1B2138"/>
          <w:sz w:val="21"/>
          <w:szCs w:val="21"/>
        </w:rPr>
        <w:t xml:space="preserve">DKT-lite: propagate the mastery delta to child skills.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1B2138"/>
          <w:sz w:val="21"/>
          <w:szCs w:val="21"/>
        </w:rPr>
        <w:t xml:space="preserve">IRT: recompute θ over the full session history (prior responses + this one).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1B2138"/>
          <w:sz w:val="21"/>
          <w:szCs w:val="21"/>
        </w:rPr>
        <w:t xml:space="preserve">Update consecutive-correct / consecutive-failure counters.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1B2138"/>
          <w:sz w:val="21"/>
          <w:szCs w:val="21"/>
        </w:rPr>
        <w:t xml:space="preserve">Route the next question through the decision tree.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1B2138"/>
          <w:sz w:val="21"/>
          <w:szCs w:val="21"/>
        </w:rPr>
        <w:t xml:space="preserve">Persist the Response row (with full replay context) and the session counters.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1B2138"/>
          <w:sz w:val="21"/>
          <w:szCs w:val="21"/>
        </w:rPr>
        <w:t xml:space="preserve">Check three termination conditions: total timer, max_questions, all-grade-skills-mastered.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1B2138"/>
          <w:sz w:val="21"/>
          <w:szCs w:val="21"/>
        </w:rPr>
        <w:t xml:space="preserve">Serve the routed question (or end the session and compute dimension scores).</w:t>
      </w:r>
    </w:p>
    <w:p>
      <w:pPr>
        <w:pStyle w:val="Heading2"/>
        <w:spacing w:after="90" w:before="220"/>
      </w:pPr>
      <w:r>
        <w:rPr>
          <w:b/>
          <w:bCs/>
          <w:color w:val="1B2138"/>
          <w:sz w:val="25"/>
          <w:szCs w:val="25"/>
        </w:rPr>
        <w:t xml:space="preserve">2.3 The routing decision tree (the why of adaptivity)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Correct → </w:t>
      </w:r>
      <w:r>
        <w:t xml:space="preserve">mastery reached? advance topic. Lucky-guess suspected (low prior)? serve a confirmation. Streak ≥ 2? escalate difficulty, else advance. Otherwise escalate.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Wrong → </w:t>
      </w:r>
      <w:r>
        <w:t xml:space="preserve">careless-slip guard (high mastery + slip ⇒ retry, never regress); two easy-band failures ⇒ cross-grade traversal to a prerequisite; BKT foundational gap ⇒ traverse; else apply the trap’s remedial action; else reduce difficulty.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Word-problem miss → </w:t>
      </w:r>
      <w:r>
        <w:t xml:space="preserve">twin probe before any regression.</w:t>
      </w:r>
    </w:p>
    <w:p>
      <w:pPr>
        <w:pStyle w:val="Heading2"/>
        <w:spacing w:after="90" w:before="220"/>
      </w:pPr>
      <w:r>
        <w:rPr>
          <w:b/>
          <w:bCs/>
          <w:color w:val="1B2138"/>
          <w:sz w:val="25"/>
          <w:szCs w:val="25"/>
        </w:rPr>
        <w:t xml:space="preserve">2.4 Question retrieval fallback ladder (fetch-question.ts)</w:t>
      </w:r>
    </w:p>
    <w:p>
      <w:pPr>
        <w:spacing w:after="120" w:line="276"/>
      </w:pPr>
      <w:r>
        <w:rPr>
          <w:color w:val="1B2138"/>
          <w:sz w:val="21"/>
          <w:szCs w:val="21"/>
        </w:rPr>
        <w:t xml:space="preserve">Exact {skill, grade, difficulty} → nearest difficulty band → nearest grade (down first, remediation pulls downward) → any unseen item for the skill. Items seen in earlier sessions are soft-avoided (exposure control); items served this session are hard-excluded.</w:t>
      </w:r>
    </w:p>
    <w:tbl>
      <w:tblPr>
        <w:tblW w:type="dxa" w:w="9026"/>
        <w:tblBorders>
          <w:top w:val="single" w:color="D9DCEA" w:sz="4"/>
          <w:left w:val="single" w:color="D9DCEA" w:sz="4"/>
          <w:bottom w:val="single" w:color="D9DCEA" w:sz="4"/>
          <w:right w:val="single" w:color="D9DCEA" w:sz="4"/>
          <w:insideH w:val="single" w:color="D9DCEA" w:sz="4"/>
          <w:insideV w:val="single" w:color="D9DCEA" w:sz="4"/>
        </w:tblBorders>
      </w:tblPr>
      <w:tblGrid>
        <w:gridCol w:w="9026"/>
      </w:tblGrid>
      <w:tr>
        <w:tc>
          <w:tcPr>
            <w:tcW w:type="dxa" w:w="9026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600700" cy="51339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0700" cy="513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40"/>
        <w:jc w:val="center"/>
      </w:pPr>
      <w:r>
        <w:rPr>
          <w:i/>
          <w:iCs/>
          <w:color w:val="5A6178"/>
          <w:sz w:val="18"/>
          <w:szCs w:val="18"/>
        </w:rPr>
        <w:t xml:space="preserve">Figure 2 — Detailed analysis (/report/&lt;id&gt;/analysis): the θ ability journey, the adaptive-path grid (with twin-probe, lucky-guess and rushed markers), and time per question.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E9FBF0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line="264"/>
            </w:pPr>
            <w:r>
              <w:rPr>
                <w:b/>
                <w:bCs/>
                <w:caps/>
                <w:color w:val="047857"/>
                <w:sz w:val="18"/>
                <w:szCs w:val="18"/>
              </w:rPr>
              <w:t xml:space="preserve">🎥 Screen recording — The adaptive path  </w:t>
            </w:r>
            <w:r>
              <w:rPr>
                <w:color w:val="1B2138"/>
                <w:sz w:val="20"/>
                <w:szCs w:val="20"/>
              </w:rPr>
              <w:t xml:space="preserve">Pan the “Adaptive Path” grid while narrating one escalation (streak → harder) and one regression (fail streak → prerequisite, one grade down). The single best proof the engine is genuinely adaptive.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4F46E5"/>
          <w:sz w:val="30"/>
          <w:szCs w:val="30"/>
        </w:rPr>
        <w:t xml:space="preserve">Phase 3 — The Question Bank (Generation &amp; QA Gate)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EEF0F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line="264"/>
            </w:pPr>
            <w:r>
              <w:rPr>
                <w:b/>
                <w:bCs/>
                <w:caps/>
                <w:color w:val="7C3AED"/>
                <w:sz w:val="18"/>
                <w:szCs w:val="18"/>
              </w:rPr>
              <w:t xml:space="preserve">Reasoning  </w:t>
            </w:r>
            <w:r>
              <w:rPr>
                <w:color w:val="1B2138"/>
                <w:sz w:val="20"/>
                <w:szCs w:val="20"/>
              </w:rPr>
              <w:t xml:space="preserve">A credible diagnostic needs hundreds of calibrated, trap-annotated items. Hand-authoring is infeasible; a parametric generator with an automated quality gate was built instead.</w:t>
            </w:r>
          </w:p>
        </w:tc>
      </w:tr>
    </w:tbl>
    <w:p>
      <w:pPr>
        <w:spacing w:after="60"/>
      </w:pPr>
      <w:r>
        <w:rPr>
          <w:sz w:val="8"/>
          <w:szCs w:val="8"/>
        </w:rPr>
        <w:t xml:space="preserve"/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scripts/generate-workbook.ts</w:t>
      </w:r>
      <w:r>
        <w:t xml:space="preserve"> + </w:t>
      </w:r>
      <w:r>
        <w:rPr>
          <w:rFonts w:ascii="Consolas" w:cs="Consolas" w:eastAsia="Consolas" w:hAnsi="Consolas"/>
          <w:color w:val="334155"/>
          <w:sz w:val="19"/>
          <w:szCs w:val="19"/>
        </w:rPr>
        <w:t xml:space="preserve">scripts/workbook/builders.ts</w:t>
      </w:r>
      <w:r>
        <w:t xml:space="preserve"> — parametric templates emit questions per {skill, grade, band} with IRT parameters, distractors and traps; a PLAN controls counts per band, a retry budget guarantees coverage.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scripts/verify-workbook.ts</w:t>
      </w:r>
      <w:r>
        <w:t xml:space="preserve"> — the QA gate: rejects the workbook if any item lacks a correct option, traps, or valid IRT params.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scripts/seed-devdb.ts</w:t>
      </w:r>
      <w:r>
        <w:t xml:space="preserve"> + </w:t>
      </w:r>
      <w:r>
        <w:rPr>
          <w:rFonts w:ascii="Consolas" w:cs="Consolas" w:eastAsia="Consolas" w:hAnsi="Consolas"/>
          <w:color w:val="334155"/>
          <w:sz w:val="19"/>
          <w:szCs w:val="19"/>
        </w:rPr>
        <w:t xml:space="preserve">scripts/seed-curriculum.ts</w:t>
      </w:r>
      <w:r>
        <w:t xml:space="preserve"> — load the workbook, the NCERT curriculum, staff accounts, and settings.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Output: </w:t>
      </w:r>
      <w:r>
        <w:t xml:space="preserve">911 QA-passed items across the grade/skill/band matrix.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FF4E5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line="264"/>
            </w:pPr>
            <w:r>
              <w:rPr>
                <w:b/>
                <w:bCs/>
                <w:caps/>
                <w:color w:val="B45309"/>
                <w:sz w:val="18"/>
                <w:szCs w:val="18"/>
              </w:rPr>
              <w:t xml:space="preserve">⚠ Pitfall  </w:t>
            </w:r>
            <w:r>
              <w:rPr>
                <w:color w:val="1B2138"/>
                <w:sz w:val="20"/>
                <w:szCs w:val="20"/>
              </w:rPr>
              <w:t xml:space="preserve">Generation occasionally under-fills a sparse cell. Fix: the retry budget + the verify gate fail the build loudly rather than shipping thin coverage.</w:t>
            </w:r>
          </w:p>
        </w:tc>
      </w:tr>
    </w:tbl>
    <w:tbl>
      <w:tblPr>
        <w:tblW w:type="dxa" w:w="9026"/>
        <w:tblBorders>
          <w:top w:val="single" w:color="D9DCEA" w:sz="4"/>
          <w:left w:val="single" w:color="D9DCEA" w:sz="4"/>
          <w:bottom w:val="single" w:color="D9DCEA" w:sz="4"/>
          <w:right w:val="single" w:color="D9DCEA" w:sz="4"/>
          <w:insideH w:val="single" w:color="D9DCEA" w:sz="4"/>
          <w:insideV w:val="single" w:color="D9DCEA" w:sz="4"/>
        </w:tblBorders>
      </w:tblPr>
      <w:tblGrid>
        <w:gridCol w:w="9026"/>
      </w:tblGrid>
      <w:tr>
        <w:tc>
          <w:tcPr>
            <w:tcW w:type="dxa" w:w="9026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600700" cy="3695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0700" cy="3695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40"/>
        <w:jc w:val="center"/>
      </w:pPr>
      <w:r>
        <w:rPr>
          <w:i/>
          <w:iCs/>
          <w:color w:val="5A6178"/>
          <w:sz w:val="18"/>
          <w:szCs w:val="18"/>
        </w:rPr>
        <w:t xml:space="preserve">Figure 3 — The question bank (/admin/questions): 900+ items with grade/skill/difficulty filters, trap counts, and inline edit / Excel import.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4F46E5"/>
          <w:sz w:val="30"/>
          <w:szCs w:val="30"/>
        </w:rPr>
        <w:t xml:space="preserve">Phase 4 — Authentication &amp; RBAC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Single login endpoint </w:t>
      </w:r>
      <w:r>
        <w:rPr>
          <w:rFonts w:ascii="Consolas" w:cs="Consolas" w:eastAsia="Consolas" w:hAnsi="Consolas"/>
          <w:color w:val="334155"/>
          <w:sz w:val="19"/>
          <w:szCs w:val="19"/>
        </w:rPr>
        <w:t xml:space="preserve">POST /api/admin/auth/login</w:t>
      </w:r>
      <w:r>
        <w:t xml:space="preserve"> → verifies with bcrypt.compareSync → signs a jose JWT → sets an HttpOnly, Secure, SameSite=Lax cookie named zarban_admin.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Role hierarchy </w:t>
      </w:r>
      <w:r>
        <w:t xml:space="preserve">Admin &gt; Teacher &gt; Viewer (analytics rank) plus Editor (content). Guards requireRole(min) and requireContentRole() live in src/lib/auth.ts.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Audit </w:t>
      </w:r>
      <w:r>
        <w:t xml:space="preserve">every privileged action is written to AdminAuditLog via logAudit(session, action, target, detail).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FF4E5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line="264"/>
            </w:pPr>
            <w:r>
              <w:rPr>
                <w:b/>
                <w:bCs/>
                <w:caps/>
                <w:color w:val="B45309"/>
                <w:sz w:val="18"/>
                <w:szCs w:val="18"/>
              </w:rPr>
              <w:t xml:space="preserve">⚠ Pitfall  </w:t>
            </w:r>
            <w:r>
              <w:rPr>
                <w:color w:val="1B2138"/>
                <w:sz w:val="20"/>
                <w:szCs w:val="20"/>
              </w:rPr>
              <w:t xml:space="preserve">Next.js route files may only export HTTP handlers; exporting a helper constant from a route breaks the build. Fix: shared constants (e.g. VALID_ROLES) live in src/lib/auth.ts.</w:t>
            </w:r>
          </w:p>
        </w:tc>
      </w:tr>
    </w:tbl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EEF0F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line="264"/>
            </w:pPr>
            <w:r>
              <w:rPr>
                <w:b/>
                <w:bCs/>
                <w:caps/>
                <w:color w:val="7C3AED"/>
                <w:sz w:val="18"/>
                <w:szCs w:val="18"/>
              </w:rPr>
              <w:t xml:space="preserve">Security constraint  </w:t>
            </w:r>
            <w:r>
              <w:rPr>
                <w:color w:val="1B2138"/>
                <w:sz w:val="20"/>
                <w:szCs w:val="20"/>
              </w:rPr>
              <w:t xml:space="preserve">Credential entry, account creation, and payment are out of scope for automation by design — those are performed by a human.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4F46E5"/>
          <w:sz w:val="30"/>
          <w:szCs w:val="30"/>
        </w:rPr>
        <w:t xml:space="preserve">Phase 5 — The Student Experience</w:t>
      </w:r>
    </w:p>
    <w:p>
      <w:pPr>
        <w:pStyle w:val="Heading2"/>
        <w:spacing w:after="90" w:before="220"/>
      </w:pPr>
      <w:r>
        <w:rPr>
          <w:b/>
          <w:bCs/>
          <w:color w:val="1B2138"/>
          <w:sz w:val="25"/>
          <w:szCs w:val="25"/>
        </w:rPr>
        <w:t xml:space="preserve">5.1 Assessment runner (src/app/assessment/page.tsx)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B2138"/>
          <w:sz w:val="21"/>
          <w:szCs w:val="21"/>
        </w:rPr>
        <w:t xml:space="preserve">State persists to localStorage (zarban_assessment) so a refresh mid-test resumes.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B2138"/>
          <w:sz w:val="21"/>
          <w:szCs w:val="21"/>
        </w:rPr>
        <w:t xml:space="preserve">Selecting an option (click or key A–D) submits immediately — no submit button.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B2138"/>
          <w:sz w:val="21"/>
          <w:szCs w:val="21"/>
        </w:rPr>
        <w:t xml:space="preserve">One silent retry on a network blip so a student is never stranded.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B2138"/>
          <w:sz w:val="21"/>
          <w:szCs w:val="21"/>
        </w:rPr>
        <w:t xml:space="preserve">A stopwatch derives elapsed time from an absolute start timestamp (accurate across backgrounded tabs).</w:t>
      </w:r>
    </w:p>
    <w:p>
      <w:pPr>
        <w:pStyle w:val="Heading2"/>
        <w:spacing w:after="90" w:before="220"/>
      </w:pPr>
      <w:r>
        <w:rPr>
          <w:b/>
          <w:bCs/>
          <w:color w:val="1B2138"/>
          <w:sz w:val="25"/>
          <w:szCs w:val="25"/>
        </w:rPr>
        <w:t xml:space="preserve">5.2 The diagnostic report (src/lib/engine/report.ts)</w:t>
      </w:r>
    </w:p>
    <w:p>
      <w:pPr>
        <w:spacing w:after="120" w:line="276"/>
      </w:pPr>
      <w:r>
        <w:rPr>
          <w:color w:val="1B2138"/>
          <w:sz w:val="21"/>
          <w:szCs w:val="21"/>
        </w:rPr>
        <w:t xml:space="preserve">Aggregates a session into: grade-equivalent estimate, root-cause narrative, behaviour flags (likely lucky guesses = correct-but-&lt;3s on medium/hard; rushed answers), the five learning dimensions, skill mastery map, and per-question error analysis.</w:t>
      </w:r>
    </w:p>
    <w:tbl>
      <w:tblPr>
        <w:tblW w:type="dxa" w:w="9026"/>
        <w:tblBorders>
          <w:top w:val="single" w:color="D9DCEA" w:sz="4"/>
          <w:left w:val="single" w:color="D9DCEA" w:sz="4"/>
          <w:bottom w:val="single" w:color="D9DCEA" w:sz="4"/>
          <w:right w:val="single" w:color="D9DCEA" w:sz="4"/>
          <w:insideH w:val="single" w:color="D9DCEA" w:sz="4"/>
          <w:insideV w:val="single" w:color="D9DCEA" w:sz="4"/>
        </w:tblBorders>
      </w:tblPr>
      <w:tblGrid>
        <w:gridCol w:w="9026"/>
      </w:tblGrid>
      <w:tr>
        <w:tc>
          <w:tcPr>
            <w:tcW w:type="dxa" w:w="9026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600700" cy="51339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0700" cy="513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40"/>
        <w:jc w:val="center"/>
      </w:pPr>
      <w:r>
        <w:rPr>
          <w:i/>
          <w:iCs/>
          <w:color w:val="5A6178"/>
          <w:sz w:val="18"/>
          <w:szCs w:val="18"/>
        </w:rPr>
        <w:t xml:space="preserve">Figure 4 — The diagnostic report (/report/&lt;id&gt;): grade-level estimate and score gauge, the root-cause diagnosis, the lucky-guess / rushed behaviour card, the five learning dimensions, and the error-pattern breakdown.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4F46E5"/>
          <w:sz w:val="30"/>
          <w:szCs w:val="30"/>
        </w:rPr>
        <w:t xml:space="preserve">Phase 6 — Admin Console &amp; Content Studio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Shell </w:t>
      </w:r>
      <w:r>
        <w:t xml:space="preserve">(src/app/admin/layout.tsx): a grouped sidebar (Analytics / Administration / Content Studio) filtered per role by canSee(access, role); JWT verified via /api/admin/auth/me.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Dashboard </w:t>
      </w:r>
      <w:r>
        <w:t xml:space="preserve">(/admin): totals, top skill gaps, a role-aware quick-actions launchpad, average score by grade, and a class-level failure heatmap.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Surfaces </w:t>
      </w:r>
      <w:r>
        <w:t xml:space="preserve">Cohort Analytics, Students (+per-student drill-down), Classrooms (+teacher “Mine” scoping), Question Bank, Syllabus, User Access, System &amp; Audit.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Content Studio </w:t>
      </w:r>
      <w:r>
        <w:t xml:space="preserve">the interactive skills knowledge graph, Syllabus, Curriculum, Questions, Import/Export.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FF4E5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line="264"/>
            </w:pPr>
            <w:r>
              <w:rPr>
                <w:b/>
                <w:bCs/>
                <w:caps/>
                <w:color w:val="B45309"/>
                <w:sz w:val="18"/>
                <w:szCs w:val="18"/>
              </w:rPr>
              <w:t xml:space="preserve">⚠ Pitfall  </w:t>
            </w:r>
            <w:r>
              <w:rPr>
                <w:color w:val="1B2138"/>
                <w:sz w:val="20"/>
                <w:szCs w:val="20"/>
              </w:rPr>
              <w:t xml:space="preserve">A client component importing a module that transitively pulls in src/lib/db.ts (which imports cloudflare:workers) breaks the client build. Fix: client-safe constants were split out (e.g. SUBJECT_BLURB → src/lib/curriculum/subject-blurb.ts).</w:t>
            </w:r>
          </w:p>
        </w:tc>
      </w:tr>
    </w:tbl>
    <w:tbl>
      <w:tblPr>
        <w:tblW w:type="dxa" w:w="9026"/>
        <w:tblBorders>
          <w:top w:val="single" w:color="D9DCEA" w:sz="4"/>
          <w:left w:val="single" w:color="D9DCEA" w:sz="4"/>
          <w:bottom w:val="single" w:color="D9DCEA" w:sz="4"/>
          <w:right w:val="single" w:color="D9DCEA" w:sz="4"/>
          <w:insideH w:val="single" w:color="D9DCEA" w:sz="4"/>
          <w:insideV w:val="single" w:color="D9DCEA" w:sz="4"/>
        </w:tblBorders>
      </w:tblPr>
      <w:tblGrid>
        <w:gridCol w:w="9026"/>
      </w:tblGrid>
      <w:tr>
        <w:tc>
          <w:tcPr>
            <w:tcW w:type="dxa" w:w="9026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600700" cy="3695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0700" cy="3695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40"/>
        <w:jc w:val="center"/>
      </w:pPr>
      <w:r>
        <w:rPr>
          <w:i/>
          <w:iCs/>
          <w:color w:val="5A6178"/>
          <w:sz w:val="18"/>
          <w:szCs w:val="18"/>
        </w:rPr>
        <w:t xml:space="preserve">Figure 5 — The admin command center (/admin): stat tiles, “Top skill gaps,” the quick-actions launchpad, average score by grade, and the class-level skill-failure heatmap.</w:t>
      </w:r>
    </w:p>
    <w:tbl>
      <w:tblPr>
        <w:tblW w:type="dxa" w:w="9026"/>
        <w:tblBorders>
          <w:top w:val="single" w:color="D9DCEA" w:sz="4"/>
          <w:left w:val="single" w:color="D9DCEA" w:sz="4"/>
          <w:bottom w:val="single" w:color="D9DCEA" w:sz="4"/>
          <w:right w:val="single" w:color="D9DCEA" w:sz="4"/>
          <w:insideH w:val="single" w:color="D9DCEA" w:sz="4"/>
          <w:insideV w:val="single" w:color="D9DCEA" w:sz="4"/>
        </w:tblBorders>
      </w:tblPr>
      <w:tblGrid>
        <w:gridCol w:w="9026"/>
      </w:tblGrid>
      <w:tr>
        <w:tc>
          <w:tcPr>
            <w:tcW w:type="dxa" w:w="9026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600700" cy="3695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0700" cy="3695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40"/>
        <w:jc w:val="center"/>
      </w:pPr>
      <w:r>
        <w:rPr>
          <w:i/>
          <w:iCs/>
          <w:color w:val="5A6178"/>
          <w:sz w:val="18"/>
          <w:szCs w:val="18"/>
        </w:rPr>
        <w:t xml:space="preserve">Figure 6 — The interactive skills knowledge graph (/content/skills): every skill a node, colour-coded by domain, wired by the prerequisites the engine traverses.</w:t>
      </w:r>
    </w:p>
    <w:tbl>
      <w:tblPr>
        <w:tblW w:type="dxa" w:w="9026"/>
        <w:tblBorders>
          <w:top w:val="single" w:color="D9DCEA" w:sz="4"/>
          <w:left w:val="single" w:color="D9DCEA" w:sz="4"/>
          <w:bottom w:val="single" w:color="D9DCEA" w:sz="4"/>
          <w:right w:val="single" w:color="D9DCEA" w:sz="4"/>
          <w:insideH w:val="single" w:color="D9DCEA" w:sz="4"/>
          <w:insideV w:val="single" w:color="D9DCEA" w:sz="4"/>
        </w:tblBorders>
      </w:tblPr>
      <w:tblGrid>
        <w:gridCol w:w="9026"/>
      </w:tblGrid>
      <w:tr>
        <w:tc>
          <w:tcPr>
            <w:tcW w:type="dxa" w:w="9026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600700" cy="3695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0700" cy="3695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40"/>
        <w:jc w:val="center"/>
      </w:pPr>
      <w:r>
        <w:rPr>
          <w:i/>
          <w:iCs/>
          <w:color w:val="5A6178"/>
          <w:sz w:val="18"/>
          <w:szCs w:val="18"/>
        </w:rPr>
        <w:t xml:space="preserve">Figure 7 — Cohort analytics (/admin/analytics): grade-level performance trend, most common error types, and the prerequisite-gap tracker.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4F46E5"/>
          <w:sz w:val="30"/>
          <w:szCs w:val="30"/>
        </w:rPr>
        <w:t xml:space="preserve">Phase 7 — The Database Manager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EEF0F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line="264"/>
            </w:pPr>
            <w:r>
              <w:rPr>
                <w:b/>
                <w:bCs/>
                <w:caps/>
                <w:color w:val="7C3AED"/>
                <w:sz w:val="18"/>
                <w:szCs w:val="18"/>
              </w:rPr>
              <w:t xml:space="preserve">Reasoning  </w:t>
            </w:r>
            <w:r>
              <w:rPr>
                <w:color w:val="1B2138"/>
                <w:sz w:val="20"/>
                <w:szCs w:val="20"/>
              </w:rPr>
              <w:t xml:space="preserve">Admins asked to “see and manage the entire database.” Rather than hard-code a CRUD page per table, a generic, schema-introspecting manager was built (src/lib/admin/db-admin.ts + /api/admin/db + /admin/database).</w:t>
            </w:r>
          </w:p>
        </w:tc>
      </w:tr>
    </w:tbl>
    <w:p>
      <w:pPr>
        <w:spacing w:after="60"/>
      </w:pPr>
      <w:r>
        <w:rPr>
          <w:sz w:val="8"/>
          <w:szCs w:val="8"/>
        </w:rPr>
        <w:t xml:space="preserve"/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B2138"/>
          <w:sz w:val="21"/>
          <w:szCs w:val="21"/>
        </w:rPr>
        <w:t xml:space="preserve">List tables + live row counts (from sqlite_master + COUNT(*)).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B2138"/>
          <w:sz w:val="21"/>
          <w:szCs w:val="21"/>
        </w:rPr>
        <w:t xml:space="preserve">Per-table: paginated rows + full-text search (every column CAST(... AS TEXT) LIKE ?), inline edit and delete.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B2138"/>
          <w:sz w:val="21"/>
          <w:szCs w:val="21"/>
        </w:rPr>
        <w:t xml:space="preserve">Rows are addressed by SQLite’s implicit rowid, so edit/delete work uniformly even on composite-PK tables.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EEF0F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line="264"/>
            </w:pPr>
            <w:r>
              <w:rPr>
                <w:b/>
                <w:bCs/>
                <w:caps/>
                <w:color w:val="7C3AED"/>
                <w:sz w:val="18"/>
                <w:szCs w:val="18"/>
              </w:rPr>
              <w:t xml:space="preserve">Security — the critical part  </w:t>
            </w:r>
            <w:r>
              <w:rPr>
                <w:color w:val="1B2138"/>
                <w:sz w:val="20"/>
                <w:szCs w:val="20"/>
              </w:rPr>
              <w:t xml:space="preserve">Table and column identifiers are whitelist-validated against the live schema before touching SQL (an injected name like skills;DROP returns “Unknown table”); all values are bound as parameters, never interpolated; the whole area is Admin-only and every write is audit-logged.</w:t>
            </w:r>
          </w:p>
        </w:tc>
      </w:tr>
    </w:tbl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FF4E5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line="264"/>
            </w:pPr>
            <w:r>
              <w:rPr>
                <w:b/>
                <w:bCs/>
                <w:caps/>
                <w:color w:val="B45309"/>
                <w:sz w:val="18"/>
                <w:szCs w:val="18"/>
              </w:rPr>
              <w:t xml:space="preserve">⚠ Pitfall  </w:t>
            </w:r>
            <w:r>
              <w:rPr>
                <w:color w:val="1B2138"/>
                <w:sz w:val="20"/>
                <w:szCs w:val="20"/>
              </w:rPr>
              <w:t xml:space="preserve">An initial single-query optimization (UNION ALL over all tables) hit D1’s compound-SELECT term limit (SQLITE_ERROR: too many terms). Fix: reverted to concurrent per-table counts.</w:t>
            </w:r>
          </w:p>
        </w:tc>
      </w:tr>
    </w:tbl>
    <w:tbl>
      <w:tblPr>
        <w:tblW w:type="dxa" w:w="9026"/>
        <w:tblBorders>
          <w:top w:val="single" w:color="D9DCEA" w:sz="4"/>
          <w:left w:val="single" w:color="D9DCEA" w:sz="4"/>
          <w:bottom w:val="single" w:color="D9DCEA" w:sz="4"/>
          <w:right w:val="single" w:color="D9DCEA" w:sz="4"/>
          <w:insideH w:val="single" w:color="D9DCEA" w:sz="4"/>
          <w:insideV w:val="single" w:color="D9DCEA" w:sz="4"/>
        </w:tblBorders>
      </w:tblPr>
      <w:tblGrid>
        <w:gridCol w:w="9026"/>
      </w:tblGrid>
      <w:tr>
        <w:tc>
          <w:tcPr>
            <w:tcW w:type="dxa" w:w="9026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600700" cy="3695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0700" cy="3695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40"/>
        <w:jc w:val="center"/>
      </w:pPr>
      <w:r>
        <w:rPr>
          <w:i/>
          <w:iCs/>
          <w:color w:val="5A6178"/>
          <w:sz w:val="18"/>
          <w:szCs w:val="18"/>
        </w:rPr>
        <w:t xml:space="preserve">Figure 8 — The Database manager (/admin/database): all 20 tables with live row counts, the row grid with PK badges and edit/delete controls, and full-text search.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4F46E5"/>
          <w:sz w:val="30"/>
          <w:szCs w:val="30"/>
        </w:rPr>
        <w:t xml:space="preserve">Phase 8 — Deployment to Cloudflare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EEF0F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line="264"/>
            </w:pPr>
            <w:r>
              <w:rPr>
                <w:b/>
                <w:bCs/>
                <w:caps/>
                <w:color w:val="7C3AED"/>
                <w:sz w:val="18"/>
                <w:szCs w:val="18"/>
              </w:rPr>
              <w:t xml:space="preserve">Reasoning  </w:t>
            </w:r>
            <w:r>
              <w:rPr>
                <w:color w:val="1B2138"/>
                <w:sz w:val="20"/>
                <w:szCs w:val="20"/>
              </w:rPr>
              <w:t xml:space="preserve">Production runs on the same primitives as dev (cloudflare:workers, D1), so there is no host-specific rewrite. The deploy is a fixed, repeatable sequence.</w:t>
            </w:r>
          </w:p>
        </w:tc>
      </w:tr>
    </w:tbl>
    <w:p>
      <w:pPr>
        <w:spacing w:after="60"/>
      </w:pPr>
      <w:r>
        <w:rPr>
          <w:sz w:val="8"/>
          <w:szCs w:val="8"/>
        </w:rPr>
        <w:t xml:space="preserve"/>
      </w:r>
    </w:p>
    <w:p>
      <w:pPr>
        <w:pStyle w:val="Heading3"/>
        <w:spacing w:after="70" w:before="160"/>
      </w:pPr>
      <w:r>
        <w:rPr>
          <w:b/>
          <w:bCs/>
          <w:color w:val="334155"/>
          <w:sz w:val="22"/>
          <w:szCs w:val="22"/>
        </w:rPr>
        <w:t xml:space="preserve">One-time (per account)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npx wrangler login</w:t>
      </w:r>
      <w:r>
        <w:t xml:space="preserve"> (browser OAuth — a human step; not automatable).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npx wrangler d1 create zarban</w:t>
      </w:r>
      <w:r>
        <w:t xml:space="preserve"> → capture the printed database_id.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npx wrangler d1 execute zarban --remote --file=drizzle/0000_initial.sql -y</w:t>
      </w:r>
      <w:r>
        <w:t xml:space="preserve"> (result: 6,447 queries, ~19,305 rows, 20 tables).</w:t>
      </w:r>
    </w:p>
    <w:p>
      <w:pPr>
        <w:pStyle w:val="Heading3"/>
        <w:spacing w:after="70" w:before="160"/>
      </w:pPr>
      <w:r>
        <w:rPr>
          <w:b/>
          <w:bCs/>
          <w:color w:val="334155"/>
          <w:sz w:val="22"/>
          <w:szCs w:val="22"/>
        </w:rPr>
        <w:t xml:space="preserve">Every deploy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npm run build</w:t>
      </w:r>
      <w:r>
        <w:t xml:space="preserve"> (regenerates dist/server/ and dist/server/wrangler.json).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node scripts/patch-d1.mjs &lt;database_id&gt;</w:t>
      </w:r>
      <w:r>
        <w:t xml:space="preserve"> — writes the D1 binding into the freshly-built config, so no one hand-edits generated JSON.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npx wrangler deploy</w:t>
      </w:r>
      <w:r>
        <w:t xml:space="preserve"> — run from the repo root, not dist/server/.</w:t>
      </w:r>
    </w:p>
    <w:p>
      <w:pPr>
        <w:pStyle w:val="Heading3"/>
        <w:spacing w:after="70" w:before="160"/>
      </w:pPr>
      <w:r>
        <w:rPr>
          <w:b/>
          <w:bCs/>
          <w:color w:val="334155"/>
          <w:sz w:val="22"/>
          <w:szCs w:val="22"/>
        </w:rPr>
        <w:t xml:space="preserve">Post-deploy hardening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wrangler secret put AUTH_SECRET</w:t>
      </w:r>
      <w:r>
        <w:t xml:space="preserve"> — replace the dev-fallback JWT secret (piped a 48-byte random value; never printed).</w:t>
      </w:r>
    </w:p>
    <w:p>
      <w:pPr>
        <w:pStyle w:val="Heading3"/>
        <w:spacing w:after="70" w:before="160"/>
      </w:pPr>
      <w:r>
        <w:rPr>
          <w:b/>
          <w:bCs/>
          <w:color w:val="334155"/>
          <w:sz w:val="22"/>
          <w:szCs w:val="22"/>
        </w:rPr>
        <w:t xml:space="preserve">Pitfalls solved during the real deployment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Deploy config collision: </w:t>
      </w:r>
      <w:r>
        <w:t xml:space="preserve">running deploy from dist/server/ errors. Fix: deploy from repo root.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Cold-start transients: </w:t>
      </w:r>
      <w:r>
        <w:t xml:space="preserve">the first ~30s returns sporadic 404/1042. Fix: a route-sweep once warm confirms all 200.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workers.dev subdomain: </w:t>
      </w:r>
      <w:r>
        <w:t xml:space="preserve">can’t be renamed via API (error 10036) — dashboard-only, one-time. Custom domain needs a zone on the account.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Fresh subdomain SSL: </w:t>
      </w:r>
      <w:r>
        <w:t xml:space="preserve">after a subdomain change, HTTPS failed the TLS handshake (curl exit 35) for a few minutes while Cloudflare issued the cert. Fix: poll until it lands.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E9FBF0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line="264"/>
            </w:pPr>
            <w:r>
              <w:rPr>
                <w:b/>
                <w:bCs/>
                <w:caps/>
                <w:color w:val="047857"/>
                <w:sz w:val="18"/>
                <w:szCs w:val="18"/>
              </w:rPr>
              <w:t xml:space="preserve">🎥 Screen recording — End-to-end deploy  </w:t>
            </w:r>
            <w:r>
              <w:rPr>
                <w:color w:val="1B2138"/>
                <w:sz w:val="20"/>
                <w:szCs w:val="20"/>
              </w:rPr>
              <w:t xml:space="preserve">build → patch-d1 → deploy, then a browser hit of the live URL. ~90s. The definitive “it ships” artifact.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4F46E5"/>
          <w:sz w:val="30"/>
          <w:szCs w:val="30"/>
        </w:rPr>
        <w:t xml:space="preserve">Phase 9 — Performance Optimization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EEF0F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line="264"/>
            </w:pPr>
            <w:r>
              <w:rPr>
                <w:b/>
                <w:bCs/>
                <w:caps/>
                <w:color w:val="7C3AED"/>
                <w:sz w:val="18"/>
                <w:szCs w:val="18"/>
              </w:rPr>
              <w:t xml:space="preserve">Reasoning  </w:t>
            </w:r>
            <w:r>
              <w:rPr>
                <w:color w:val="1B2138"/>
                <w:sz w:val="20"/>
                <w:szCs w:val="20"/>
              </w:rPr>
              <w:t xml:space="preserve">On Cloudflare D1, each query is a network round trip, so per-request round-trip count — not slow scans (indexes were already in place) — dominates latency. The optimization was measured, not guessed.</w:t>
            </w:r>
          </w:p>
        </w:tc>
      </w:tr>
    </w:tbl>
    <w:p>
      <w:pPr>
        <w:spacing w:after="60"/>
      </w:pPr>
      <w:r>
        <w:rPr>
          <w:sz w:val="8"/>
          <w:szCs w:val="8"/>
        </w:rPr>
        <w:t xml:space="preserve"/>
      </w:r>
    </w:p>
    <w:p>
      <w:pPr>
        <w:pStyle w:val="Heading2"/>
        <w:spacing w:after="90" w:before="220"/>
      </w:pPr>
      <w:r>
        <w:rPr>
          <w:b/>
          <w:bCs/>
          <w:color w:val="1B2138"/>
          <w:sz w:val="25"/>
          <w:szCs w:val="25"/>
        </w:rPr>
        <w:t xml:space="preserve">9.1 Method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B2138"/>
          <w:sz w:val="21"/>
          <w:szCs w:val="21"/>
        </w:rPr>
        <w:t xml:space="preserve">A benchmark runs a real assessment against production and times each POST /api/session/respond, plus a sweep of every read endpoint.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B2138"/>
          <w:sz w:val="21"/>
          <w:szCs w:val="21"/>
        </w:rPr>
        <w:t xml:space="preserve">Baseline: ~16–18 sequential D1 queries per answer; median respond ~480–610 ms; a fixed 350 ms client pre-submit delay on top.</w:t>
      </w:r>
    </w:p>
    <w:p>
      <w:pPr>
        <w:pStyle w:val="Heading2"/>
        <w:spacing w:after="90" w:before="220"/>
      </w:pPr>
      <w:r>
        <w:rPr>
          <w:b/>
          <w:bCs/>
          <w:color w:val="1B2138"/>
          <w:sz w:val="25"/>
          <w:szCs w:val="25"/>
        </w:rPr>
        <w:t xml:space="preserve">9.2 Changes (behaviour-preserving — all 136 e2e checks still pass)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B2138"/>
          <w:sz w:val="21"/>
          <w:szCs w:val="21"/>
        </w:rPr>
        <w:t xml:space="preserve">Parallelized independent reads with Promise.all (session+question; then trap+BKT-state+history).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B2138"/>
          <w:sz w:val="21"/>
          <w:szCs w:val="21"/>
        </w:rPr>
        <w:t xml:space="preserve">Removed a redundant re-read of the session — used the update() return value; ran the two writes concurrently.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B2138"/>
          <w:sz w:val="21"/>
          <w:szCs w:val="21"/>
        </w:rPr>
        <w:t xml:space="preserve">Introduced an in-isolate TTL cache (src/lib/engine/cache.ts) for near-static data (all skills, the knowledge graph, settings, the cross-session “seen” set); admin settings writes invalidate it.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B2138"/>
          <w:sz w:val="21"/>
          <w:szCs w:val="21"/>
        </w:rPr>
        <w:t xml:space="preserve">Trimmed the growing history query to only the columns the engine consumes.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B2138"/>
          <w:sz w:val="21"/>
          <w:szCs w:val="21"/>
        </w:rPr>
        <w:t xml:space="preserve">Skipped the “all skills mastered?” probe on wrong answers (mastery can’t rise).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B2138"/>
          <w:sz w:val="21"/>
          <w:szCs w:val="21"/>
        </w:rPr>
        <w:t xml:space="preserve">Client: submit immediately and overlap the 350 ms “choice-visible” beat with the network round trip.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B2138"/>
          <w:sz w:val="21"/>
          <w:szCs w:val="21"/>
        </w:rPr>
        <w:t xml:space="preserve">Applied the same treatment to the dashboard, content hub, and report endpoints.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4F46E5"/>
          <w:sz w:val="30"/>
          <w:szCs w:val="30"/>
        </w:rPr>
        <w:t xml:space="preserve">Phase 10 — Testing &amp; Verification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scripts/e2e.ts</w:t>
      </w:r>
      <w:r>
        <w:t xml:space="preserve"> (npm run e2e) — 136 end-to-end checks driving the real HTTP API: the full assessment lifecycle, report + analysis, admin auth and every admin view, the content portal, and RBAC denial (viewer gets 403 on privileged routes).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npx tsc --noEmit</w:t>
      </w:r>
      <w:r>
        <w:t xml:space="preserve"> gates every change.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Browser verification </w:t>
      </w:r>
      <w:r>
        <w:t xml:space="preserve">via the accessibility tree / DOM and console; production screenshots for docs are captured with headless Chrome (authenticated pages driven via the DevTools Protocol with the admin cookie).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E9FBF0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line="264"/>
            </w:pPr>
            <w:r>
              <w:rPr>
                <w:b/>
                <w:bCs/>
                <w:caps/>
                <w:color w:val="047857"/>
                <w:sz w:val="18"/>
                <w:szCs w:val="18"/>
              </w:rPr>
              <w:t xml:space="preserve">📷 Capture — e2e output  </w:t>
            </w:r>
            <w:r>
              <w:rPr>
                <w:color w:val="1B2138"/>
                <w:sz w:val="20"/>
                <w:szCs w:val="20"/>
              </w:rPr>
              <w:t xml:space="preserve">The suite’s final line: “136 passed, 0 failed — ALL END-TO-END CHECKS PASSED.”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4F46E5"/>
          <w:sz w:val="30"/>
          <w:szCs w:val="30"/>
        </w:rPr>
        <w:t xml:space="preserve">Impact &amp; Metrics</w:t>
      </w:r>
    </w:p>
    <w:p>
      <w:pPr>
        <w:pStyle w:val="Heading2"/>
        <w:spacing w:after="90" w:before="220"/>
      </w:pPr>
      <w:r>
        <w:rPr>
          <w:b/>
          <w:bCs/>
          <w:color w:val="1B2138"/>
          <w:sz w:val="25"/>
          <w:szCs w:val="25"/>
        </w:rPr>
        <w:t xml:space="preserve">Product / scale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B2138"/>
          <w:sz w:val="21"/>
          <w:szCs w:val="21"/>
        </w:rPr>
        <w:t xml:space="preserve">20 relational tables; 911 QA-passed, trap-annotated questions across Grades 5–10.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B2138"/>
          <w:sz w:val="21"/>
          <w:szCs w:val="21"/>
        </w:rPr>
        <w:t xml:space="preserve">5 diagnostic algorithms working in concert (IRT, BKT, CDM, DKT-lite, twin-probe).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B2138"/>
          <w:sz w:val="21"/>
          <w:szCs w:val="21"/>
        </w:rPr>
        <w:t xml:space="preserve">3 role-scoped experiences (student, teacher, admin) + a generic Database manager.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B2138"/>
          <w:sz w:val="21"/>
          <w:szCs w:val="21"/>
        </w:rPr>
        <w:t xml:space="preserve">Deployed live and free on Cloudflare Workers + D1.</w:t>
      </w:r>
    </w:p>
    <w:p>
      <w:pPr>
        <w:pStyle w:val="Heading2"/>
        <w:spacing w:after="90" w:before="220"/>
      </w:pPr>
      <w:r>
        <w:rPr>
          <w:b/>
          <w:bCs/>
          <w:color w:val="1B2138"/>
          <w:sz w:val="25"/>
          <w:szCs w:val="25"/>
        </w:rPr>
        <w:t xml:space="preserve">Performance (measured on production)</w:t>
      </w:r>
    </w:p>
    <w:tbl>
      <w:tblPr>
        <w:tblW w:type="dxa" w:w="9026"/>
        <w:tblBorders>
          <w:top w:val="single" w:color="E2E5F0" w:sz="2"/>
          <w:left w:val="single" w:color="E2E5F0" w:sz="2"/>
          <w:bottom w:val="single" w:color="E2E5F0" w:sz="2"/>
          <w:right w:val="single" w:color="E2E5F0" w:sz="2"/>
          <w:insideH w:val="single" w:color="E2E5F0" w:sz="2"/>
          <w:insideV w:val="single" w:color="E2E5F0" w:sz="2"/>
        </w:tblBorders>
      </w:tblPr>
      <w:tblGrid>
        <w:gridCol w:w="3200"/>
        <w:gridCol w:w="1950"/>
        <w:gridCol w:w="1950"/>
        <w:gridCol w:w="1926"/>
      </w:tblGrid>
      <w:tr>
        <w:trPr>
          <w:tblHeader/>
        </w:trPr>
        <w:tc>
          <w:tcPr>
            <w:tcW w:type="dxa" w:w="3200"/>
            <w:shd w:fill="4F46E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1950"/>
            <w:shd w:fill="4F46E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Before</w:t>
            </w:r>
          </w:p>
        </w:tc>
        <w:tc>
          <w:tcPr>
            <w:tcW w:type="dxa" w:w="1950"/>
            <w:shd w:fill="4F46E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After</w:t>
            </w:r>
          </w:p>
        </w:tc>
        <w:tc>
          <w:tcPr>
            <w:tcW w:type="dxa" w:w="1926"/>
            <w:shd w:fill="4F46E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Improvement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color w:val="1B2138"/>
                <w:sz w:val="19"/>
                <w:szCs w:val="19"/>
              </w:rPr>
              <w:t xml:space="preserve">Assessment answer (/api/session/respond)</w:t>
            </w:r>
          </w:p>
        </w:tc>
        <w:tc>
          <w:tcPr>
            <w:tcW w:type="dxa" w:w="195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color w:val="1B2138"/>
                <w:sz w:val="19"/>
                <w:szCs w:val="19"/>
              </w:rPr>
              <w:t xml:space="preserve">~480–610 ms</w:t>
            </w:r>
          </w:p>
        </w:tc>
        <w:tc>
          <w:tcPr>
            <w:tcW w:type="dxa" w:w="195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color w:val="1B2138"/>
                <w:sz w:val="19"/>
                <w:szCs w:val="19"/>
              </w:rPr>
              <w:t xml:space="preserve">~280–340 ms</w:t>
            </w:r>
          </w:p>
        </w:tc>
        <w:tc>
          <w:tcPr>
            <w:tcW w:type="dxa" w:w="19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color w:val="1B2138"/>
                <w:sz w:val="19"/>
                <w:szCs w:val="19"/>
              </w:rPr>
              <w:t xml:space="preserve">~45% + removed 350 ms client delay</w:t>
            </w:r>
          </w:p>
        </w:tc>
      </w:tr>
      <w:tr>
        <w:tc>
          <w:tcPr>
            <w:tcW w:type="dxa" w:w="3200"/>
            <w:shd w:fill="F7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color w:val="1B2138"/>
                <w:sz w:val="19"/>
                <w:szCs w:val="19"/>
              </w:rPr>
              <w:t xml:space="preserve">Dashboard (/api/admin/stats)</w:t>
            </w:r>
          </w:p>
        </w:tc>
        <w:tc>
          <w:tcPr>
            <w:tcW w:type="dxa" w:w="1950"/>
            <w:shd w:fill="F7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color w:val="1B2138"/>
                <w:sz w:val="19"/>
                <w:szCs w:val="19"/>
              </w:rPr>
              <w:t xml:space="preserve">~311 ms</w:t>
            </w:r>
          </w:p>
        </w:tc>
        <w:tc>
          <w:tcPr>
            <w:tcW w:type="dxa" w:w="1950"/>
            <w:shd w:fill="F7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color w:val="1B2138"/>
                <w:sz w:val="19"/>
                <w:szCs w:val="19"/>
              </w:rPr>
              <w:t xml:space="preserve">~170 ms</w:t>
            </w:r>
          </w:p>
        </w:tc>
        <w:tc>
          <w:tcPr>
            <w:tcW w:type="dxa" w:w="1926"/>
            <w:shd w:fill="F7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color w:val="1B2138"/>
                <w:sz w:val="19"/>
                <w:szCs w:val="19"/>
              </w:rPr>
              <w:t xml:space="preserve">~45%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color w:val="1B2138"/>
                <w:sz w:val="19"/>
                <w:szCs w:val="19"/>
              </w:rPr>
              <w:t xml:space="preserve">Content hub (/api/content/overview)</w:t>
            </w:r>
          </w:p>
        </w:tc>
        <w:tc>
          <w:tcPr>
            <w:tcW w:type="dxa" w:w="195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color w:val="1B2138"/>
                <w:sz w:val="19"/>
                <w:szCs w:val="19"/>
              </w:rPr>
              <w:t xml:space="preserve">~313 ms</w:t>
            </w:r>
          </w:p>
        </w:tc>
        <w:tc>
          <w:tcPr>
            <w:tcW w:type="dxa" w:w="195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color w:val="1B2138"/>
                <w:sz w:val="19"/>
                <w:szCs w:val="19"/>
              </w:rPr>
              <w:t xml:space="preserve">~150 ms</w:t>
            </w:r>
          </w:p>
        </w:tc>
        <w:tc>
          <w:tcPr>
            <w:tcW w:type="dxa" w:w="19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color w:val="1B2138"/>
                <w:sz w:val="19"/>
                <w:szCs w:val="19"/>
              </w:rPr>
              <w:t xml:space="preserve">~52%</w:t>
            </w:r>
          </w:p>
        </w:tc>
      </w:tr>
      <w:tr>
        <w:tc>
          <w:tcPr>
            <w:tcW w:type="dxa" w:w="3200"/>
            <w:shd w:fill="F7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color w:val="1B2138"/>
                <w:sz w:val="19"/>
                <w:szCs w:val="19"/>
              </w:rPr>
              <w:t xml:space="preserve">Report (/api/session/report)</w:t>
            </w:r>
          </w:p>
        </w:tc>
        <w:tc>
          <w:tcPr>
            <w:tcW w:type="dxa" w:w="1950"/>
            <w:shd w:fill="F7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color w:val="1B2138"/>
                <w:sz w:val="19"/>
                <w:szCs w:val="19"/>
              </w:rPr>
              <w:t xml:space="preserve">~267 ms</w:t>
            </w:r>
          </w:p>
        </w:tc>
        <w:tc>
          <w:tcPr>
            <w:tcW w:type="dxa" w:w="1950"/>
            <w:shd w:fill="F7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color w:val="1B2138"/>
                <w:sz w:val="19"/>
                <w:szCs w:val="19"/>
              </w:rPr>
              <w:t xml:space="preserve">~215 ms</w:t>
            </w:r>
          </w:p>
        </w:tc>
        <w:tc>
          <w:tcPr>
            <w:tcW w:type="dxa" w:w="1926"/>
            <w:shd w:fill="F7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color w:val="1B2138"/>
                <w:sz w:val="19"/>
                <w:szCs w:val="19"/>
              </w:rPr>
              <w:t xml:space="preserve">~20%</w:t>
            </w:r>
          </w:p>
        </w:tc>
      </w:tr>
    </w:tbl>
    <w:p>
      <w:pPr>
        <w:spacing w:after="60"/>
      </w:pPr>
      <w:r>
        <w:rPr>
          <w:sz w:val="8"/>
          <w:szCs w:val="8"/>
        </w:rPr>
        <w:t xml:space="preserve"/>
      </w:r>
    </w:p>
    <w:p>
      <w:pPr>
        <w:spacing w:after="120" w:line="276"/>
      </w:pPr>
      <w:r>
        <w:rPr>
          <w:b/>
          <w:bCs/>
          <w:color w:val="1B2138"/>
          <w:sz w:val="21"/>
          <w:szCs w:val="21"/>
        </w:rPr>
        <w:t xml:space="preserve">Round trips per answer cut from ~16–18 → ~9, with zero behavioural change (136/136 e2e still green).</w:t>
      </w:r>
    </w:p>
    <w:p>
      <w:pPr>
        <w:pStyle w:val="Heading2"/>
        <w:spacing w:after="90" w:before="220"/>
      </w:pPr>
      <w:r>
        <w:rPr>
          <w:b/>
          <w:bCs/>
          <w:color w:val="1B2138"/>
          <w:sz w:val="25"/>
          <w:szCs w:val="25"/>
        </w:rPr>
        <w:t xml:space="preserve">Engineering quality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B2138"/>
          <w:sz w:val="21"/>
          <w:szCs w:val="21"/>
        </w:rPr>
        <w:t xml:space="preserve">136 automated end-to-end assertions, including RBAC enforcement.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B2138"/>
          <w:sz w:val="21"/>
          <w:szCs w:val="21"/>
        </w:rPr>
        <w:t xml:space="preserve">Deterministic, auditable diagnostic (closed-form models → the report is fully replayable).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B2138"/>
          <w:sz w:val="21"/>
          <w:szCs w:val="21"/>
        </w:rPr>
        <w:t xml:space="preserve">Defense-in-depth on the Database manager (identifier whitelisting + parameter binding + Admin-only + audit log).</w:t>
      </w:r>
    </w:p>
    <w:p>
      <w:pPr>
        <w:pStyle w:val="Heading2"/>
        <w:spacing w:after="90" w:before="220"/>
      </w:pPr>
      <w:r>
        <w:rPr>
          <w:b/>
          <w:bCs/>
          <w:color w:val="1B2138"/>
          <w:sz w:val="25"/>
          <w:szCs w:val="25"/>
        </w:rPr>
        <w:t xml:space="preserve">Business value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B2138"/>
          <w:sz w:val="21"/>
          <w:szCs w:val="21"/>
        </w:rPr>
        <w:t xml:space="preserve">Turns a raw score into an actionable diagnosis + next step — the difference between “this student is weak” and “this student has a reading-comprehension gap on word problems.”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B2138"/>
          <w:sz w:val="21"/>
          <w:szCs w:val="21"/>
        </w:rPr>
        <w:t xml:space="preserve">Runs at $0 hosting on the free tier, so a school can pilot it at no infrastructure cost.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4F46E5"/>
          <w:sz w:val="30"/>
          <w:szCs w:val="30"/>
        </w:rPr>
        <w:t xml:space="preserve">Appendix — Pitfalls Ledger</w:t>
      </w:r>
    </w:p>
    <w:p>
      <w:pPr>
        <w:spacing w:after="120" w:line="276"/>
      </w:pPr>
      <w:r>
        <w:rPr>
          <w:color w:val="1B2138"/>
          <w:sz w:val="21"/>
          <w:szCs w:val="21"/>
        </w:rPr>
        <w:t xml:space="preserve">A quick-reference of every non-obvious problem solved (interviewers probe these).</w:t>
      </w:r>
    </w:p>
    <w:tbl>
      <w:tblPr>
        <w:tblW w:type="dxa" w:w="9026"/>
        <w:tblBorders>
          <w:top w:val="single" w:color="E2E5F0" w:sz="2"/>
          <w:left w:val="single" w:color="E2E5F0" w:sz="2"/>
          <w:bottom w:val="single" w:color="E2E5F0" w:sz="2"/>
          <w:right w:val="single" w:color="E2E5F0" w:sz="2"/>
          <w:insideH w:val="single" w:color="E2E5F0" w:sz="2"/>
          <w:insideV w:val="single" w:color="E2E5F0" w:sz="2"/>
        </w:tblBorders>
      </w:tblPr>
      <w:tblGrid>
        <w:gridCol w:w="500"/>
        <w:gridCol w:w="2700"/>
        <w:gridCol w:w="3000"/>
        <w:gridCol w:w="2826"/>
      </w:tblGrid>
      <w:tr>
        <w:trPr>
          <w:tblHeader/>
        </w:trPr>
        <w:tc>
          <w:tcPr>
            <w:tcW w:type="dxa" w:w="500"/>
            <w:shd w:fill="4F46E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700"/>
            <w:shd w:fill="4F46E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Symptom</w:t>
            </w:r>
          </w:p>
        </w:tc>
        <w:tc>
          <w:tcPr>
            <w:tcW w:type="dxa" w:w="3000"/>
            <w:shd w:fill="4F46E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Root cause</w:t>
            </w:r>
          </w:p>
        </w:tc>
        <w:tc>
          <w:tcPr>
            <w:tcW w:type="dxa" w:w="2826"/>
            <w:shd w:fill="4F46E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</w:tr>
      <w:tr>
        <w:tc>
          <w:tcPr>
            <w:tcW w:type="dxa" w:w="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color w:val="1B2138"/>
                <w:sz w:val="19"/>
                <w:szCs w:val="19"/>
              </w:rPr>
              <w:t xml:space="preserve">1</w:t>
            </w:r>
          </w:p>
        </w:tc>
        <w:tc>
          <w:tcPr>
            <w:tcW w:type="dxa" w:w="2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color w:val="1B2138"/>
                <w:sz w:val="19"/>
                <w:szCs w:val="19"/>
              </w:rPr>
              <w:t xml:space="preserve">Prisma client throws at import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color w:val="1B2138"/>
                <w:sz w:val="19"/>
                <w:szCs w:val="19"/>
              </w:rPr>
              <w:t xml:space="preserve">cloudflare:workers binding injected after module load</w:t>
            </w:r>
          </w:p>
        </w:tc>
        <w:tc>
          <w:tcPr>
            <w:tcW w:type="dxa" w:w="28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color w:val="1B2138"/>
                <w:sz w:val="19"/>
                <w:szCs w:val="19"/>
              </w:rPr>
              <w:t xml:space="preserve">Lazy Proxy client in db.ts</w:t>
            </w:r>
          </w:p>
        </w:tc>
      </w:tr>
      <w:tr>
        <w:tc>
          <w:tcPr>
            <w:tcW w:type="dxa" w:w="500"/>
            <w:shd w:fill="F7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color w:val="1B2138"/>
                <w:sz w:val="19"/>
                <w:szCs w:val="19"/>
              </w:rPr>
              <w:t xml:space="preserve">2</w:t>
            </w:r>
          </w:p>
        </w:tc>
        <w:tc>
          <w:tcPr>
            <w:tcW w:type="dxa" w:w="2700"/>
            <w:shd w:fill="F7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color w:val="1B2138"/>
                <w:sz w:val="19"/>
                <w:szCs w:val="19"/>
              </w:rPr>
              <w:t xml:space="preserve">prisma migrate won’t target D1</w:t>
            </w:r>
          </w:p>
        </w:tc>
        <w:tc>
          <w:tcPr>
            <w:tcW w:type="dxa" w:w="3000"/>
            <w:shd w:fill="F7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color w:val="1B2138"/>
                <w:sz w:val="19"/>
                <w:szCs w:val="19"/>
              </w:rPr>
              <w:t xml:space="preserve">D1 isn’t a native Prisma target</w:t>
            </w:r>
          </w:p>
        </w:tc>
        <w:tc>
          <w:tcPr>
            <w:tcW w:type="dxa" w:w="2826"/>
            <w:shd w:fill="F7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color w:val="1B2138"/>
                <w:sz w:val="19"/>
                <w:szCs w:val="19"/>
              </w:rPr>
              <w:t xml:space="preserve">3-surface pipeline → drizzle/0000_initial.sql</w:t>
            </w:r>
          </w:p>
        </w:tc>
      </w:tr>
      <w:tr>
        <w:tc>
          <w:tcPr>
            <w:tcW w:type="dxa" w:w="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color w:val="1B2138"/>
                <w:sz w:val="19"/>
                <w:szCs w:val="19"/>
              </w:rPr>
              <w:t xml:space="preserve">3</w:t>
            </w:r>
          </w:p>
        </w:tc>
        <w:tc>
          <w:tcPr>
            <w:tcW w:type="dxa" w:w="2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color w:val="1B2138"/>
                <w:sz w:val="19"/>
                <w:szCs w:val="19"/>
              </w:rPr>
              <w:t xml:space="preserve">SQL identifiers mangled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color w:val="1B2138"/>
                <w:sz w:val="19"/>
                <w:szCs w:val="19"/>
              </w:rPr>
              <w:t xml:space="preserve">node -e shell-quoting</w:t>
            </w:r>
          </w:p>
        </w:tc>
        <w:tc>
          <w:tcPr>
            <w:tcW w:type="dxa" w:w="28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color w:val="1B2138"/>
                <w:sz w:val="19"/>
                <w:szCs w:val="19"/>
              </w:rPr>
              <w:t xml:space="preserve">Heredoc .mjs with single-quoted SQL</w:t>
            </w:r>
          </w:p>
        </w:tc>
      </w:tr>
      <w:tr>
        <w:tc>
          <w:tcPr>
            <w:tcW w:type="dxa" w:w="500"/>
            <w:shd w:fill="F7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color w:val="1B2138"/>
                <w:sz w:val="19"/>
                <w:szCs w:val="19"/>
              </w:rPr>
              <w:t xml:space="preserve">4</w:t>
            </w:r>
          </w:p>
        </w:tc>
        <w:tc>
          <w:tcPr>
            <w:tcW w:type="dxa" w:w="2700"/>
            <w:shd w:fill="F7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color w:val="1B2138"/>
                <w:sz w:val="19"/>
                <w:szCs w:val="19"/>
              </w:rPr>
              <w:t xml:space="preserve">Client build breaks</w:t>
            </w:r>
          </w:p>
        </w:tc>
        <w:tc>
          <w:tcPr>
            <w:tcW w:type="dxa" w:w="3000"/>
            <w:shd w:fill="F7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color w:val="1B2138"/>
                <w:sz w:val="19"/>
                <w:szCs w:val="19"/>
              </w:rPr>
              <w:t xml:space="preserve">Client importing a server-only module (Prisma)</w:t>
            </w:r>
          </w:p>
        </w:tc>
        <w:tc>
          <w:tcPr>
            <w:tcW w:type="dxa" w:w="2826"/>
            <w:shd w:fill="F7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color w:val="1B2138"/>
                <w:sz w:val="19"/>
                <w:szCs w:val="19"/>
              </w:rPr>
              <w:t xml:space="preserve">Split client-safe constants into their own file</w:t>
            </w:r>
          </w:p>
        </w:tc>
      </w:tr>
      <w:tr>
        <w:tc>
          <w:tcPr>
            <w:tcW w:type="dxa" w:w="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color w:val="1B2138"/>
                <w:sz w:val="19"/>
                <w:szCs w:val="19"/>
              </w:rPr>
              <w:t xml:space="preserve">5</w:t>
            </w:r>
          </w:p>
        </w:tc>
        <w:tc>
          <w:tcPr>
            <w:tcW w:type="dxa" w:w="2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color w:val="1B2138"/>
                <w:sz w:val="19"/>
                <w:szCs w:val="19"/>
              </w:rPr>
              <w:t xml:space="preserve">Route build error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color w:val="1B2138"/>
                <w:sz w:val="19"/>
                <w:szCs w:val="19"/>
              </w:rPr>
              <w:t xml:space="preserve">Route file exporting a non-handler</w:t>
            </w:r>
          </w:p>
        </w:tc>
        <w:tc>
          <w:tcPr>
            <w:tcW w:type="dxa" w:w="28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color w:val="1B2138"/>
                <w:sz w:val="19"/>
                <w:szCs w:val="19"/>
              </w:rPr>
              <w:t xml:space="preserve">Move shared constants into lib/</w:t>
            </w:r>
          </w:p>
        </w:tc>
      </w:tr>
      <w:tr>
        <w:tc>
          <w:tcPr>
            <w:tcW w:type="dxa" w:w="500"/>
            <w:shd w:fill="F7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color w:val="1B2138"/>
                <w:sz w:val="19"/>
                <w:szCs w:val="19"/>
              </w:rPr>
              <w:t xml:space="preserve">6</w:t>
            </w:r>
          </w:p>
        </w:tc>
        <w:tc>
          <w:tcPr>
            <w:tcW w:type="dxa" w:w="2700"/>
            <w:shd w:fill="F7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color w:val="1B2138"/>
                <w:sz w:val="19"/>
                <w:szCs w:val="19"/>
              </w:rPr>
              <w:t xml:space="preserve">wrangler deploy config collision</w:t>
            </w:r>
          </w:p>
        </w:tc>
        <w:tc>
          <w:tcPr>
            <w:tcW w:type="dxa" w:w="3000"/>
            <w:shd w:fill="F7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color w:val="1B2138"/>
                <w:sz w:val="19"/>
                <w:szCs w:val="19"/>
              </w:rPr>
              <w:t xml:space="preserve">Two config files, different base paths</w:t>
            </w:r>
          </w:p>
        </w:tc>
        <w:tc>
          <w:tcPr>
            <w:tcW w:type="dxa" w:w="2826"/>
            <w:shd w:fill="F7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color w:val="1B2138"/>
                <w:sz w:val="19"/>
                <w:szCs w:val="19"/>
              </w:rPr>
              <w:t xml:space="preserve">Deploy from repo root</w:t>
            </w:r>
          </w:p>
        </w:tc>
      </w:tr>
      <w:tr>
        <w:tc>
          <w:tcPr>
            <w:tcW w:type="dxa" w:w="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color w:val="1B2138"/>
                <w:sz w:val="19"/>
                <w:szCs w:val="19"/>
              </w:rPr>
              <w:t xml:space="preserve">7</w:t>
            </w:r>
          </w:p>
        </w:tc>
        <w:tc>
          <w:tcPr>
            <w:tcW w:type="dxa" w:w="2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color w:val="1B2138"/>
                <w:sz w:val="19"/>
                <w:szCs w:val="19"/>
              </w:rPr>
              <w:t xml:space="preserve">Subdomain rename fails (10036)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color w:val="1B2138"/>
                <w:sz w:val="19"/>
                <w:szCs w:val="19"/>
              </w:rPr>
              <w:t xml:space="preserve">workers.dev subdomain is one-time, dashboard-only</w:t>
            </w:r>
          </w:p>
        </w:tc>
        <w:tc>
          <w:tcPr>
            <w:tcW w:type="dxa" w:w="28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color w:val="1B2138"/>
                <w:sz w:val="19"/>
                <w:szCs w:val="19"/>
              </w:rPr>
              <w:t xml:space="preserve">Change via dashboard, or use a custom domain</w:t>
            </w:r>
          </w:p>
        </w:tc>
      </w:tr>
      <w:tr>
        <w:tc>
          <w:tcPr>
            <w:tcW w:type="dxa" w:w="500"/>
            <w:shd w:fill="F7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color w:val="1B2138"/>
                <w:sz w:val="19"/>
                <w:szCs w:val="19"/>
              </w:rPr>
              <w:t xml:space="preserve">8</w:t>
            </w:r>
          </w:p>
        </w:tc>
        <w:tc>
          <w:tcPr>
            <w:tcW w:type="dxa" w:w="2700"/>
            <w:shd w:fill="F7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color w:val="1B2138"/>
                <w:sz w:val="19"/>
                <w:szCs w:val="19"/>
              </w:rPr>
              <w:t xml:space="preserve">HTTPS fails right after subdomain change</w:t>
            </w:r>
          </w:p>
        </w:tc>
        <w:tc>
          <w:tcPr>
            <w:tcW w:type="dxa" w:w="3000"/>
            <w:shd w:fill="F7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color w:val="1B2138"/>
                <w:sz w:val="19"/>
                <w:szCs w:val="19"/>
              </w:rPr>
              <w:t xml:space="preserve">Fresh *.workers.dev cert not yet issued</w:t>
            </w:r>
          </w:p>
        </w:tc>
        <w:tc>
          <w:tcPr>
            <w:tcW w:type="dxa" w:w="2826"/>
            <w:shd w:fill="F7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color w:val="1B2138"/>
                <w:sz w:val="19"/>
                <w:szCs w:val="19"/>
              </w:rPr>
              <w:t xml:space="preserve">Poll until TLS handshake succeeds</w:t>
            </w:r>
          </w:p>
        </w:tc>
      </w:tr>
      <w:tr>
        <w:tc>
          <w:tcPr>
            <w:tcW w:type="dxa" w:w="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color w:val="1B2138"/>
                <w:sz w:val="19"/>
                <w:szCs w:val="19"/>
              </w:rPr>
              <w:t xml:space="preserve">9</w:t>
            </w:r>
          </w:p>
        </w:tc>
        <w:tc>
          <w:tcPr>
            <w:tcW w:type="dxa" w:w="2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color w:val="1B2138"/>
                <w:sz w:val="19"/>
                <w:szCs w:val="19"/>
              </w:rPr>
              <w:t xml:space="preserve">DB manager count query errors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color w:val="1B2138"/>
                <w:sz w:val="19"/>
                <w:szCs w:val="19"/>
              </w:rPr>
              <w:t xml:space="preserve">UNION ALL exceeded D1’s compound-SELECT limit</w:t>
            </w:r>
          </w:p>
        </w:tc>
        <w:tc>
          <w:tcPr>
            <w:tcW w:type="dxa" w:w="28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color w:val="1B2138"/>
                <w:sz w:val="19"/>
                <w:szCs w:val="19"/>
              </w:rPr>
              <w:t xml:space="preserve">Concurrent per-table counts</w:t>
            </w:r>
          </w:p>
        </w:tc>
      </w:tr>
      <w:tr>
        <w:tc>
          <w:tcPr>
            <w:tcW w:type="dxa" w:w="500"/>
            <w:shd w:fill="F7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color w:val="1B2138"/>
                <w:sz w:val="19"/>
                <w:szCs w:val="19"/>
              </w:rPr>
              <w:t xml:space="preserve">10</w:t>
            </w:r>
          </w:p>
        </w:tc>
        <w:tc>
          <w:tcPr>
            <w:tcW w:type="dxa" w:w="2700"/>
            <w:shd w:fill="F7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color w:val="1B2138"/>
                <w:sz w:val="19"/>
                <w:szCs w:val="19"/>
              </w:rPr>
              <w:t xml:space="preserve">Headless CDP can’t connect</w:t>
            </w:r>
          </w:p>
        </w:tc>
        <w:tc>
          <w:tcPr>
            <w:tcW w:type="dxa" w:w="3000"/>
            <w:shd w:fill="F7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color w:val="1B2138"/>
                <w:sz w:val="19"/>
                <w:szCs w:val="19"/>
              </w:rPr>
              <w:t xml:space="preserve">Chrome bound IPv6 ::1; Node fetch resolved IPv4</w:t>
            </w:r>
          </w:p>
        </w:tc>
        <w:tc>
          <w:tcPr>
            <w:tcW w:type="dxa" w:w="2826"/>
            <w:shd w:fill="F7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color w:val="1B2138"/>
                <w:sz w:val="19"/>
                <w:szCs w:val="19"/>
              </w:rPr>
              <w:t xml:space="preserve">Address the debugger over [::1]</w:t>
            </w:r>
          </w:p>
        </w:tc>
      </w:tr>
      <w:tr>
        <w:tc>
          <w:tcPr>
            <w:tcW w:type="dxa" w:w="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color w:val="1B2138"/>
                <w:sz w:val="19"/>
                <w:szCs w:val="19"/>
              </w:rPr>
              <w:t xml:space="preserve">11</w:t>
            </w:r>
          </w:p>
        </w:tc>
        <w:tc>
          <w:tcPr>
            <w:tcW w:type="dxa" w:w="2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color w:val="1B2138"/>
                <w:sz w:val="19"/>
                <w:szCs w:val="19"/>
              </w:rPr>
              <w:t xml:space="preserve">git push hangs / needs re-auth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color w:val="1B2138"/>
                <w:sz w:val="19"/>
                <w:szCs w:val="19"/>
              </w:rPr>
              <w:t xml:space="preserve">HTTP/2 negotiation + expired credential helper</w:t>
            </w:r>
          </w:p>
        </w:tc>
        <w:tc>
          <w:tcPr>
            <w:tcW w:type="dxa" w:w="28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color w:val="1B2138"/>
                <w:sz w:val="19"/>
                <w:szCs w:val="19"/>
              </w:rPr>
              <w:t xml:space="preserve">Force HTTP/1.1; interactive GitHub re-login</w:t>
            </w:r>
          </w:p>
        </w:tc>
      </w:tr>
    </w:tbl>
    <w:p>
      <w:pPr>
        <w:spacing w:after="60"/>
      </w:pPr>
      <w:r>
        <w:rPr>
          <w:sz w:val="8"/>
          <w:szCs w:val="8"/>
        </w:rPr>
        <w:t xml:space="preserve"/>
      </w:r>
    </w:p>
    <w:p>
      <w:pPr>
        <w:spacing w:after="120" w:line="276"/>
      </w:pPr>
      <w:r>
        <w:rPr>
          <w:i/>
          <w:iCs/>
          <w:color w:val="5A6178"/>
          <w:sz w:val="20"/>
          <w:szCs w:val="20"/>
        </w:rPr>
        <w:t xml:space="preserve">End of handover. For a guided visual tour of the running product, see docs/guide.html (the interactive walkthrough) and docs/VIDEO-SCRIPT.md (the screencast script).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–"/>
      <w:lvlJc w:val="left"/>
      <w:pPr>
        <w:ind w:left="72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138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uzsjguy4t7l32hjwnokoq" Type="http://schemas.openxmlformats.org/officeDocument/2006/relationships/hyperlink" Target="https://zarban.zarbanlabs-app.workers.dev" TargetMode="External"/><Relationship Id="rIdghxkeeyfcq024-s1huau7" Type="http://schemas.openxmlformats.org/officeDocument/2006/relationships/hyperlink" Target="https://github.com/karthikLagudu/Zarban" TargetMode="External"/><Relationship Id="rId7" Type="http://schemas.openxmlformats.org/officeDocument/2006/relationships/image" Target="media/5c4447597bbce93bb02e7ae9113e639b0eff6a70.jpg"/><Relationship Id="rId8" Type="http://schemas.openxmlformats.org/officeDocument/2006/relationships/image" Target="media/5cc6b0cd0cb7b2c6b6cbfab1047956ad9c65a7a8.jpg"/><Relationship Id="rId9" Type="http://schemas.openxmlformats.org/officeDocument/2006/relationships/image" Target="media/591ba4aac977f3b65dfc6a3e053c1f02c9438e82.jpg"/><Relationship Id="rId10" Type="http://schemas.openxmlformats.org/officeDocument/2006/relationships/image" Target="media/bd0a1487080a46ffb1f208f013a7045f254305fc.jpg"/><Relationship Id="rId11" Type="http://schemas.openxmlformats.org/officeDocument/2006/relationships/image" Target="media/a4b533fb52923a0cbaf329959bbb296cfc9eaecd.jpg"/><Relationship Id="rId12" Type="http://schemas.openxmlformats.org/officeDocument/2006/relationships/image" Target="media/a5dd7238c3ee57b4f6c96eb41b71a60d07aaf9ea.jpg"/><Relationship Id="rId13" Type="http://schemas.openxmlformats.org/officeDocument/2006/relationships/image" Target="media/7208606c3cb90c25ac2a36bc482e38dc58ef1be2.jpg"/><Relationship Id="rId14" Type="http://schemas.openxmlformats.org/officeDocument/2006/relationships/image" Target="media/8776626d66460f29355b63ca85f4fdf24c3d5552.jp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Zarban — Technical Handover</dc:title>
  <dc:creator>Zarban</dc:creator>
  <cp:lastModifiedBy>Un-named</cp:lastModifiedBy>
  <cp:revision>1</cp:revision>
  <dcterms:created xsi:type="dcterms:W3CDTF">2026-08-02T16:23:30.404Z</dcterms:created>
  <dcterms:modified xsi:type="dcterms:W3CDTF">2026-08-02T16:23:30.407Z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