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AD1" w:rsidRPr="006C1AD1" w:rsidRDefault="006C1AD1" w:rsidP="006C1AD1">
      <w:pPr>
        <w:shd w:val="clear" w:color="auto" w:fill="F3F3F4"/>
        <w:spacing w:before="100" w:beforeAutospacing="1" w:after="100" w:afterAutospacing="1" w:line="280" w:lineRule="atLeast"/>
        <w:rPr>
          <w:rFonts w:ascii="Arial" w:eastAsia="Times New Roman" w:hAnsi="Arial" w:cs="Arial"/>
          <w:sz w:val="24"/>
          <w:szCs w:val="24"/>
        </w:rPr>
      </w:pPr>
      <w:r w:rsidRPr="006C1AD1">
        <w:rPr>
          <w:rFonts w:ascii="Arial" w:eastAsia="Times New Roman" w:hAnsi="Arial" w:cs="Arial"/>
          <w:b/>
          <w:bCs/>
          <w:sz w:val="24"/>
          <w:szCs w:val="24"/>
        </w:rPr>
        <w:t>Solution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3F3F4"/>
        <w:tblCellMar>
          <w:left w:w="0" w:type="dxa"/>
          <w:right w:w="0" w:type="dxa"/>
        </w:tblCellMar>
        <w:tblLook w:val="04A0"/>
      </w:tblPr>
      <w:tblGrid>
        <w:gridCol w:w="7952"/>
        <w:gridCol w:w="1438"/>
      </w:tblGrid>
      <w:tr w:rsidR="006C1AD1" w:rsidRPr="006C1AD1" w:rsidTr="006C1AD1">
        <w:trPr>
          <w:cantSplit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The best thing to do as a first step is to pull together </w:t>
            </w:r>
            <w:proofErr w:type="gram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all of the</w:t>
            </w:r>
            <w:proofErr w:type="gram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 standard cost information to calculate a standard cost per unit.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Direct material (16 litres × 2.5 per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litre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Direct labour (6 hours × $5 per hour)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Fixed production overhead ($30 × 120%)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–––––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106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4"/>
            <w:hideMark/>
          </w:tcPr>
          <w:p w:rsidR="006C1AD1" w:rsidRPr="006C1AD1" w:rsidRDefault="006C1AD1" w:rsidP="006C1AD1">
            <w:pPr>
              <w:shd w:val="clear" w:color="auto" w:fill="F3F3F4"/>
              <w:spacing w:before="100" w:beforeAutospacing="1" w:after="100" w:afterAutospacing="1" w:line="280" w:lineRule="atLeast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–––––</w:t>
            </w:r>
          </w:p>
        </w:tc>
      </w:tr>
    </w:tbl>
    <w:p w:rsidR="006C1AD1" w:rsidRPr="006C1AD1" w:rsidRDefault="006C1AD1" w:rsidP="006C1AD1">
      <w:pPr>
        <w:shd w:val="clear" w:color="auto" w:fill="F3F3F4"/>
        <w:spacing w:before="100" w:beforeAutospacing="1" w:after="100" w:afterAutospacing="1" w:line="280" w:lineRule="atLeast"/>
        <w:rPr>
          <w:rFonts w:ascii="Arial" w:eastAsia="Times New Roman" w:hAnsi="Arial" w:cs="Arial"/>
          <w:sz w:val="24"/>
          <w:szCs w:val="24"/>
        </w:rPr>
      </w:pPr>
      <w:r w:rsidRPr="006C1AD1">
        <w:rPr>
          <w:rFonts w:ascii="Arial" w:eastAsia="Times New Roman" w:hAnsi="Arial" w:cs="Arial"/>
          <w:sz w:val="24"/>
          <w:szCs w:val="24"/>
        </w:rPr>
        <w:t>Calculating the required figures is now just a series of exercises in logic. These exercises can seem difficult to the novice – but the logic becomes simple and obvious with familiarity.</w:t>
      </w:r>
    </w:p>
    <w:tbl>
      <w:tblPr>
        <w:tblW w:w="9570" w:type="dxa"/>
        <w:tblCellSpacing w:w="0" w:type="dxa"/>
        <w:shd w:val="clear" w:color="auto" w:fill="F3F3F4"/>
        <w:tblCellMar>
          <w:left w:w="0" w:type="dxa"/>
          <w:right w:w="0" w:type="dxa"/>
        </w:tblCellMar>
        <w:tblLook w:val="04A0"/>
      </w:tblPr>
      <w:tblGrid>
        <w:gridCol w:w="454"/>
        <w:gridCol w:w="9116"/>
      </w:tblGrid>
      <w:tr w:rsidR="006C1AD1" w:rsidRPr="006C1AD1" w:rsidTr="006C1AD1">
        <w:trPr>
          <w:cantSplit/>
          <w:tblCellSpacing w:w="0" w:type="dxa"/>
        </w:trPr>
        <w:tc>
          <w:tcPr>
            <w:tcW w:w="454" w:type="dxa"/>
            <w:shd w:val="clear" w:color="auto" w:fill="F3F3F4"/>
            <w:noWrap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(a)</w:t>
            </w:r>
          </w:p>
        </w:tc>
        <w:tc>
          <w:tcPr>
            <w:tcW w:w="0" w:type="auto"/>
            <w:shd w:val="clear" w:color="auto" w:fill="F3F3F4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If actual fixed production overhead was $150,000 and the fixed production overhead expenditure variance was $6,000 adverse, then it follows that the budget fixed overhead was $144,000. From this it follows that the budget must have been 4,000 units (that is, $144,000 budgeted overhead/$36 standard overhead cost per unit).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454" w:type="dxa"/>
            <w:shd w:val="clear" w:color="auto" w:fill="F3F3F4"/>
            <w:noWrap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(b)</w:t>
            </w:r>
          </w:p>
        </w:tc>
        <w:tc>
          <w:tcPr>
            <w:tcW w:w="0" w:type="auto"/>
            <w:shd w:val="clear" w:color="auto" w:fill="F3F3F4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If the standard material purchase price was $2.50 per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litre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 and the actual purchase price was $2.45, then it follows that the material price variance is $0.05 per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litre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 favourable. We are told that the material price variance was $8,000 favourable, so it follows that 160,000 litres must have been purchased (that is, $8,000 price variance/$0.05 price variance per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litre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454" w:type="dxa"/>
            <w:shd w:val="clear" w:color="auto" w:fill="F3F3F4"/>
            <w:noWrap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(c)</w:t>
            </w:r>
          </w:p>
        </w:tc>
        <w:tc>
          <w:tcPr>
            <w:tcW w:w="0" w:type="auto"/>
            <w:shd w:val="clear" w:color="auto" w:fill="F3F3F4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If the direct material usage variance was $6,000 adverse and the standard price of materials is $2.50 per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litre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, then it follows that the number of litres used above the standard allowance is 2,400 ($6000/$2.50 per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litre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454" w:type="dxa"/>
            <w:shd w:val="clear" w:color="auto" w:fill="F3F3F4"/>
            <w:noWrap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(d)</w:t>
            </w:r>
          </w:p>
        </w:tc>
        <w:tc>
          <w:tcPr>
            <w:tcW w:w="0" w:type="auto"/>
            <w:shd w:val="clear" w:color="auto" w:fill="F3F3F4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If the actual direct labour cost was $121,500 and labour cost variances </w:t>
            </w:r>
            <w:proofErr w:type="spell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totalling</w:t>
            </w:r>
            <w:proofErr w:type="spell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 $900 adverse ($4,500 adverse rate plus $3,600 favourable efficiency) were experienced, then the standard labour cost for the output achieved was $120,600. It follows that the units produced were 4,020 (that is, $120,600 standard labour cost/$30 standard labour cost per unit).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454" w:type="dxa"/>
            <w:shd w:val="clear" w:color="auto" w:fill="F3F3F4"/>
            <w:noWrap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(e)</w:t>
            </w:r>
          </w:p>
        </w:tc>
        <w:tc>
          <w:tcPr>
            <w:tcW w:w="0" w:type="auto"/>
            <w:shd w:val="clear" w:color="auto" w:fill="F3F3F4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The total hours actually worked is 24,120 standard hours worked (that is, 4,020 units produced at 6 standard hours per unit) minus the 720-hour favourable labour efficiency variance (that is, $3,600 efficiency variance/$5 standard rate per hour). This gives a total of 23,400 actual hours worked.</w:t>
            </w:r>
          </w:p>
        </w:tc>
      </w:tr>
      <w:tr w:rsidR="006C1AD1" w:rsidRPr="006C1AD1" w:rsidTr="006C1AD1">
        <w:trPr>
          <w:cantSplit/>
          <w:tblCellSpacing w:w="0" w:type="dxa"/>
        </w:trPr>
        <w:tc>
          <w:tcPr>
            <w:tcW w:w="454" w:type="dxa"/>
            <w:shd w:val="clear" w:color="auto" w:fill="F3F3F4"/>
            <w:noWrap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>(f)</w:t>
            </w:r>
          </w:p>
        </w:tc>
        <w:tc>
          <w:tcPr>
            <w:tcW w:w="0" w:type="auto"/>
            <w:shd w:val="clear" w:color="auto" w:fill="F3F3F4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6C1AD1" w:rsidRPr="006C1AD1" w:rsidRDefault="006C1AD1" w:rsidP="006C1AD1">
            <w:pPr>
              <w:spacing w:after="0" w:line="28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If the actual labour cost was $121,500 and the actual hours worked </w:t>
            </w:r>
            <w:proofErr w:type="gramStart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>was</w:t>
            </w:r>
            <w:proofErr w:type="gramEnd"/>
            <w:r w:rsidRPr="006C1AD1">
              <w:rPr>
                <w:rFonts w:ascii="Arial" w:eastAsia="Times New Roman" w:hAnsi="Arial" w:cs="Arial"/>
                <w:sz w:val="24"/>
                <w:szCs w:val="24"/>
              </w:rPr>
              <w:t xml:space="preserve"> 23,400, then it follows that the actual wage rate per hour was $5.1923.</w:t>
            </w:r>
          </w:p>
        </w:tc>
      </w:tr>
    </w:tbl>
    <w:p w:rsidR="003A7034" w:rsidRPr="006C1AD1" w:rsidRDefault="003A7034"/>
    <w:sectPr w:rsidR="003A7034" w:rsidRPr="006C1AD1" w:rsidSect="003A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AD1"/>
    <w:rsid w:val="003A7034"/>
    <w:rsid w:val="006C1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6C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</dc:creator>
  <cp:keywords/>
  <dc:description/>
  <cp:lastModifiedBy>Nira</cp:lastModifiedBy>
  <cp:revision>2</cp:revision>
  <dcterms:created xsi:type="dcterms:W3CDTF">2015-07-02T06:32:00Z</dcterms:created>
  <dcterms:modified xsi:type="dcterms:W3CDTF">2015-07-02T06:33:00Z</dcterms:modified>
</cp:coreProperties>
</file>