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2563EB"/>
          <w:sz w:val="20"/>
        </w:rPr>
        <w:t>KNOWLEDGEOS ENTERPRISE</w:t>
        <w:br/>
      </w:r>
      <w:r>
        <w:rPr>
          <w:b/>
          <w:color w:val="0F172A"/>
          <w:sz w:val="36"/>
        </w:rPr>
        <w:t>MUTUAL NON-DISCLOSURE AGREEMENT</w:t>
      </w:r>
    </w:p>
    <w:p>
      <w:pPr>
        <w:spacing w:after="360"/>
        <w:jc w:val="center"/>
      </w:pPr>
      <w:r>
        <w:rPr>
          <w:i/>
          <w:color w:val="64748B"/>
          <w:sz w:val="19"/>
        </w:rPr>
        <w:t>Standard Corporate Legal Template — Master Confidentiality Agreement</w:t>
      </w:r>
    </w:p>
    <w:p>
      <w:pPr>
        <w:spacing w:after="240"/>
      </w:pPr>
      <w:r>
        <w:t xml:space="preserve">This Mutual Non-Disclosure Agreement (“Agreement”) is entered into and made effective as of </w:t>
      </w:r>
      <w:r>
        <w:rPr>
          <w:b/>
        </w:rPr>
        <w:t>_________________________, 20___</w:t>
      </w:r>
      <w:r>
        <w:t xml:space="preserve"> (“Effective Date”), by and between:</w:t>
      </w:r>
    </w:p>
    <w:tbl>
      <w:tblPr>
        <w:tblW w:type="auto" w:w="0"/>
        <w:jc w:val="center"/>
        <w:tblLayout w:type="fixed"/>
        <w:tblLook w:firstColumn="1" w:firstRow="1" w:lastColumn="0" w:lastRow="0" w:noHBand="0" w:noVBand="1" w:val="04A0"/>
      </w:tblPr>
      <w:tblGrid>
        <w:gridCol w:w="4968"/>
        <w:gridCol w:w="4968"/>
      </w:tblGrid>
      <w:tr>
        <w:tc>
          <w:tcPr>
            <w:tcW w:type="dxa" w:w="4752"/>
            <w:shd w:fill="0F172A"/>
          </w:tcPr>
          <w:p>
            <w:pPr>
              <w:spacing w:before="80" w:after="80"/>
              <w:jc w:val="left"/>
            </w:pPr>
            <w:r>
              <w:rPr>
                <w:b/>
                <w:color w:val="FFFFFF"/>
                <w:sz w:val="19"/>
              </w:rPr>
              <w:t>PARTY A</w:t>
            </w:r>
          </w:p>
        </w:tc>
        <w:tc>
          <w:tcPr>
            <w:tcW w:type="dxa" w:w="4752"/>
            <w:shd w:fill="0F172A"/>
          </w:tcPr>
          <w:p>
            <w:pPr>
              <w:spacing w:before="80" w:after="80"/>
              <w:jc w:val="left"/>
            </w:pPr>
            <w:r>
              <w:rPr>
                <w:b/>
                <w:color w:val="FFFFFF"/>
                <w:sz w:val="19"/>
              </w:rPr>
              <w:t>PARTY B</w:t>
            </w:r>
          </w:p>
        </w:tc>
      </w:tr>
      <w:tr>
        <w:tc>
          <w:tcPr>
            <w:tcW w:type="dxa" w:w="4752"/>
            <w:shd w:fill="F8FAFC"/>
          </w:tcPr>
          <w:p>
            <w:pPr>
              <w:spacing w:before="120" w:after="120"/>
            </w:pPr>
            <w:r>
              <w:rPr>
                <w:b/>
              </w:rPr>
              <w:t>KnowledgeOS Enterprise, Inc.</w:t>
              <w:br/>
            </w:r>
            <w:r>
              <w:t>A Delaware Corporation</w:t>
              <w:br/>
              <w:t>100 Technology Plaza, Suite 800</w:t>
              <w:br/>
              <w:t>San Francisco, CA 94105</w:t>
              <w:br/>
              <w:t>Email: legal@knowledgeos.io</w:t>
            </w:r>
          </w:p>
        </w:tc>
        <w:tc>
          <w:tcPr>
            <w:tcW w:type="dxa" w:w="4752"/>
            <w:shd w:fill="F8FAFC"/>
          </w:tcPr>
          <w:p>
            <w:pPr>
              <w:spacing w:before="120" w:after="120"/>
            </w:pPr>
            <w:r>
              <w:rPr>
                <w:b/>
              </w:rPr>
              <w:t>Company Name: _______________________</w:t>
              <w:br/>
            </w:r>
            <w:r>
              <w:t>State/Country of Inc: __________________</w:t>
              <w:br/>
              <w:t>Address: _____________________________</w:t>
              <w:br/>
              <w:t>_____________________________________</w:t>
              <w:br/>
              <w:t>Email: ______________________________</w:t>
            </w:r>
          </w:p>
        </w:tc>
      </w:tr>
    </w:tbl>
    <w:p>
      <w:pPr>
        <w:spacing w:before="120" w:after="120"/>
      </w:pPr>
      <w:r>
        <w:t>WHEREAS, Party A and Party B (collectively, the “Parties” and individually, a “Party”) desire to evaluate potential strategic business opportunities, technology integration, software evaluation, or commercial relationships (“Purpose”); and</w:t>
      </w:r>
    </w:p>
    <w:p>
      <w:pPr>
        <w:spacing w:after="240"/>
      </w:pPr>
      <w:r>
        <w:t>WHEREAS, in connection with the Purpose, each Party may disclose to the other Party certain non-public, proprietary, or confidential technical and business information.</w:t>
      </w:r>
    </w:p>
    <w:p>
      <w:r>
        <w:t>NOW, THEREFORE, in consideration of the mutual covenants contained herein and other good and valuable consideration, the receipt and sufficiency of which are hereby acknowledged, the Parties agree as follows:</w:t>
      </w:r>
    </w:p>
    <w:p>
      <w:pPr>
        <w:keepNext/>
        <w:spacing w:before="280" w:after="80"/>
      </w:pPr>
      <w:r>
        <w:rPr>
          <w:b/>
          <w:color w:val="0F172A"/>
          <w:sz w:val="22"/>
        </w:rPr>
        <w:t>1. DEFINITIONS</w:t>
      </w:r>
    </w:p>
    <w:p>
      <w:r>
        <w:rPr>
          <w:b/>
        </w:rPr>
        <w:t xml:space="preserve">1.1 “Confidential Information” </w:t>
      </w:r>
      <w:r>
        <w:t>means all non-public information disclosed by one Party (“Disclosing Party”) to the other Party (“Receiving Party”), whether orally, visually, in writing, or in electronic form, that is designated as confidential or that reasonably should be understood to be confidential given the nature of the information and the circumstances of disclosure.</w:t>
      </w:r>
    </w:p>
    <w:p>
      <w:r>
        <w:rPr>
          <w:b/>
        </w:rPr>
        <w:t xml:space="preserve">1.2 “Representative” </w:t>
      </w:r>
      <w:r>
        <w:t>means the directors, officers, employees, legal counsel, financial advisors, accountants, and contract consultants of a Party who have a legitimate need-to-know the Confidential Information for the Purpose.</w:t>
      </w:r>
    </w:p>
    <w:p>
      <w:pPr>
        <w:keepNext/>
        <w:spacing w:before="280" w:after="80"/>
      </w:pPr>
      <w:r>
        <w:rPr>
          <w:b/>
          <w:color w:val="0F172A"/>
          <w:sz w:val="22"/>
        </w:rPr>
        <w:t>2. SCOPE OF CONFIDENTIAL INFORMATION</w:t>
      </w:r>
    </w:p>
    <w:p>
      <w:r>
        <w:t>Confidential Information includes, without limitation: (a) software code, artificial intelligence algorithms, architectural designs, data models, API specifications, product roadmaps, and technical data; (b) business plans, customer lists, pricing structures, financial projections, and marketing strategies; (c) proprietary trade secrets, research, and technical know-how; and (d) any notes, analysis, compilations, or summaries prepared by Receiving Party that contain or reflect Confidential Information.</w:t>
      </w:r>
    </w:p>
    <w:p>
      <w:pPr>
        <w:keepNext/>
        <w:spacing w:before="280" w:after="80"/>
      </w:pPr>
      <w:r>
        <w:rPr>
          <w:b/>
          <w:color w:val="0F172A"/>
          <w:sz w:val="22"/>
        </w:rPr>
        <w:t>3. OBLIGATIONS &amp; DUTY OF CONFIDENTIALITY</w:t>
      </w:r>
    </w:p>
    <w:p>
      <w:r>
        <w:t>The Receiving Party shall:</w:t>
      </w:r>
    </w:p>
    <w:p>
      <w:pPr>
        <w:pStyle w:val="ListBullet"/>
        <w:spacing w:after="60"/>
      </w:pPr>
      <w:r>
        <w:rPr>
          <w:b/>
        </w:rPr>
        <w:t xml:space="preserve">Degree of Care: </w:t>
      </w:r>
      <w:r>
        <w:t>Protect the Disclosing Party’s Confidential Information using at least the same degree of care it uses to protect its own confidential information of like nature, but in no event less than a reasonable standard of care.</w:t>
      </w:r>
    </w:p>
    <w:p>
      <w:pPr>
        <w:pStyle w:val="ListBullet"/>
        <w:spacing w:after="60"/>
      </w:pPr>
      <w:r>
        <w:rPr>
          <w:b/>
        </w:rPr>
        <w:t xml:space="preserve">Restricted Use: </w:t>
      </w:r>
      <w:r>
        <w:t>Use Confidential Information solely and exclusively for the evaluation and execution of the Purpose, and for no other business or personal purpose.</w:t>
      </w:r>
    </w:p>
    <w:p>
      <w:pPr>
        <w:pStyle w:val="ListBullet"/>
        <w:spacing w:after="60"/>
      </w:pPr>
      <w:r>
        <w:rPr>
          <w:b/>
        </w:rPr>
        <w:t xml:space="preserve">Limited Disclosure: </w:t>
      </w:r>
      <w:r>
        <w:t>Not disclose Confidential Information to any third party other than its Representatives who are bound by confidentiality obligations at least as restrictive as those contained herein.</w:t>
      </w:r>
    </w:p>
    <w:p>
      <w:pPr>
        <w:pStyle w:val="ListBullet"/>
        <w:spacing w:after="60"/>
      </w:pPr>
      <w:r>
        <w:rPr>
          <w:b/>
        </w:rPr>
        <w:t xml:space="preserve">Notification of Breach: </w:t>
      </w:r>
      <w:r>
        <w:t>Promptly notify the Disclosing Party in writing immediately upon discovering any unauthorized disclosure, misuse, or loss of Confidential Information.</w:t>
      </w:r>
    </w:p>
    <w:p>
      <w:pPr>
        <w:keepNext/>
        <w:spacing w:before="280" w:after="80"/>
      </w:pPr>
      <w:r>
        <w:rPr>
          <w:b/>
          <w:color w:val="0F172A"/>
          <w:sz w:val="22"/>
        </w:rPr>
        <w:t>4. EXCLUSIONS &amp; EXCEPTIONS</w:t>
      </w:r>
    </w:p>
    <w:p>
      <w:r>
        <w:t>Confidential Information does not include information that Receiving Party can demonstrate through written records:</w:t>
      </w:r>
    </w:p>
    <w:p>
      <w:pPr>
        <w:pStyle w:val="ListBullet"/>
        <w:spacing w:after="60"/>
      </w:pPr>
      <w:r>
        <w:rPr>
          <w:b/>
        </w:rPr>
        <w:t xml:space="preserve">Public Domain: </w:t>
      </w:r>
      <w:r>
        <w:t>Is or becomes publicly known through no breach or fault of the Receiving Party.</w:t>
      </w:r>
    </w:p>
    <w:p>
      <w:pPr>
        <w:pStyle w:val="ListBullet"/>
        <w:spacing w:after="60"/>
      </w:pPr>
      <w:r>
        <w:rPr>
          <w:b/>
        </w:rPr>
        <w:t xml:space="preserve">Prior Possession: </w:t>
      </w:r>
      <w:r>
        <w:t>Was already rightfully in Receiving Party’s possession prior to disclosure without duty of confidentiality.</w:t>
      </w:r>
    </w:p>
    <w:p>
      <w:pPr>
        <w:pStyle w:val="ListBullet"/>
        <w:spacing w:after="60"/>
      </w:pPr>
      <w:r>
        <w:rPr>
          <w:b/>
        </w:rPr>
        <w:t xml:space="preserve">Independent Development: </w:t>
      </w:r>
      <w:r>
        <w:t>Is independently developed by Receiving Party without reference to or reliance upon Disclosing Party’s Confidential Information.</w:t>
      </w:r>
    </w:p>
    <w:p>
      <w:pPr>
        <w:pStyle w:val="ListBullet"/>
        <w:spacing w:after="60"/>
      </w:pPr>
      <w:r>
        <w:rPr>
          <w:b/>
        </w:rPr>
        <w:t xml:space="preserve">Third-Party Right: </w:t>
      </w:r>
      <w:r>
        <w:t>Is rightfully obtained from a third party authorized to disclose such information without restriction.</w:t>
      </w:r>
    </w:p>
    <w:p>
      <w:pPr>
        <w:keepNext/>
        <w:spacing w:before="280" w:after="80"/>
      </w:pPr>
      <w:r>
        <w:rPr>
          <w:b/>
          <w:color w:val="0F172A"/>
          <w:sz w:val="22"/>
        </w:rPr>
        <w:t>5. COMPELLED LEGALLY REQUIRED DISCLOSURE</w:t>
      </w:r>
    </w:p>
    <w:p>
      <w:r>
        <w:t>If the Receiving Party is required by law, court order, subpoena, or government regulatory body to disclose Confidential Information, Receiving Party shall provide Disclosing Party with prompt written notice (to the extent legally permissible) so Disclosing Party may seek a protective order or appropriate remedy. Receiving Party shall disclose only that portion of Confidential Information legally mandated.</w:t>
      </w:r>
    </w:p>
    <w:p>
      <w:pPr>
        <w:keepNext/>
        <w:spacing w:before="280" w:after="80"/>
      </w:pPr>
      <w:r>
        <w:rPr>
          <w:b/>
          <w:color w:val="0F172A"/>
          <w:sz w:val="22"/>
        </w:rPr>
        <w:t>6. TERM &amp; SURVIVAL</w:t>
      </w:r>
    </w:p>
    <w:p>
      <w:r>
        <w:t>This Agreement commences on the Effective Date and shall remain in effect for a period of two (2) years. The obligations of confidentiality set forth herein shall survive termination of this Agreement for a period of three (3) years from the date of disclosure; provided, however, that trade secrets and proprietary source code shall remain strictly confidential in perpetuity.</w:t>
      </w:r>
    </w:p>
    <w:p>
      <w:pPr>
        <w:keepNext/>
        <w:spacing w:before="280" w:after="80"/>
      </w:pPr>
      <w:r>
        <w:rPr>
          <w:b/>
          <w:color w:val="0F172A"/>
          <w:sz w:val="22"/>
        </w:rPr>
        <w:t>7. RETURN OR DESTRUCTION OF MATERIALS</w:t>
      </w:r>
    </w:p>
    <w:p>
      <w:r>
        <w:t>Upon written request by Disclosing Party or upon expiration/termination of this Agreement, Receiving Party shall promptly return or destroy (at Disclosing Party's option) all physical documents, electronic files, and media containing Confidential Information, and certify such destruction in writing within fourteen (14) calendar days.</w:t>
      </w:r>
    </w:p>
    <w:p>
      <w:pPr>
        <w:keepNext/>
        <w:spacing w:before="280" w:after="80"/>
      </w:pPr>
      <w:r>
        <w:rPr>
          <w:b/>
          <w:color w:val="0F172A"/>
          <w:sz w:val="22"/>
        </w:rPr>
        <w:t>8. NO LICENSE &amp; NO WARRANTY</w:t>
      </w:r>
    </w:p>
    <w:p>
      <w:r>
        <w:t>Nothing in this Agreement grants either Party any license, title, or intellectual property rights in or to the other Party's technology or data. ALL CONFIDENTIAL INFORMATION IS PROVIDED ON AN “AS IS” BASIS WITHOUT WARRANTIES OF ANY KIND.</w:t>
      </w:r>
    </w:p>
    <w:p>
      <w:pPr>
        <w:keepNext/>
        <w:spacing w:before="280" w:after="80"/>
      </w:pPr>
      <w:r>
        <w:rPr>
          <w:b/>
          <w:color w:val="0F172A"/>
          <w:sz w:val="22"/>
        </w:rPr>
        <w:t>9. GOVERNING LAW &amp; DISPUTE RESOLUTION</w:t>
      </w:r>
    </w:p>
    <w:p>
      <w:r>
        <w:t>This Agreement shall be governed by and construed in accordance with the laws of the State of California, without regard to its conflict of law principles. Any dispute arising under or relating to this Agreement shall be resolved through binding arbitration administered by JAMS in San Francisco, California, under its Comprehensive Arbitration Rules.</w:t>
      </w:r>
    </w:p>
    <w:p>
      <w:pPr>
        <w:keepNext/>
        <w:spacing w:before="280" w:after="80"/>
      </w:pPr>
      <w:r>
        <w:rPr>
          <w:b/>
          <w:color w:val="0F172A"/>
          <w:sz w:val="22"/>
        </w:rPr>
        <w:t>10. GENERAL PROVISIONS</w:t>
      </w:r>
    </w:p>
    <w:p>
      <w:r>
        <w:t>This Agreement constitutes the entire understanding between the Parties concerning confidentiality and supersedes all prior agreements. Amendments must be in writing signed by authorized representatives of both Parties. Neither Party may assign this Agreement without prior written consent.</w:t>
      </w:r>
    </w:p>
    <w:p>
      <w:pPr>
        <w:keepNext/>
        <w:spacing w:before="320" w:after="160"/>
      </w:pPr>
      <w:r>
        <w:rPr>
          <w:b/>
          <w:sz w:val="19"/>
        </w:rPr>
        <w:t>IN WITNESS WHEREOF, the Parties have executed this Mutual Non-Disclosure Agreement as of the Effective Date.</w:t>
      </w:r>
    </w:p>
    <w:tbl>
      <w:tblPr>
        <w:tblW w:type="auto" w:w="0"/>
        <w:jc w:val="center"/>
        <w:tblLayout w:type="fixed"/>
        <w:tblLook w:firstColumn="1" w:firstRow="1" w:lastColumn="0" w:lastRow="0" w:noHBand="0" w:noVBand="1" w:val="04A0"/>
      </w:tblPr>
      <w:tblGrid>
        <w:gridCol w:w="4968"/>
        <w:gridCol w:w="4968"/>
      </w:tblGrid>
      <w:tr>
        <w:tc>
          <w:tcPr>
            <w:tcW w:type="dxa" w:w="4752"/>
          </w:tcPr>
          <w:p>
            <w:pPr>
              <w:spacing w:before="60" w:after="60"/>
            </w:pPr>
            <w:r>
              <w:rPr>
                <w:b/>
              </w:rPr>
              <w:t>KNOWLEDGEOS ENTERPRISE, INC.</w:t>
            </w:r>
          </w:p>
        </w:tc>
        <w:tc>
          <w:tcPr>
            <w:tcW w:type="dxa" w:w="4752"/>
          </w:tcPr>
          <w:p>
            <w:pPr>
              <w:spacing w:before="60" w:after="60"/>
            </w:pPr>
            <w:r>
              <w:rPr>
                <w:b/>
              </w:rPr>
              <w:t>PARTY B: ____________________</w:t>
            </w:r>
          </w:p>
        </w:tc>
      </w:tr>
      <w:tr>
        <w:tc>
          <w:tcPr>
            <w:tcW w:type="dxa" w:w="4752"/>
          </w:tcPr>
          <w:p>
            <w:pPr>
              <w:spacing w:before="60" w:after="60"/>
            </w:pPr>
            <w:r>
              <w:t>By: ___________________________</w:t>
            </w:r>
          </w:p>
        </w:tc>
        <w:tc>
          <w:tcPr>
            <w:tcW w:type="dxa" w:w="4752"/>
          </w:tcPr>
          <w:p>
            <w:pPr>
              <w:spacing w:before="60" w:after="60"/>
            </w:pPr>
            <w:r>
              <w:t>By: ___________________________</w:t>
            </w:r>
          </w:p>
        </w:tc>
      </w:tr>
      <w:tr>
        <w:tc>
          <w:tcPr>
            <w:tcW w:type="dxa" w:w="4752"/>
          </w:tcPr>
          <w:p>
            <w:pPr>
              <w:spacing w:before="60" w:after="60"/>
            </w:pPr>
            <w:r>
              <w:t>Name: Alex Vance</w:t>
            </w:r>
          </w:p>
        </w:tc>
        <w:tc>
          <w:tcPr>
            <w:tcW w:type="dxa" w:w="4752"/>
          </w:tcPr>
          <w:p>
            <w:pPr>
              <w:spacing w:before="60" w:after="60"/>
            </w:pPr>
            <w:r>
              <w:t>Name: _________________________</w:t>
            </w:r>
          </w:p>
        </w:tc>
      </w:tr>
      <w:tr>
        <w:tc>
          <w:tcPr>
            <w:tcW w:type="dxa" w:w="4752"/>
          </w:tcPr>
          <w:p>
            <w:pPr>
              <w:spacing w:before="60" w:after="60"/>
            </w:pPr>
            <w:r>
              <w:t>Title: Chief Legal Officer</w:t>
            </w:r>
          </w:p>
        </w:tc>
        <w:tc>
          <w:tcPr>
            <w:tcW w:type="dxa" w:w="4752"/>
          </w:tcPr>
          <w:p>
            <w:pPr>
              <w:spacing w:before="60" w:after="60"/>
            </w:pPr>
            <w:r>
              <w:t>Title: __________________________</w:t>
            </w:r>
          </w:p>
        </w:tc>
      </w:tr>
      <w:tr>
        <w:tc>
          <w:tcPr>
            <w:tcW w:type="dxa" w:w="4752"/>
          </w:tcPr>
          <w:p>
            <w:pPr>
              <w:spacing w:before="60" w:after="60"/>
            </w:pPr>
            <w:r>
              <w:t>Date: _________________________</w:t>
            </w:r>
          </w:p>
        </w:tc>
        <w:tc>
          <w:tcPr>
            <w:tcW w:type="dxa" w:w="4752"/>
          </w:tcPr>
          <w:p>
            <w:pPr>
              <w:spacing w:before="60" w:after="60"/>
            </w:pPr>
            <w:r>
              <w:t>Date: _________________________</w:t>
            </w:r>
          </w:p>
        </w:tc>
      </w:tr>
      <w:tr>
        <w:tc>
          <w:tcPr>
            <w:tcW w:type="dxa" w:w="4752"/>
          </w:tcPr>
          <w:p>
            <w:pPr>
              <w:spacing w:before="60" w:after="60"/>
            </w:pPr>
            <w:r>
              <w:t>Email: legal@knowledgeos.io</w:t>
            </w:r>
          </w:p>
        </w:tc>
        <w:tc>
          <w:tcPr>
            <w:tcW w:type="dxa" w:w="4752"/>
          </w:tcPr>
          <w:p>
            <w:pPr>
              <w:spacing w:before="60" w:after="60"/>
            </w:pPr>
            <w:r>
              <w:t>Email: 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