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t xml:space="preserve">08 October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7678B7FB" w:rsidR="00604E29" w:rsidRDefault="00604E29">
            <w:r>
              <w:t xml:space="preserve">SWTID-2026-1916</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1037079B" w:rsidR="00604E29" w:rsidRDefault="00604E29">
            <w:r>
              <w:t xml:space="preserve">Implement Client Script &amp; UI Policy</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77777777" w:rsidR="00604E29" w:rsidRDefault="00604E29">
            <w:r>
              <w:t xml:space="preserve">Incident records in ServiceNow need consistent and accurate data for effective triage, routing and resolution. Relying only on user awareness and manual checks leads to incomplete, inconsistent or incorrect data (for example, High-impact incidents saved without an Assignment group or Assigned to).</w:t>
            </w:r>
          </w:p>
          <w:p w14:paraId="5582DE8C" w14:textId="77777777" w:rsidR="00604E29" w:rsidRDefault="00604E29">
            <w:r>
              <w:t xml:space="preserve">This hurts reporting accuracy, SLA compliance and overall service quality. Field behaviour and validation must be enforced directly at the user-interface level.</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77777777" w:rsidR="00604E29" w:rsidRDefault="00604E29">
            <w:r>
              <w:t xml:space="preserve">Use ServiceNow client-side controls on the Incident table to enforce business rules before a record is submitted:</w:t>
            </w:r>
          </w:p>
          <w:p w14:paraId="463B60E0" w14:textId="77777777" w:rsidR="00604E29" w:rsidRDefault="00604E29">
            <w:r>
              <w:t xml:space="preserve">• UI Policy “High Impact Control” (Impact = 1 - High, Reverse if false): makes Assignment group mandatory; a UI Policy Action makes Urgency read-only.</w:t>
            </w:r>
          </w:p>
          <w:p w14:paraId="463B60E0" w14:textId="77777777" w:rsidR="00604E29" w:rsidRDefault="00604E29">
            <w:r>
              <w:t xml:space="preserve">• onChange Client Script (Impact): automatically sets Urgency to 1 - High and shows an info message when Impact is High.</w:t>
            </w:r>
          </w:p>
          <w:p w14:paraId="463B60E0" w14:textId="77777777" w:rsidR="00604E29" w:rsidRDefault="00604E29">
            <w:r>
              <w:t xml:space="preserve">• onSubmit Client Script: blocks saving a High-impact Incident when Assigned to is empty and shows an error on the field.</w:t>
            </w:r>
          </w:p>
          <w:p w14:paraId="463B60E0" w14:textId="77777777" w:rsidR="00604E29" w:rsidRDefault="00604E29">
            <w:r>
              <w:t xml:space="preserve">• onCellEdit Client Script (State): prevents State from being changed through list editing and tells the user to open the Incident form.</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77777777" w:rsidR="00604E29" w:rsidRDefault="00604E29">
            <w:r>
              <w:t xml:space="preserve">A lightweight, no-code/low-code solution that combines UI Policies (declarative, reversible rules) with Client Scripts (onChange, onSubmit, onCellEdit) to cover form, save-time and list-edit paths, so data rules cannot be bypassed by editing from the list.</w:t>
            </w:r>
          </w:p>
          <w:p w14:paraId="352499F2" w14:textId="77777777" w:rsidR="00604E29" w:rsidRDefault="00604E29">
            <w:r>
              <w:t xml:space="preserve">“Reverse if false” automatically restores normal field behaviour when the condition no longer applies, and no server-side changes are required.</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77777777" w:rsidR="00604E29" w:rsidRDefault="00604E29">
            <w:r>
              <w:t xml:space="preserve">Support agents get clear, immediate feedback and guided data entry, which reduces rework, back-and-forth and misrouted tickets.</w:t>
            </w:r>
          </w:p>
          <w:p w14:paraId="039671E8" w14:textId="77777777" w:rsidR="00604E29" w:rsidRDefault="00604E29">
            <w:r>
              <w:t xml:space="preserve">End users benefit from faster triage and resolution of high-impact issues, and consistent data improves SLA compliance and the accuracy of reports, raising overall customer satisfaction.</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77777777" w:rsidR="00604E29" w:rsidRDefault="00604E29">
            <w:r>
              <w:t xml:space="preserve">Built on the existing ServiceNow platform using standard configuration (UI Policies and Client Scripts), so there is no additional licensing or infrastructure cost.</w:t>
            </w:r>
          </w:p>
          <w:p w14:paraId="3E97F94F" w14:textId="77777777" w:rsidR="00604E29" w:rsidRDefault="00604E29">
            <w:r>
              <w:t xml:space="preserve">Value comes from cost savings: less manual data correction, fewer SLA breaches and better reporting. It can also be offered as a reusable configuration package or implementation service to other ServiceNow customers.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77777777" w:rsidR="00604E29" w:rsidRDefault="00604E29">
            <w:r>
              <w:t xml:space="preserve">The same pattern can be reused on other tables (Problem, Change, Request) and for other conditions or fields by changing the UI Policy condition and script field.</w:t>
            </w:r>
          </w:p>
          <w:p w14:paraId="7C323FF0" w14:textId="77777777" w:rsidR="00604E29" w:rsidRDefault="00604E29">
            <w:r>
              <w:t xml:space="preserve">Client-side logic is lightweight and runs in the user's browser, so it adds no server load. It can be packaged in an update set or scoped application and moved across instances (Dev → Test → Prod).</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4</cp:revision>
  <dcterms:created xsi:type="dcterms:W3CDTF">2022-09-18T16:51:00Z</dcterms:created>
  <dcterms:modified xsi:type="dcterms:W3CDTF">2025-02-15T04:34:00Z</dcterms:modified>
</cp:coreProperties>
</file>