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AA219" w14:textId="77777777" w:rsidR="009A585B" w:rsidRPr="009A585B" w:rsidRDefault="009A585B" w:rsidP="009A585B">
      <w:pPr>
        <w:shd w:val="clear" w:color="auto" w:fill="FFFFFF"/>
        <w:spacing w:before="45" w:after="0" w:line="240" w:lineRule="auto"/>
        <w:textAlignment w:val="baseline"/>
        <w:outlineLvl w:val="3"/>
        <w:rPr>
          <w:rFonts w:ascii="Tahoma" w:eastAsia="Times New Roman" w:hAnsi="Tahoma" w:cs="Tahoma"/>
          <w:b/>
          <w:bCs/>
          <w:color w:val="0867B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867B0"/>
          <w:kern w:val="0"/>
          <w:sz w:val="18"/>
          <w:szCs w:val="18"/>
          <w14:ligatures w14:val="none"/>
        </w:rPr>
        <w:t>PAYMENT OF INDIRECT TAXES (CUSTOMS DUTY) THROUGH SBI CORPORATE INTERNET BANKING</w:t>
      </w:r>
    </w:p>
    <w:p w14:paraId="3FB99D42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To pay Indirect Taxes (Customs) through the internet:</w:t>
      </w:r>
    </w:p>
    <w:p w14:paraId="4ED2B056" w14:textId="77777777" w:rsidR="009A585B" w:rsidRPr="009A585B" w:rsidRDefault="009A585B" w:rsidP="009A585B">
      <w:pPr>
        <w:numPr>
          <w:ilvl w:val="0"/>
          <w:numId w:val="1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Click the Indirect Taxes (Customs) </w:t>
      </w:r>
      <w:hyperlink r:id="rId5" w:tgtFrame="_blank" w:tooltip="Epayment Link" w:history="1">
        <w:r w:rsidRPr="009A585B">
          <w:rPr>
            <w:rFonts w:ascii="Tahoma" w:eastAsia="Times New Roman" w:hAnsi="Tahoma" w:cs="Tahoma"/>
            <w:b/>
            <w:bCs/>
            <w:color w:val="006699"/>
            <w:kern w:val="0"/>
            <w:sz w:val="18"/>
            <w:szCs w:val="18"/>
            <w:bdr w:val="none" w:sz="0" w:space="0" w:color="auto" w:frame="1"/>
            <w14:ligatures w14:val="none"/>
          </w:rPr>
          <w:t>(https://epay.icegate.gov.in/epayment/locationAction)</w:t>
        </w:r>
      </w:hyperlink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 link to go to Customs e-payment Gateway.</w:t>
      </w:r>
    </w:p>
    <w:p w14:paraId="03C3B866" w14:textId="77777777" w:rsidR="009A585B" w:rsidRPr="009A585B" w:rsidRDefault="009A585B" w:rsidP="009A585B">
      <w:pPr>
        <w:numPr>
          <w:ilvl w:val="0"/>
          <w:numId w:val="2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Provide your Import-Export code or your login credentials given by ICEGATE &amp; select your location at which your custom payment is due.</w:t>
      </w:r>
    </w:p>
    <w:p w14:paraId="0685DCC7" w14:textId="77777777" w:rsidR="009A585B" w:rsidRPr="009A585B" w:rsidRDefault="009A585B" w:rsidP="009A585B">
      <w:pPr>
        <w:numPr>
          <w:ilvl w:val="0"/>
          <w:numId w:val="3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You will be displayed a list of your unpaid challans.</w:t>
      </w:r>
    </w:p>
    <w:p w14:paraId="587368DA" w14:textId="77777777" w:rsidR="009A585B" w:rsidRPr="009A585B" w:rsidRDefault="009A585B" w:rsidP="009A585B">
      <w:pPr>
        <w:numPr>
          <w:ilvl w:val="0"/>
          <w:numId w:val="4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You can pay multiple challans in one go by selecting these challans from the list displayed (Maximum </w:t>
      </w:r>
      <w:proofErr w:type="spellStart"/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upto</w:t>
      </w:r>
      <w:proofErr w:type="spellEnd"/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25 challans).</w:t>
      </w:r>
    </w:p>
    <w:p w14:paraId="5E8A53A0" w14:textId="77777777" w:rsidR="009A585B" w:rsidRPr="009A585B" w:rsidRDefault="009A585B" w:rsidP="009A585B">
      <w:pPr>
        <w:numPr>
          <w:ilvl w:val="0"/>
          <w:numId w:val="5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You can also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effect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individual challan payment.</w:t>
      </w:r>
    </w:p>
    <w:p w14:paraId="7BB7188F" w14:textId="77777777" w:rsidR="009A585B" w:rsidRPr="009A585B" w:rsidRDefault="009A585B" w:rsidP="009A585B">
      <w:pPr>
        <w:numPr>
          <w:ilvl w:val="0"/>
          <w:numId w:val="6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Select State Bank of India for payment.</w:t>
      </w:r>
    </w:p>
    <w:p w14:paraId="3A361452" w14:textId="77777777" w:rsidR="009A585B" w:rsidRPr="009A585B" w:rsidRDefault="009A585B" w:rsidP="009A585B">
      <w:pPr>
        <w:numPr>
          <w:ilvl w:val="0"/>
          <w:numId w:val="7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You will be redirected to the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OnlineSBI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login page.</w:t>
      </w:r>
    </w:p>
    <w:p w14:paraId="47B656B2" w14:textId="77777777" w:rsidR="009A585B" w:rsidRPr="009A585B" w:rsidRDefault="009A585B" w:rsidP="009A585B">
      <w:pPr>
        <w:numPr>
          <w:ilvl w:val="0"/>
          <w:numId w:val="8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Enter your Internet Banking user ID and password. If your credentials are valid, you can proceed to select the account from which you wish to pay tax.</w:t>
      </w:r>
    </w:p>
    <w:p w14:paraId="3928BA63" w14:textId="77777777" w:rsidR="009A585B" w:rsidRPr="009A585B" w:rsidRDefault="009A585B" w:rsidP="009A585B">
      <w:pPr>
        <w:numPr>
          <w:ilvl w:val="0"/>
          <w:numId w:val="9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You will be provided a link to print the e-receipt for this payment on successful processing of your transaction.</w:t>
      </w:r>
    </w:p>
    <w:p w14:paraId="6A834BFE" w14:textId="77777777" w:rsidR="009A585B" w:rsidRPr="009A585B" w:rsidRDefault="009A585B" w:rsidP="009A585B">
      <w:pPr>
        <w:numPr>
          <w:ilvl w:val="0"/>
          <w:numId w:val="10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You will be redirected to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ICEGATE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site. If payment was successfully made for the challan, it will not appear in the list of pending challans in the ICEGATE site.</w:t>
      </w:r>
    </w:p>
    <w:p w14:paraId="4A073BEB" w14:textId="77777777" w:rsidR="009A585B" w:rsidRPr="009A585B" w:rsidRDefault="009A585B" w:rsidP="009A585B">
      <w:pPr>
        <w:numPr>
          <w:ilvl w:val="0"/>
          <w:numId w:val="11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You can also generate e-receipt/acknowledgment subsequently from 'status enquiry' link under 'enquiries' tab of onlinesbi.com.</w:t>
      </w:r>
    </w:p>
    <w:p w14:paraId="12928EC0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For 'process demo', please go to the home page of Corporate Internet Banking -&gt; Click on SBI e-Tax -&gt; Central Government Taxes -&gt; ICEGATE (Indian Customs EDI gateway) and click on 'Click here for process demo'.</w:t>
      </w:r>
    </w:p>
    <w:p w14:paraId="1B7B1034" w14:textId="77777777" w:rsidR="009A585B" w:rsidRPr="009A585B" w:rsidRDefault="009A585B" w:rsidP="009A58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br/>
      </w:r>
    </w:p>
    <w:p w14:paraId="5B29540F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FAQ:</w:t>
      </w:r>
    </w:p>
    <w:p w14:paraId="5B8AB3FD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proofErr w:type="spellStart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Scnerio</w:t>
      </w:r>
      <w:proofErr w:type="spellEnd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1:</w:t>
      </w:r>
    </w:p>
    <w:p w14:paraId="7327EA5E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While making Customs Duty payment error message received from bank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portal :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" Due to some technical problems, we are unable to process your request "</w:t>
      </w:r>
    </w:p>
    <w:p w14:paraId="5D5702D8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Reasons:</w:t>
      </w:r>
    </w:p>
    <w:p w14:paraId="6E150B7B" w14:textId="77777777" w:rsidR="009A585B" w:rsidRPr="009A585B" w:rsidRDefault="009A585B" w:rsidP="009A585B">
      <w:pPr>
        <w:numPr>
          <w:ilvl w:val="0"/>
          <w:numId w:val="12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Rule not set by the corporate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Admin</w:t>
      </w:r>
      <w:proofErr w:type="gramEnd"/>
    </w:p>
    <w:p w14:paraId="386666EB" w14:textId="77777777" w:rsidR="009A585B" w:rsidRPr="009A585B" w:rsidRDefault="009A585B" w:rsidP="009A585B">
      <w:pPr>
        <w:numPr>
          <w:ilvl w:val="0"/>
          <w:numId w:val="13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Transaction amount is higher than the rule set by the corporate Admin.</w:t>
      </w:r>
    </w:p>
    <w:p w14:paraId="4B871B50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Solution:</w:t>
      </w:r>
    </w:p>
    <w:p w14:paraId="192FB304" w14:textId="77777777" w:rsidR="009A585B" w:rsidRPr="009A585B" w:rsidRDefault="009A585B" w:rsidP="009A585B">
      <w:pPr>
        <w:numPr>
          <w:ilvl w:val="0"/>
          <w:numId w:val="14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Corporate Admin Login to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OnlineSBI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-&gt; Manage Accounts -&gt; Rules -&gt; Select Account Number -&gt; Enter Transaction Limit -&gt; Select the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authorize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type :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Single or Joint -&gt; Submit.</w:t>
      </w:r>
    </w:p>
    <w:p w14:paraId="55F369F5" w14:textId="77777777" w:rsidR="009A585B" w:rsidRPr="009A585B" w:rsidRDefault="009A585B" w:rsidP="009A585B">
      <w:pPr>
        <w:numPr>
          <w:ilvl w:val="0"/>
          <w:numId w:val="15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On the next page -&gt; Select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Authorisers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Name -&gt; confirm.</w:t>
      </w:r>
    </w:p>
    <w:p w14:paraId="7634BD1C" w14:textId="77777777" w:rsidR="009A585B" w:rsidRPr="009A585B" w:rsidRDefault="009A585B" w:rsidP="009A585B">
      <w:pPr>
        <w:numPr>
          <w:ilvl w:val="0"/>
          <w:numId w:val="16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View by accounts -&gt; Select Account Number -&gt; Click on view -&gt; Take a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print out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of the relevant page and submit to your SBI Branch for their Approval.</w:t>
      </w:r>
    </w:p>
    <w:p w14:paraId="6047C498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proofErr w:type="spellStart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Scnerio</w:t>
      </w:r>
      <w:proofErr w:type="spellEnd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2:</w:t>
      </w:r>
    </w:p>
    <w:p w14:paraId="3C4DEAF0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Transaction/s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not completed,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challan not available in 'Unpaid challan' list in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Icegate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Portal.</w:t>
      </w:r>
    </w:p>
    <w:p w14:paraId="143ACC5C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Reasons:</w:t>
      </w:r>
    </w:p>
    <w:p w14:paraId="2EBEB0BA" w14:textId="77777777" w:rsidR="009A585B" w:rsidRPr="009A585B" w:rsidRDefault="009A585B" w:rsidP="009A585B">
      <w:pPr>
        <w:numPr>
          <w:ilvl w:val="0"/>
          <w:numId w:val="17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This could have occurred if the corporate has clicked on 'Challan' in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Icegate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portal but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has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not completed the online transaction/s.</w:t>
      </w:r>
    </w:p>
    <w:p w14:paraId="648E9819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Solution:</w:t>
      </w:r>
    </w:p>
    <w:p w14:paraId="4D6DF0B1" w14:textId="77777777" w:rsidR="009A585B" w:rsidRPr="009A585B" w:rsidRDefault="009A585B" w:rsidP="009A585B">
      <w:pPr>
        <w:numPr>
          <w:ilvl w:val="0"/>
          <w:numId w:val="18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Such challans would have moved to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'Incomplete Transactions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' list in the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Icegate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portal. Click on 'Verify' link in the </w:t>
      </w:r>
      <w:proofErr w:type="spell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Icegate</w:t>
      </w:r>
      <w:proofErr w:type="spell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portal and input '0' (Zero) in the box provided for entering 'Bank Reference Number'. By clicking on 'Verify' link the transaction/s will be moved to 'Unpaid Challans'.</w:t>
      </w:r>
    </w:p>
    <w:p w14:paraId="0DB78893" w14:textId="77777777" w:rsidR="009A585B" w:rsidRPr="009A585B" w:rsidRDefault="009A585B" w:rsidP="009A585B">
      <w:pPr>
        <w:numPr>
          <w:ilvl w:val="0"/>
          <w:numId w:val="19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lastRenderedPageBreak/>
        <w:t>Input the transaction afresh.</w:t>
      </w:r>
    </w:p>
    <w:p w14:paraId="54FF33D0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proofErr w:type="spellStart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Scnerio</w:t>
      </w:r>
      <w:proofErr w:type="spellEnd"/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3:</w:t>
      </w:r>
    </w:p>
    <w:p w14:paraId="5D73862E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Online payment is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successful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but ICEGATE portal is not updated and challan is not available to the corporate.</w:t>
      </w:r>
    </w:p>
    <w:p w14:paraId="33EF87D3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Reasons:</w:t>
      </w:r>
    </w:p>
    <w:p w14:paraId="073A7FD3" w14:textId="77777777" w:rsidR="009A585B" w:rsidRPr="009A585B" w:rsidRDefault="009A585B" w:rsidP="009A585B">
      <w:pPr>
        <w:numPr>
          <w:ilvl w:val="0"/>
          <w:numId w:val="20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Connectivity issue between SBI and ICEGATE portals.</w:t>
      </w:r>
    </w:p>
    <w:p w14:paraId="6A4670C8" w14:textId="77777777" w:rsidR="009A585B" w:rsidRPr="009A585B" w:rsidRDefault="009A585B" w:rsidP="009A585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b/>
          <w:bCs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Solution:</w:t>
      </w:r>
    </w:p>
    <w:p w14:paraId="2B618C2A" w14:textId="77777777" w:rsidR="009A585B" w:rsidRPr="009A585B" w:rsidRDefault="009A585B" w:rsidP="009A585B">
      <w:pPr>
        <w:numPr>
          <w:ilvl w:val="0"/>
          <w:numId w:val="21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Even after successful payment if challan is not generated, the relevant challan would have been moved to list of 'Incomplete transactions' on the ICEGATE portal. Please click on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'Verify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' tab. Provide the Internet Banking Reference Number in the box provided for entering 'Bank Reference Number'. The 'Bank Reference Number' will be available in your bank's e-Receipt/Acknowledgement. ICEGATE portal will be </w:t>
      </w:r>
      <w:proofErr w:type="gramStart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updated</w:t>
      </w:r>
      <w:proofErr w:type="gramEnd"/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 xml:space="preserve"> and challan will be generated.</w:t>
      </w:r>
    </w:p>
    <w:p w14:paraId="584AE320" w14:textId="77777777" w:rsidR="009A585B" w:rsidRPr="009A585B" w:rsidRDefault="009A585B" w:rsidP="009A585B">
      <w:pPr>
        <w:numPr>
          <w:ilvl w:val="0"/>
          <w:numId w:val="22"/>
        </w:numPr>
        <w:shd w:val="clear" w:color="auto" w:fill="FFFFFF"/>
        <w:spacing w:after="0" w:line="300" w:lineRule="atLeast"/>
        <w:ind w:left="1170"/>
        <w:jc w:val="both"/>
        <w:textAlignment w:val="baseline"/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</w:pPr>
      <w:r w:rsidRPr="009A585B">
        <w:rPr>
          <w:rFonts w:ascii="Tahoma" w:eastAsia="Times New Roman" w:hAnsi="Tahoma" w:cs="Tahoma"/>
          <w:color w:val="000000"/>
          <w:kern w:val="0"/>
          <w:sz w:val="18"/>
          <w:szCs w:val="18"/>
          <w14:ligatures w14:val="none"/>
        </w:rPr>
        <w:t>You may safely repeat this process if the issue is still not resolved.</w:t>
      </w:r>
    </w:p>
    <w:p w14:paraId="7629946B" w14:textId="77777777" w:rsidR="00613F3F" w:rsidRDefault="00613F3F"/>
    <w:sectPr w:rsidR="0061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486"/>
    <w:multiLevelType w:val="multilevel"/>
    <w:tmpl w:val="75B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54B6D"/>
    <w:multiLevelType w:val="multilevel"/>
    <w:tmpl w:val="BB8C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1324E"/>
    <w:multiLevelType w:val="multilevel"/>
    <w:tmpl w:val="267C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038A4"/>
    <w:multiLevelType w:val="multilevel"/>
    <w:tmpl w:val="4DF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B1B41"/>
    <w:multiLevelType w:val="multilevel"/>
    <w:tmpl w:val="857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50B3C"/>
    <w:multiLevelType w:val="multilevel"/>
    <w:tmpl w:val="7F26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F5E93"/>
    <w:multiLevelType w:val="multilevel"/>
    <w:tmpl w:val="F6AA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59946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050495874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5187378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75597515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50285981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90230156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89982344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81498635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71996446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66054213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45371587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925550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75185682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71323829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421559950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54587297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27266808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49147790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190206013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19407154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711349840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98469607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B"/>
    <w:rsid w:val="00613F3F"/>
    <w:rsid w:val="009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977"/>
  <w15:chartTrackingRefBased/>
  <w15:docId w15:val="{F551C61C-4111-4F92-9818-D621DD7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5B"/>
    <w:rPr>
      <w:b/>
      <w:bCs/>
      <w:smallCaps/>
      <w:color w:val="2F5496" w:themeColor="accent1" w:themeShade="BF"/>
      <w:spacing w:val="5"/>
    </w:rPr>
  </w:style>
  <w:style w:type="paragraph" w:customStyle="1" w:styleId="floatleft">
    <w:name w:val="float_left"/>
    <w:basedOn w:val="Normal"/>
    <w:rsid w:val="009A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58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pay.icegate.gov.in/epayment/location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2024-03-28T15:50:00Z</dcterms:created>
  <dcterms:modified xsi:type="dcterms:W3CDTF">2024-03-28T15:50:00Z</dcterms:modified>
</cp:coreProperties>
</file>