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ambria" w:hAnsi="Cambria" w:cs="Calibri"/>
          <w:b/>
          <w:bCs/>
          <w:color w:val="2E75B6" w:themeColor="accent1" w:themeShade="BF"/>
          <w:sz w:val="28"/>
          <w:szCs w:val="28"/>
          <w:u w:val="single"/>
          <w:lang w:val="en-US"/>
        </w:rPr>
      </w:pPr>
      <w:sdt>
        <w:sdtPr>
          <w:rPr>
            <w:rFonts w:ascii="Cambria" w:hAnsi="Cambria"/>
          </w:rPr>
          <w:id w:val="1329866338"/>
          <w:docPartObj>
            <w:docPartGallery w:val="autotext"/>
          </w:docPartObj>
        </w:sdtPr>
        <w:sdtEndPr>
          <w:rPr>
            <w:rFonts w:ascii="Cambria" w:hAnsi="Cambria"/>
            <w:sz w:val="40"/>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sdt>
      <w:r>
        <w:rPr>
          <w:rFonts w:hint="default" w:ascii="Cambria" w:hAnsi="Cambria" w:cs="Calibri"/>
          <w:b/>
          <w:bCs/>
          <w:color w:val="2E75B6" w:themeColor="accent1" w:themeShade="BF"/>
          <w:sz w:val="28"/>
          <w:szCs w:val="28"/>
          <w:u w:val="single"/>
          <w:lang w:val="en-US"/>
        </w:rPr>
        <w:t>Problem Statement:</w:t>
      </w:r>
    </w:p>
    <w:p>
      <w:pPr>
        <w:shd w:val="clear" w:color="auto" w:fill="FFFFFF"/>
        <w:spacing w:line="360" w:lineRule="auto"/>
        <w:rPr>
          <w:rFonts w:hint="default" w:ascii="Cambria" w:hAnsi="Cambria" w:cs="Cambria"/>
          <w:b w:val="0"/>
          <w:bCs w:val="0"/>
          <w:sz w:val="24"/>
          <w:szCs w:val="24"/>
        </w:rPr>
      </w:pPr>
      <w:r>
        <w:rPr>
          <w:rFonts w:hint="default" w:ascii="Cambria" w:hAnsi="Cambria" w:cs="Cambria"/>
          <w:b w:val="0"/>
          <w:bCs w:val="0"/>
          <w:sz w:val="24"/>
          <w:szCs w:val="24"/>
          <w:lang w:val="en-US"/>
        </w:rPr>
        <w:tab/>
      </w:r>
      <w:r>
        <w:rPr>
          <w:rFonts w:hint="default" w:ascii="Cambria" w:hAnsi="Cambria" w:cs="Cambria"/>
          <w:b w:val="0"/>
          <w:bCs w:val="0"/>
          <w:sz w:val="24"/>
          <w:szCs w:val="24"/>
        </w:rPr>
        <w:t xml:space="preserve">Find publicly available data for key *supply-demand* factors that influence US home prices </w:t>
      </w:r>
    </w:p>
    <w:p>
      <w:pPr>
        <w:shd w:val="clear" w:color="auto" w:fill="FFFFFF"/>
        <w:spacing w:line="360" w:lineRule="auto"/>
        <w:rPr>
          <w:rFonts w:hint="default" w:ascii="Cambria" w:hAnsi="Cambria" w:cs="Cambria"/>
          <w:b w:val="0"/>
          <w:bCs w:val="0"/>
          <w:sz w:val="24"/>
          <w:szCs w:val="24"/>
        </w:rPr>
      </w:pPr>
      <w:r>
        <w:rPr>
          <w:rFonts w:hint="default" w:ascii="Cambria" w:hAnsi="Cambria" w:cs="Cambria"/>
          <w:b w:val="0"/>
          <w:bCs w:val="0"/>
          <w:sz w:val="24"/>
          <w:szCs w:val="24"/>
        </w:rPr>
        <w:t>nationally. Then, build a data science model that explains how these factors impacted home prices over the last 20 years</w:t>
      </w:r>
    </w:p>
    <w:p>
      <w:pPr>
        <w:shd w:val="clear" w:color="auto" w:fill="FFFFFF"/>
        <w:spacing w:line="360" w:lineRule="auto"/>
        <w:rPr>
          <w:rFonts w:hint="default" w:ascii="Cambria" w:hAnsi="Cambria" w:cs="Calibri"/>
          <w:b/>
          <w:bCs/>
          <w:color w:val="2E75B6" w:themeColor="accent1" w:themeShade="BF"/>
          <w:sz w:val="28"/>
          <w:szCs w:val="28"/>
          <w:u w:val="single"/>
          <w:lang w:val="en-US"/>
        </w:rPr>
      </w:pPr>
      <w:r>
        <w:rPr>
          <w:rFonts w:hint="default" w:ascii="Cambria" w:hAnsi="Cambria" w:cs="Calibri"/>
          <w:b/>
          <w:bCs/>
          <w:color w:val="2E75B6" w:themeColor="accent1" w:themeShade="BF"/>
          <w:sz w:val="28"/>
          <w:szCs w:val="28"/>
          <w:u w:val="single"/>
          <w:lang w:val="en-US"/>
        </w:rPr>
        <w:t>Data Collection</w:t>
      </w:r>
    </w:p>
    <w:p>
      <w:pPr>
        <w:shd w:val="clear" w:color="auto" w:fill="FFFFFF"/>
        <w:spacing w:line="360" w:lineRule="auto"/>
        <w:ind w:firstLine="720" w:firstLineChars="0"/>
        <w:rPr>
          <w:rFonts w:hint="default" w:ascii="Cambria" w:hAnsi="Cambria" w:cs="Cambria"/>
          <w:b w:val="0"/>
          <w:bCs w:val="0"/>
          <w:sz w:val="24"/>
          <w:szCs w:val="24"/>
          <w:lang w:val="en-US"/>
        </w:rPr>
      </w:pPr>
      <w:r>
        <w:rPr>
          <w:rFonts w:hint="default" w:ascii="Cambria" w:hAnsi="Cambria" w:cs="Cambria"/>
          <w:b w:val="0"/>
          <w:bCs w:val="0"/>
          <w:sz w:val="24"/>
          <w:szCs w:val="24"/>
          <w:lang w:val="en-US"/>
        </w:rPr>
        <w:tab/>
      </w:r>
      <w:r>
        <w:rPr>
          <w:rFonts w:hint="default" w:ascii="Cambria" w:hAnsi="Cambria" w:cs="Cambria"/>
          <w:b w:val="0"/>
          <w:bCs w:val="0"/>
          <w:sz w:val="24"/>
          <w:szCs w:val="24"/>
          <w:lang w:val="en-US"/>
        </w:rPr>
        <w:t>I have collected data from publicly available sources to analyze the factors influencing US home prices. The data and their respective sources (website links) are listed below</w:t>
      </w:r>
    </w:p>
    <w:p>
      <w:pPr>
        <w:pStyle w:val="21"/>
        <w:numPr>
          <w:ilvl w:val="0"/>
          <w:numId w:val="1"/>
        </w:numPr>
        <w:ind w:left="420" w:leftChars="0" w:hanging="420" w:firstLineChars="0"/>
        <w:rPr>
          <w:rFonts w:hint="default" w:ascii="Cambria" w:hAnsi="Cambria" w:cs="Cambria"/>
          <w:b w:val="0"/>
          <w:bCs w:val="0"/>
          <w:sz w:val="24"/>
          <w:szCs w:val="24"/>
          <w:lang w:val="en-US"/>
        </w:rPr>
      </w:pPr>
      <w:r>
        <w:rPr>
          <w:rFonts w:hint="default" w:ascii="Cambria" w:hAnsi="Cambria" w:cs="Cambria"/>
          <w:b/>
          <w:bCs/>
          <w:sz w:val="24"/>
          <w:szCs w:val="24"/>
          <w:lang w:val="en-US" w:eastAsia="en-IN" w:bidi="ar-SA"/>
        </w:rPr>
        <w:t>D</w:t>
      </w:r>
      <w:r>
        <w:rPr>
          <w:rFonts w:hint="default" w:ascii="Cambria" w:hAnsi="Cambria" w:cs="Cambria" w:eastAsiaTheme="minorHAnsi"/>
          <w:b/>
          <w:bCs/>
          <w:sz w:val="24"/>
          <w:szCs w:val="24"/>
          <w:lang w:val="en-US" w:eastAsia="en-IN" w:bidi="ar-SA"/>
        </w:rPr>
        <w:t xml:space="preserve">ate </w:t>
      </w:r>
      <w:r>
        <w:rPr>
          <w:rFonts w:hint="default" w:ascii="Cambria" w:hAnsi="Cambria" w:cs="Cambria" w:eastAsiaTheme="minorHAnsi"/>
          <w:b w:val="0"/>
          <w:bCs w:val="0"/>
          <w:sz w:val="24"/>
          <w:szCs w:val="24"/>
          <w:lang w:val="en-US" w:eastAsia="en-IN" w:bidi="ar-SA"/>
        </w:rPr>
        <w:t>: These are the dates of observations (</w:t>
      </w:r>
      <w:r>
        <w:rPr>
          <w:rFonts w:hint="default" w:ascii="Cambria" w:hAnsi="Cambria" w:cs="Cambria"/>
          <w:b w:val="0"/>
          <w:bCs w:val="0"/>
          <w:sz w:val="24"/>
          <w:szCs w:val="24"/>
          <w:lang w:val="en-US" w:eastAsia="en-IN" w:bidi="ar-SA"/>
        </w:rPr>
        <w:t>Quarterly</w:t>
      </w:r>
      <w:r>
        <w:rPr>
          <w:rFonts w:hint="default" w:ascii="Cambria" w:hAnsi="Cambria" w:cs="Cambria" w:eastAsiaTheme="minorHAnsi"/>
          <w:b w:val="0"/>
          <w:bCs w:val="0"/>
          <w:sz w:val="24"/>
          <w:szCs w:val="24"/>
          <w:lang w:val="en-US" w:eastAsia="en-IN" w:bidi="ar-SA"/>
        </w:rPr>
        <w:t xml:space="preserve"> observation from  </w:t>
      </w:r>
      <w:r>
        <w:rPr>
          <w:rFonts w:hint="default" w:ascii="Cambria" w:hAnsi="Cambria" w:cs="Cambria"/>
          <w:b w:val="0"/>
          <w:bCs w:val="0"/>
          <w:sz w:val="24"/>
          <w:szCs w:val="24"/>
          <w:lang w:val="en-US" w:eastAsia="en-IN" w:bidi="ar-SA"/>
        </w:rPr>
        <w:t>Jan-</w:t>
      </w:r>
      <w:r>
        <w:rPr>
          <w:rFonts w:hint="default" w:ascii="Cambria" w:hAnsi="Cambria" w:cs="Cambria" w:eastAsiaTheme="minorHAnsi"/>
          <w:b w:val="0"/>
          <w:bCs w:val="0"/>
          <w:sz w:val="24"/>
          <w:szCs w:val="24"/>
          <w:lang w:val="en-US" w:eastAsia="en-IN" w:bidi="ar-SA"/>
        </w:rPr>
        <w:t xml:space="preserve">2000 to </w:t>
      </w:r>
      <w:r>
        <w:rPr>
          <w:rFonts w:hint="default" w:ascii="Cambria" w:hAnsi="Cambria" w:cs="Cambria"/>
          <w:b w:val="0"/>
          <w:bCs w:val="0"/>
          <w:sz w:val="24"/>
          <w:szCs w:val="24"/>
          <w:lang w:val="en-US" w:eastAsia="en-IN" w:bidi="ar-SA"/>
        </w:rPr>
        <w:t>Apr-</w:t>
      </w:r>
      <w:r>
        <w:rPr>
          <w:rFonts w:hint="default" w:ascii="Cambria" w:hAnsi="Cambria" w:cs="Cambria" w:eastAsiaTheme="minorHAnsi"/>
          <w:b w:val="0"/>
          <w:bCs w:val="0"/>
          <w:sz w:val="24"/>
          <w:szCs w:val="24"/>
          <w:lang w:val="en-US" w:eastAsia="en-IN" w:bidi="ar-SA"/>
        </w:rPr>
        <w:t>202</w:t>
      </w:r>
      <w:r>
        <w:rPr>
          <w:rFonts w:hint="default" w:ascii="Cambria" w:hAnsi="Cambria" w:cs="Cambria"/>
          <w:b w:val="0"/>
          <w:bCs w:val="0"/>
          <w:sz w:val="24"/>
          <w:szCs w:val="24"/>
          <w:lang w:val="en-US" w:eastAsia="en-IN" w:bidi="ar-SA"/>
        </w:rPr>
        <w:t>3</w:t>
      </w:r>
      <w:r>
        <w:rPr>
          <w:rFonts w:hint="default" w:ascii="Cambria" w:hAnsi="Cambria" w:cs="Cambria" w:eastAsiaTheme="minorHAnsi"/>
          <w:b w:val="0"/>
          <w:bCs w:val="0"/>
          <w:sz w:val="24"/>
          <w:szCs w:val="24"/>
          <w:lang w:val="en-US" w:eastAsia="en-IN" w:bidi="ar-SA"/>
        </w:rPr>
        <w:t xml:space="preserve">) </w:t>
      </w:r>
    </w:p>
    <w:p>
      <w:pPr>
        <w:pStyle w:val="21"/>
        <w:numPr>
          <w:ilvl w:val="0"/>
          <w:numId w:val="0"/>
        </w:numPr>
        <w:ind w:leftChars="0"/>
        <w:rPr>
          <w:rFonts w:hint="default" w:ascii="Cambria" w:hAnsi="Cambria" w:cs="Cambria" w:eastAsiaTheme="minorHAnsi"/>
          <w:b w:val="0"/>
          <w:bCs w:val="0"/>
          <w:sz w:val="24"/>
          <w:szCs w:val="24"/>
          <w:lang w:val="en-US" w:eastAsia="en-US"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eastAsiaTheme="minorHAnsi"/>
          <w:b/>
          <w:bCs/>
          <w:sz w:val="24"/>
          <w:szCs w:val="24"/>
          <w:lang w:val="en-US" w:eastAsia="en-IN" w:bidi="ar-SA"/>
        </w:rPr>
        <w:t xml:space="preserve">Unemployment Rate </w:t>
      </w:r>
      <w:r>
        <w:rPr>
          <w:rFonts w:hint="default" w:ascii="Cambria" w:hAnsi="Cambria" w:cs="Cambria" w:eastAsiaTheme="minorHAnsi"/>
          <w:b w:val="0"/>
          <w:bCs w:val="0"/>
          <w:sz w:val="24"/>
          <w:szCs w:val="24"/>
          <w:lang w:val="en-US" w:eastAsia="en-IN" w:bidi="ar-SA"/>
        </w:rPr>
        <w:t xml:space="preserve">: unemployment rate of USA from </w:t>
      </w:r>
      <w:r>
        <w:rPr>
          <w:rFonts w:hint="default" w:ascii="Cambria" w:hAnsi="Cambria" w:cs="Cambria"/>
          <w:b w:val="0"/>
          <w:bCs w:val="0"/>
          <w:sz w:val="24"/>
          <w:szCs w:val="24"/>
          <w:lang w:val="en-US" w:eastAsia="en-IN" w:bidi="ar-SA"/>
        </w:rPr>
        <w:t>Jan-</w:t>
      </w:r>
      <w:r>
        <w:rPr>
          <w:rFonts w:hint="default" w:ascii="Cambria" w:hAnsi="Cambria" w:cs="Cambria" w:eastAsiaTheme="minorHAnsi"/>
          <w:b w:val="0"/>
          <w:bCs w:val="0"/>
          <w:sz w:val="24"/>
          <w:szCs w:val="24"/>
          <w:lang w:val="en-US" w:eastAsia="en-IN" w:bidi="ar-SA"/>
        </w:rPr>
        <w:t xml:space="preserve">2000 to </w:t>
      </w:r>
      <w:r>
        <w:rPr>
          <w:rFonts w:hint="default" w:ascii="Cambria" w:hAnsi="Cambria" w:cs="Cambria"/>
          <w:b w:val="0"/>
          <w:bCs w:val="0"/>
          <w:sz w:val="24"/>
          <w:szCs w:val="24"/>
          <w:lang w:val="en-US" w:eastAsia="en-IN" w:bidi="ar-SA"/>
        </w:rPr>
        <w:t>Apr-</w:t>
      </w:r>
      <w:r>
        <w:rPr>
          <w:rFonts w:hint="default" w:ascii="Cambria" w:hAnsi="Cambria" w:cs="Cambria" w:eastAsiaTheme="minorHAnsi"/>
          <w:b w:val="0"/>
          <w:bCs w:val="0"/>
          <w:sz w:val="24"/>
          <w:szCs w:val="24"/>
          <w:lang w:val="en-US" w:eastAsia="en-IN" w:bidi="ar-SA"/>
        </w:rPr>
        <w:t>202</w:t>
      </w:r>
      <w:r>
        <w:rPr>
          <w:rFonts w:hint="default" w:ascii="Cambria" w:hAnsi="Cambria" w:cs="Cambria"/>
          <w:b w:val="0"/>
          <w:bCs w:val="0"/>
          <w:sz w:val="24"/>
          <w:szCs w:val="24"/>
          <w:lang w:val="en-US" w:eastAsia="en-IN" w:bidi="ar-SA"/>
        </w:rPr>
        <w:t>3(Unit :Percent)</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color w:val="auto"/>
          <w:sz w:val="24"/>
          <w:szCs w:val="24"/>
          <w:u w:val="none"/>
          <w:lang w:val="en-US" w:eastAsia="en-IN" w:bidi="ar-SA"/>
        </w:rPr>
        <w:fldChar w:fldCharType="begin"/>
      </w:r>
      <w:r>
        <w:rPr>
          <w:rFonts w:hint="default" w:ascii="Cambria" w:hAnsi="Cambria" w:cs="Cambria" w:eastAsiaTheme="minorHAnsi"/>
          <w:b w:val="0"/>
          <w:bCs w:val="0"/>
          <w:color w:val="auto"/>
          <w:sz w:val="24"/>
          <w:szCs w:val="24"/>
          <w:u w:val="none"/>
          <w:lang w:val="en-US" w:eastAsia="en-IN" w:bidi="ar-SA"/>
        </w:rPr>
        <w:instrText xml:space="preserve"> HYPERLINK "https://fred.stlouisfed.org/series/UNRATE" </w:instrText>
      </w:r>
      <w:r>
        <w:rPr>
          <w:rFonts w:hint="default" w:ascii="Cambria" w:hAnsi="Cambria" w:cs="Cambria" w:eastAsiaTheme="minorHAnsi"/>
          <w:b w:val="0"/>
          <w:bCs w:val="0"/>
          <w:color w:val="auto"/>
          <w:sz w:val="24"/>
          <w:szCs w:val="24"/>
          <w:u w:val="none"/>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https://fred.stlouisfed.org/series/UNRATE</w:t>
      </w:r>
      <w:r>
        <w:rPr>
          <w:rFonts w:hint="default" w:ascii="Cambria" w:hAnsi="Cambria" w:cs="Cambria" w:eastAsiaTheme="minorHAnsi"/>
          <w:b w:val="0"/>
          <w:bCs w:val="0"/>
          <w:color w:val="auto"/>
          <w:sz w:val="24"/>
          <w:szCs w:val="24"/>
          <w:u w:val="none"/>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GDP</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w:t>
      </w:r>
      <w:r>
        <w:rPr>
          <w:rFonts w:hint="default" w:ascii="Cambria" w:hAnsi="Cambria" w:eastAsiaTheme="minorHAnsi"/>
          <w:b w:val="0"/>
          <w:bCs w:val="0"/>
          <w:sz w:val="24"/>
          <w:szCs w:val="24"/>
          <w:lang w:val="en-US" w:eastAsia="en-IN"/>
        </w:rPr>
        <w:t xml:space="preserve">Gross Domestic Product value of USA from </w:t>
      </w:r>
      <w:r>
        <w:rPr>
          <w:rFonts w:hint="default" w:ascii="Cambria" w:hAnsi="Cambria" w:cs="Cambria"/>
          <w:b w:val="0"/>
          <w:bCs w:val="0"/>
          <w:sz w:val="24"/>
          <w:szCs w:val="24"/>
          <w:lang w:val="en-US" w:eastAsia="en-IN" w:bidi="ar-SA"/>
        </w:rPr>
        <w:t>Jan-</w:t>
      </w:r>
      <w:r>
        <w:rPr>
          <w:rFonts w:hint="default" w:ascii="Cambria" w:hAnsi="Cambria" w:cs="Cambria" w:eastAsiaTheme="minorHAnsi"/>
          <w:b w:val="0"/>
          <w:bCs w:val="0"/>
          <w:sz w:val="24"/>
          <w:szCs w:val="24"/>
          <w:lang w:val="en-US" w:eastAsia="en-IN" w:bidi="ar-SA"/>
        </w:rPr>
        <w:t xml:space="preserve">2000 to </w:t>
      </w:r>
      <w:r>
        <w:rPr>
          <w:rFonts w:hint="default" w:ascii="Cambria" w:hAnsi="Cambria" w:cs="Cambria"/>
          <w:b w:val="0"/>
          <w:bCs w:val="0"/>
          <w:sz w:val="24"/>
          <w:szCs w:val="24"/>
          <w:lang w:val="en-US" w:eastAsia="en-IN" w:bidi="ar-SA"/>
        </w:rPr>
        <w:t>Apr-</w:t>
      </w:r>
      <w:r>
        <w:rPr>
          <w:rFonts w:hint="default" w:ascii="Cambria" w:hAnsi="Cambria" w:cs="Cambria" w:eastAsiaTheme="minorHAnsi"/>
          <w:b w:val="0"/>
          <w:bCs w:val="0"/>
          <w:sz w:val="24"/>
          <w:szCs w:val="24"/>
          <w:lang w:val="en-US" w:eastAsia="en-IN" w:bidi="ar-SA"/>
        </w:rPr>
        <w:t>202</w:t>
      </w:r>
      <w:r>
        <w:rPr>
          <w:rFonts w:hint="default" w:ascii="Cambria" w:hAnsi="Cambria" w:cs="Cambria"/>
          <w:b w:val="0"/>
          <w:bCs w:val="0"/>
          <w:sz w:val="24"/>
          <w:szCs w:val="24"/>
          <w:lang w:val="en-US" w:eastAsia="en-IN" w:bidi="ar-SA"/>
        </w:rPr>
        <w:t>3(Unit : Billion USD)</w:t>
      </w:r>
      <w:bookmarkStart w:id="0" w:name="_GoBack"/>
      <w:bookmarkEnd w:id="0"/>
    </w:p>
    <w:p>
      <w:pPr>
        <w:pStyle w:val="21"/>
        <w:numPr>
          <w:ilvl w:val="0"/>
          <w:numId w:val="0"/>
        </w:numPr>
        <w:ind w:leftChars="0"/>
        <w:rPr>
          <w:rFonts w:hint="default" w:ascii="Cambria" w:hAnsi="Cambria" w:cs="Cambria"/>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b w:val="0"/>
          <w:bCs w:val="0"/>
          <w:sz w:val="24"/>
          <w:szCs w:val="24"/>
          <w:lang w:val="en-US" w:eastAsia="en-IN" w:bidi="ar-SA"/>
        </w:rPr>
        <w:t xml:space="preserve"> </w:t>
      </w:r>
      <w:r>
        <w:rPr>
          <w:rFonts w:hint="default" w:ascii="Cambria" w:hAnsi="Cambria" w:cs="Cambria"/>
          <w:b w:val="0"/>
          <w:bCs w:val="0"/>
          <w:sz w:val="24"/>
          <w:szCs w:val="24"/>
          <w:lang w:val="en-US" w:eastAsia="en-IN" w:bidi="ar-SA"/>
        </w:rPr>
        <w:fldChar w:fldCharType="begin"/>
      </w:r>
      <w:r>
        <w:rPr>
          <w:rFonts w:hint="default" w:ascii="Cambria" w:hAnsi="Cambria" w:cs="Cambria"/>
          <w:b w:val="0"/>
          <w:bCs w:val="0"/>
          <w:sz w:val="24"/>
          <w:szCs w:val="24"/>
          <w:lang w:val="en-US" w:eastAsia="en-IN" w:bidi="ar-SA"/>
        </w:rPr>
        <w:instrText xml:space="preserve"> HYPERLINK "https://fred.stlouisfed.org/series/GDP" </w:instrText>
      </w:r>
      <w:r>
        <w:rPr>
          <w:rFonts w:hint="default" w:ascii="Cambria" w:hAnsi="Cambria" w:cs="Cambria"/>
          <w:b w:val="0"/>
          <w:bCs w:val="0"/>
          <w:sz w:val="24"/>
          <w:szCs w:val="24"/>
          <w:lang w:val="en-US" w:eastAsia="en-IN" w:bidi="ar-SA"/>
        </w:rPr>
        <w:fldChar w:fldCharType="separate"/>
      </w:r>
      <w:r>
        <w:rPr>
          <w:rStyle w:val="12"/>
          <w:rFonts w:hint="default" w:ascii="Cambria" w:hAnsi="Cambria" w:cs="Cambria"/>
          <w:b w:val="0"/>
          <w:bCs w:val="0"/>
          <w:sz w:val="24"/>
          <w:szCs w:val="24"/>
          <w:lang w:val="en-US" w:eastAsia="en-IN" w:bidi="ar-SA"/>
        </w:rPr>
        <w:t>https://fred.stlouisfed.org/series/GDP</w:t>
      </w:r>
      <w:r>
        <w:rPr>
          <w:rFonts w:hint="default" w:ascii="Cambria" w:hAnsi="Cambria" w:cs="Cambria"/>
          <w:b w:val="0"/>
          <w:bCs w:val="0"/>
          <w:sz w:val="24"/>
          <w:szCs w:val="24"/>
          <w:lang w:val="en-US" w:eastAsia="en-IN" w:bidi="ar-SA"/>
        </w:rPr>
        <w:fldChar w:fldCharType="end"/>
      </w:r>
    </w:p>
    <w:p>
      <w:pPr>
        <w:pStyle w:val="21"/>
        <w:numPr>
          <w:ilvl w:val="0"/>
          <w:numId w:val="0"/>
        </w:numPr>
        <w:ind w:leftChars="0"/>
        <w:rPr>
          <w:rFonts w:hint="default" w:ascii="Cambria" w:hAnsi="Cambria" w:cs="Cambria"/>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Personal Tax</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cs="Cambria"/>
          <w:b w:val="0"/>
          <w:bCs w:val="0"/>
          <w:sz w:val="24"/>
          <w:szCs w:val="24"/>
          <w:lang w:val="en-US" w:eastAsia="en-IN" w:bidi="ar-SA"/>
        </w:rPr>
        <w:t xml:space="preserve">Tax had to pay by house owner in </w:t>
      </w:r>
      <w:r>
        <w:rPr>
          <w:rFonts w:hint="default" w:ascii="Cambria" w:hAnsi="Cambria" w:cs="Cambria" w:eastAsiaTheme="minorHAnsi"/>
          <w:b w:val="0"/>
          <w:bCs w:val="0"/>
          <w:sz w:val="24"/>
          <w:szCs w:val="24"/>
          <w:lang w:val="en-US" w:eastAsia="en-IN" w:bidi="ar-SA"/>
        </w:rPr>
        <w:t xml:space="preserve"> USA </w:t>
      </w:r>
      <w:r>
        <w:rPr>
          <w:rFonts w:hint="default" w:ascii="Cambria" w:hAnsi="Cambria" w:cs="Cambria"/>
          <w:b w:val="0"/>
          <w:bCs w:val="0"/>
          <w:sz w:val="24"/>
          <w:szCs w:val="24"/>
          <w:lang w:val="en-US" w:eastAsia="en-IN" w:bidi="ar-SA"/>
        </w:rPr>
        <w:t>during observed period(Unit :USD)</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"https://fred.stlouisfed.org/series/CXUSTATETAXLB1702M"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https://fred.stlouisfed.org/series/CXUSTATETAXLB1702M</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Fixed Mortgage rate</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cs="Cambria"/>
          <w:b w:val="0"/>
          <w:bCs w:val="0"/>
          <w:sz w:val="24"/>
          <w:szCs w:val="24"/>
          <w:lang w:val="en-US" w:eastAsia="en-IN" w:bidi="ar-SA"/>
        </w:rPr>
        <w:t>Average of fixed mortgage rate in USA (Unit: percentage)</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"https://fred.stlouisfed.org/series/MORTGAGE30US"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https://fred.stlouisfed.org/series/MORTGAGE30US</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Recession</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eastAsiaTheme="minorHAnsi"/>
          <w:b w:val="0"/>
          <w:bCs w:val="0"/>
          <w:sz w:val="24"/>
          <w:szCs w:val="24"/>
          <w:lang w:val="en-US" w:eastAsia="en-IN"/>
        </w:rPr>
        <w:t>U.S. recessions as inferred by GDP-based recession indicator</w:t>
      </w:r>
      <w:r>
        <w:rPr>
          <w:rFonts w:hint="default" w:ascii="Cambria" w:hAnsi="Cambria"/>
          <w:b w:val="0"/>
          <w:bCs w:val="0"/>
          <w:sz w:val="24"/>
          <w:szCs w:val="24"/>
          <w:lang w:val="en-US" w:eastAsia="en-IN"/>
        </w:rPr>
        <w:t xml:space="preserve">. This is </w:t>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Binary variable(1 -Recession ,0-No Recession)</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"https://fred.stlouisfed.org/series/JHDUSRGDPBRUNRATE"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https://fred.stlouisfed.org/series/JHDUSRGDPBRUNRATE</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eastAsiaTheme="minorHAnsi"/>
          <w:b/>
          <w:bCs/>
          <w:sz w:val="24"/>
          <w:szCs w:val="24"/>
          <w:lang w:val="en-US" w:eastAsia="en-IN"/>
        </w:rPr>
        <w:t xml:space="preserve"> Total Construction Spending:</w:t>
      </w:r>
      <w:r>
        <w:rPr>
          <w:rFonts w:hint="default" w:ascii="Cambria" w:hAnsi="Cambria"/>
          <w:b/>
          <w:bCs/>
          <w:sz w:val="24"/>
          <w:szCs w:val="24"/>
          <w:lang w:val="en-US" w:eastAsia="en-IN"/>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b w:val="0"/>
          <w:bCs w:val="0"/>
          <w:sz w:val="24"/>
          <w:szCs w:val="24"/>
          <w:lang w:val="en-US" w:eastAsia="en-IN"/>
        </w:rPr>
        <w:t>This variable gives value of spend in total construction in USA for the period we have taken for analysis. (Units : Million USD)</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"https://fred.stlouisfed.org/series/TTLCONS"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https://fred.stlouisfed.org/series/TTLCONS</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b w:val="0"/>
          <w:bCs w:val="0"/>
          <w:sz w:val="24"/>
          <w:szCs w:val="24"/>
          <w:lang w:val="en-US" w:eastAsia="en-IN" w:bidi="ar-SA"/>
        </w:rPr>
      </w:pPr>
    </w:p>
    <w:p>
      <w:pPr>
        <w:pStyle w:val="21"/>
        <w:numPr>
          <w:ilvl w:val="0"/>
          <w:numId w:val="2"/>
        </w:numPr>
        <w:ind w:left="420" w:leftChars="0" w:hanging="420" w:firstLineChars="0"/>
        <w:rPr>
          <w:rFonts w:hint="default" w:ascii="Cambria" w:hAnsi="Cambria" w:cs="Cambria" w:eastAsiaTheme="minorHAnsi"/>
          <w:b w:val="0"/>
          <w:bCs w:val="0"/>
          <w:sz w:val="24"/>
          <w:szCs w:val="24"/>
          <w:lang w:val="en-US" w:eastAsia="en-IN" w:bidi="ar-SA"/>
        </w:rPr>
      </w:pPr>
      <w:r>
        <w:rPr>
          <w:rFonts w:hint="default" w:ascii="Cambria" w:hAnsi="Cambria" w:eastAsiaTheme="minorHAnsi"/>
          <w:b/>
          <w:bCs/>
          <w:sz w:val="24"/>
          <w:szCs w:val="24"/>
          <w:lang w:val="en-US" w:eastAsia="en-IN"/>
        </w:rPr>
        <w:t>PERMIT</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cs="Cambria"/>
          <w:b w:val="0"/>
          <w:bCs w:val="0"/>
          <w:sz w:val="24"/>
          <w:szCs w:val="24"/>
          <w:lang w:val="en-US" w:eastAsia="en-IN" w:bidi="ar-SA"/>
        </w:rPr>
        <w:t>T</w:t>
      </w:r>
      <w:r>
        <w:rPr>
          <w:rFonts w:hint="default" w:ascii="Cambria" w:hAnsi="Cambria" w:eastAsiaTheme="minorHAnsi"/>
          <w:b w:val="0"/>
          <w:bCs w:val="0"/>
          <w:sz w:val="24"/>
          <w:szCs w:val="24"/>
          <w:lang w:val="en-US" w:eastAsia="en-IN"/>
        </w:rPr>
        <w:t>otal housing permits passed in USA(U</w:t>
      </w:r>
      <w:r>
        <w:rPr>
          <w:rFonts w:hint="default" w:ascii="Cambria" w:hAnsi="Cambria"/>
          <w:b w:val="0"/>
          <w:bCs w:val="0"/>
          <w:sz w:val="24"/>
          <w:szCs w:val="24"/>
          <w:lang w:val="en-US" w:eastAsia="en-IN"/>
        </w:rPr>
        <w:t>nit</w:t>
      </w:r>
      <w:r>
        <w:rPr>
          <w:rFonts w:hint="default" w:ascii="Cambria" w:hAnsi="Cambria" w:eastAsiaTheme="minorHAnsi"/>
          <w:b w:val="0"/>
          <w:bCs w:val="0"/>
          <w:sz w:val="24"/>
          <w:szCs w:val="24"/>
          <w:lang w:val="en-US" w:eastAsia="en-IN"/>
        </w:rPr>
        <w:t>: Thousands of unit)</w:t>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br w:type="textWrapping"/>
      </w:r>
      <w:r>
        <w:rPr>
          <w:rFonts w:hint="default" w:ascii="Cambria" w:hAnsi="Cambria" w:cs="Cambria"/>
          <w:b w:val="0"/>
          <w:bCs w:val="0"/>
          <w:sz w:val="24"/>
          <w:szCs w:val="24"/>
          <w:lang w:val="en-US" w:eastAsia="en-IN" w:bidi="ar-SA"/>
        </w:rPr>
        <w:tab/>
      </w:r>
      <w:r>
        <w:rPr>
          <w:rFonts w:hint="default" w:ascii="Cambria" w:hAnsi="Cambria" w:cs="Cambria"/>
          <w:b w:val="0"/>
          <w:bCs w:val="0"/>
          <w:sz w:val="24"/>
          <w:szCs w:val="24"/>
          <w:lang w:val="en-US" w:eastAsia="en-IN" w:bidi="ar-SA"/>
        </w:rPr>
        <w:tab/>
      </w:r>
      <w:r>
        <w:rPr>
          <w:rFonts w:hint="default" w:ascii="Cambria" w:hAnsi="Cambria" w:cs="Cambria"/>
          <w:b w:val="0"/>
          <w:bCs w:val="0"/>
          <w:sz w:val="24"/>
          <w:szCs w:val="24"/>
          <w:lang w:val="en-US" w:eastAsia="en-IN" w:bidi="ar-SA"/>
        </w:rPr>
        <w:tab/>
      </w:r>
      <w:r>
        <w:rPr>
          <w:rFonts w:hint="default" w:ascii="Cambria" w:hAnsi="Cambria" w:cs="Cambria"/>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"https://fred.stlouisfed.org/series/PERMIT"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https://fred.stlouisfed.org/series/PERMIT</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Population</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cs="Cambria"/>
          <w:b w:val="0"/>
          <w:bCs w:val="0"/>
          <w:sz w:val="24"/>
          <w:szCs w:val="24"/>
          <w:lang w:val="en-US" w:eastAsia="en-IN" w:bidi="ar-SA"/>
        </w:rPr>
        <w:t xml:space="preserve">Population </w:t>
      </w:r>
      <w:r>
        <w:rPr>
          <w:rFonts w:hint="default" w:ascii="Cambria" w:hAnsi="Cambria" w:cs="Cambria" w:eastAsiaTheme="minorHAnsi"/>
          <w:b w:val="0"/>
          <w:bCs w:val="0"/>
          <w:sz w:val="24"/>
          <w:szCs w:val="24"/>
          <w:lang w:val="en-US" w:eastAsia="en-IN" w:bidi="ar-SA"/>
        </w:rPr>
        <w:t xml:space="preserve"> of USA</w:t>
      </w:r>
      <w:r>
        <w:rPr>
          <w:rFonts w:hint="default" w:ascii="Cambria" w:hAnsi="Cambria" w:cs="Cambria"/>
          <w:b w:val="0"/>
          <w:bCs w:val="0"/>
          <w:sz w:val="24"/>
          <w:szCs w:val="24"/>
          <w:lang w:val="en-US" w:eastAsia="en-IN" w:bidi="ar-SA"/>
        </w:rPr>
        <w:t xml:space="preserve"> (Unit: Thousand) in observed period</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"https://fred.stlouisfed.org/series/POPTHM"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https://fred.stlouisfed.org/series/POPTHM</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eastAsiaTheme="minorHAnsi"/>
          <w:b/>
          <w:bCs/>
          <w:sz w:val="24"/>
          <w:szCs w:val="24"/>
          <w:lang w:val="en-US" w:eastAsia="en-IN"/>
        </w:rPr>
        <w:t xml:space="preserve">Life Expectancy </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cs="Cambria"/>
          <w:b w:val="0"/>
          <w:bCs w:val="0"/>
          <w:sz w:val="24"/>
          <w:szCs w:val="24"/>
          <w:lang w:val="en-US" w:eastAsia="en-IN" w:bidi="ar-SA"/>
        </w:rPr>
        <w:t xml:space="preserve">This feature </w:t>
      </w:r>
      <w:r>
        <w:rPr>
          <w:rFonts w:hint="default" w:ascii="Cambria" w:hAnsi="Cambria" w:eastAsiaTheme="minorHAnsi"/>
          <w:b w:val="0"/>
          <w:bCs w:val="0"/>
          <w:sz w:val="24"/>
          <w:szCs w:val="24"/>
          <w:lang w:val="en-US" w:eastAsia="en-IN"/>
        </w:rPr>
        <w:t>indicates the number of years a newborn infant would live</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"https://fred.stlouisfed.org/series/SPDYNLE00INUSA"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https://fred.stlouisfed.org/series/SPDYNLE00INUSA</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cs="Cambria"/>
          <w:b/>
          <w:bCs/>
          <w:sz w:val="24"/>
          <w:szCs w:val="24"/>
          <w:lang w:val="en-US" w:eastAsia="en-IN" w:bidi="ar-SA"/>
        </w:rPr>
        <w:t>Housing CPI</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eastAsiaTheme="minorHAnsi"/>
          <w:b w:val="0"/>
          <w:bCs w:val="0"/>
          <w:sz w:val="24"/>
          <w:szCs w:val="24"/>
          <w:lang w:val="en-US" w:eastAsia="en-IN"/>
        </w:rPr>
        <w:t xml:space="preserve">It is one of the most widely used indicators for inflation or price changes </w:t>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 xml:space="preserve">         </w:t>
      </w:r>
      <w:r>
        <w:rPr>
          <w:rFonts w:hint="default" w:ascii="Cambria" w:hAnsi="Cambria" w:eastAsiaTheme="minorHAnsi"/>
          <w:b w:val="0"/>
          <w:bCs w:val="0"/>
          <w:sz w:val="24"/>
          <w:szCs w:val="24"/>
          <w:lang w:val="en-US" w:eastAsia="en-IN"/>
        </w:rPr>
        <w:t>in an economy.</w:t>
      </w:r>
      <w:r>
        <w:rPr>
          <w:rFonts w:hint="default" w:ascii="Cambria" w:hAnsi="Cambria"/>
          <w:b w:val="0"/>
          <w:bCs w:val="0"/>
          <w:sz w:val="24"/>
          <w:szCs w:val="24"/>
          <w:lang w:val="en-US" w:eastAsia="en-IN"/>
        </w:rPr>
        <w:t xml:space="preserve"> This variable  give value of Customer Price Index</w:t>
      </w:r>
      <w:r>
        <w:rPr>
          <w:rFonts w:hint="default" w:ascii="Cambria" w:hAnsi="Cambria" w:eastAsiaTheme="minorHAnsi"/>
          <w:b w:val="0"/>
          <w:bCs w:val="0"/>
          <w:sz w:val="24"/>
          <w:szCs w:val="24"/>
          <w:lang w:val="en-US" w:eastAsia="en-IN"/>
        </w:rPr>
        <w:t xml:space="preserve"> </w:t>
      </w:r>
      <w:r>
        <w:rPr>
          <w:rFonts w:hint="default" w:ascii="Cambria" w:hAnsi="Cambria"/>
          <w:b w:val="0"/>
          <w:bCs w:val="0"/>
          <w:sz w:val="24"/>
          <w:szCs w:val="24"/>
          <w:lang w:val="en-US" w:eastAsia="en-IN"/>
        </w:rPr>
        <w:t xml:space="preserve">w.r.t housing for </w:t>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 xml:space="preserve">         all urban consumers in USA</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"https://fred.stlouisfed.org/series/CPIHOSSL"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https://fred.stlouisfed.org/series/CPIHOSSL</w:t>
      </w:r>
      <w:r>
        <w:rPr>
          <w:rFonts w:hint="default" w:ascii="Cambria" w:hAnsi="Cambria" w:cs="Cambria" w:eastAsiaTheme="minorHAnsi"/>
          <w:b w:val="0"/>
          <w:bCs w:val="0"/>
          <w:sz w:val="24"/>
          <w:szCs w:val="24"/>
          <w:lang w:val="en-US" w:eastAsia="en-IN" w:bidi="ar-SA"/>
        </w:rPr>
        <w:fldChar w:fldCharType="end"/>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1"/>
        </w:numPr>
        <w:ind w:left="420" w:leftChars="0" w:hanging="420" w:firstLineChars="0"/>
        <w:rPr>
          <w:rFonts w:hint="default" w:ascii="Cambria" w:hAnsi="Cambria" w:cs="Cambria" w:eastAsiaTheme="minorHAnsi"/>
          <w:b w:val="0"/>
          <w:bCs w:val="0"/>
          <w:sz w:val="24"/>
          <w:szCs w:val="24"/>
          <w:lang w:val="en-US" w:eastAsia="en-US" w:bidi="ar-SA"/>
        </w:rPr>
      </w:pPr>
      <w:r>
        <w:rPr>
          <w:rFonts w:hint="default" w:ascii="Cambria" w:hAnsi="Cambria"/>
          <w:b/>
          <w:bCs/>
          <w:sz w:val="24"/>
          <w:szCs w:val="24"/>
          <w:lang w:val="en-US" w:eastAsia="en-IN"/>
        </w:rPr>
        <w:t>HPI</w:t>
      </w:r>
      <w:r>
        <w:rPr>
          <w:rFonts w:hint="default" w:ascii="Cambria" w:hAnsi="Cambria" w:eastAsiaTheme="minorHAnsi"/>
          <w:b/>
          <w:bCs/>
          <w:sz w:val="24"/>
          <w:szCs w:val="24"/>
          <w:lang w:val="en-US" w:eastAsia="en-IN"/>
        </w:rPr>
        <w:t xml:space="preserve"> </w:t>
      </w:r>
      <w:r>
        <w:rPr>
          <w:rFonts w:hint="default" w:ascii="Cambria" w:hAnsi="Cambria" w:cs="Cambria" w:eastAsiaTheme="minorHAnsi"/>
          <w:b/>
          <w:bCs/>
          <w:sz w:val="24"/>
          <w:szCs w:val="24"/>
          <w:lang w:val="en-US" w:eastAsia="en-IN" w:bidi="ar-SA"/>
        </w:rPr>
        <w:t xml:space="preserve"> </w:t>
      </w:r>
      <w:r>
        <w:rPr>
          <w:rFonts w:hint="default" w:ascii="Cambria" w:hAnsi="Cambria" w:cs="Cambria" w:eastAsiaTheme="minorHAnsi"/>
          <w:b w:val="0"/>
          <w:bCs w:val="0"/>
          <w:sz w:val="24"/>
          <w:szCs w:val="24"/>
          <w:lang w:val="en-US" w:eastAsia="en-IN" w:bidi="ar-SA"/>
        </w:rPr>
        <w:t xml:space="preserve">: </w:t>
      </w:r>
      <w:r>
        <w:rPr>
          <w:rFonts w:hint="default" w:ascii="Cambria" w:hAnsi="Cambria" w:eastAsiaTheme="minorHAnsi"/>
          <w:b w:val="0"/>
          <w:bCs w:val="0"/>
          <w:sz w:val="24"/>
          <w:szCs w:val="24"/>
          <w:lang w:val="en-US" w:eastAsia="en-IN"/>
        </w:rPr>
        <w:t xml:space="preserve">The Home Price Index is a measure used to track changes in the prices of residential </w:t>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ab/>
      </w:r>
      <w:r>
        <w:rPr>
          <w:rFonts w:hint="default" w:ascii="Cambria" w:hAnsi="Cambria"/>
          <w:b w:val="0"/>
          <w:bCs w:val="0"/>
          <w:sz w:val="24"/>
          <w:szCs w:val="24"/>
          <w:lang w:val="en-US" w:eastAsia="en-IN"/>
        </w:rPr>
        <w:t xml:space="preserve">       </w:t>
      </w:r>
      <w:r>
        <w:rPr>
          <w:rFonts w:hint="default" w:ascii="Cambria" w:hAnsi="Cambria" w:eastAsiaTheme="minorHAnsi"/>
          <w:b w:val="0"/>
          <w:bCs w:val="0"/>
          <w:sz w:val="24"/>
          <w:szCs w:val="24"/>
          <w:lang w:val="en-US" w:eastAsia="en-IN"/>
        </w:rPr>
        <w:t>properties, specifically homes</w:t>
      </w:r>
      <w:r>
        <w:rPr>
          <w:rFonts w:hint="default" w:ascii="Cambria" w:hAnsi="Cambria"/>
          <w:b w:val="0"/>
          <w:bCs w:val="0"/>
          <w:sz w:val="24"/>
          <w:szCs w:val="24"/>
          <w:lang w:val="en-US" w:eastAsia="en-IN"/>
        </w:rPr>
        <w:t xml:space="preserve"> in USA This is our target variable in our dataset.</w:t>
      </w: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ab/>
      </w:r>
      <w:r>
        <w:rPr>
          <w:rFonts w:hint="default" w:ascii="Cambria" w:hAnsi="Cambria" w:cs="Cambria" w:eastAsiaTheme="minorHAnsi"/>
          <w:b w:val="0"/>
          <w:bCs w:val="0"/>
          <w:sz w:val="24"/>
          <w:szCs w:val="24"/>
          <w:lang w:val="en-US" w:eastAsia="en-IN" w:bidi="ar-SA"/>
        </w:rPr>
        <w:t>Sour</w:t>
      </w:r>
      <w:r>
        <w:rPr>
          <w:rFonts w:hint="default" w:ascii="Cambria" w:hAnsi="Cambria" w:cs="Cambria"/>
          <w:b w:val="0"/>
          <w:bCs w:val="0"/>
          <w:sz w:val="24"/>
          <w:szCs w:val="24"/>
          <w:lang w:val="en-US" w:eastAsia="en-IN" w:bidi="ar-SA"/>
        </w:rPr>
        <w:t>c</w:t>
      </w:r>
      <w:r>
        <w:rPr>
          <w:rFonts w:hint="default" w:ascii="Cambria" w:hAnsi="Cambria" w:cs="Cambria" w:eastAsiaTheme="minorHAnsi"/>
          <w:b w:val="0"/>
          <w:bCs w:val="0"/>
          <w:sz w:val="24"/>
          <w:szCs w:val="24"/>
          <w:lang w:val="en-US" w:eastAsia="en-IN" w:bidi="ar-SA"/>
        </w:rPr>
        <w:t>e :</w:t>
      </w:r>
      <w:r>
        <w:rPr>
          <w:rFonts w:hint="default" w:ascii="Cambria" w:hAnsi="Cambria" w:cs="Cambria" w:eastAsiaTheme="minorHAnsi"/>
          <w:b w:val="0"/>
          <w:bCs w:val="0"/>
          <w:sz w:val="24"/>
          <w:szCs w:val="24"/>
          <w:lang w:val="en-US" w:eastAsia="en-IN" w:bidi="ar-SA"/>
        </w:rPr>
        <w:fldChar w:fldCharType="begin"/>
      </w:r>
      <w:r>
        <w:rPr>
          <w:rFonts w:hint="default" w:ascii="Cambria" w:hAnsi="Cambria" w:cs="Cambria" w:eastAsiaTheme="minorHAnsi"/>
          <w:b w:val="0"/>
          <w:bCs w:val="0"/>
          <w:sz w:val="24"/>
          <w:szCs w:val="24"/>
          <w:lang w:val="en-US" w:eastAsia="en-IN" w:bidi="ar-SA"/>
        </w:rPr>
        <w:instrText xml:space="preserve"> HYPERLINK "https://fred.stlouisfed.org/series/CSUSHPISA" </w:instrText>
      </w:r>
      <w:r>
        <w:rPr>
          <w:rFonts w:hint="default" w:ascii="Cambria" w:hAnsi="Cambria" w:cs="Cambria" w:eastAsiaTheme="minorHAnsi"/>
          <w:b w:val="0"/>
          <w:bCs w:val="0"/>
          <w:sz w:val="24"/>
          <w:szCs w:val="24"/>
          <w:lang w:val="en-US" w:eastAsia="en-IN" w:bidi="ar-SA"/>
        </w:rPr>
        <w:fldChar w:fldCharType="separate"/>
      </w:r>
      <w:r>
        <w:rPr>
          <w:rStyle w:val="12"/>
          <w:rFonts w:hint="default" w:ascii="Cambria" w:hAnsi="Cambria" w:cs="Cambria" w:eastAsiaTheme="minorHAnsi"/>
          <w:b w:val="0"/>
          <w:bCs w:val="0"/>
          <w:sz w:val="24"/>
          <w:szCs w:val="24"/>
          <w:lang w:val="en-US" w:eastAsia="en-IN" w:bidi="ar-SA"/>
        </w:rPr>
        <w:t>https://fred.stlouisfed.org/series/CSUSHPISA</w:t>
      </w:r>
      <w:r>
        <w:rPr>
          <w:rFonts w:hint="default" w:ascii="Cambria" w:hAnsi="Cambria" w:cs="Cambria" w:eastAsiaTheme="minorHAnsi"/>
          <w:b w:val="0"/>
          <w:bCs w:val="0"/>
          <w:sz w:val="24"/>
          <w:szCs w:val="24"/>
          <w:lang w:val="en-US" w:eastAsia="en-IN" w:bidi="ar-SA"/>
        </w:rPr>
        <w:fldChar w:fldCharType="end"/>
      </w:r>
    </w:p>
    <w:p>
      <w:pPr>
        <w:rPr>
          <w:rFonts w:hint="default" w:ascii="Cambria" w:hAnsi="Cambria"/>
          <w:b w:val="0"/>
          <w:bCs w:val="0"/>
          <w:sz w:val="24"/>
          <w:szCs w:val="24"/>
          <w:lang w:val="en-US" w:eastAsia="en-IN"/>
        </w:rPr>
      </w:pPr>
      <w:r>
        <w:rPr>
          <w:rFonts w:hint="default" w:ascii="Cambria" w:hAnsi="Cambria" w:cs="Cambria" w:eastAsiaTheme="minorHAnsi"/>
          <w:b w:val="0"/>
          <w:bCs w:val="0"/>
          <w:sz w:val="24"/>
          <w:szCs w:val="24"/>
          <w:lang w:val="en-US" w:eastAsia="en-IN" w:bidi="ar-SA"/>
        </w:rPr>
        <w:br w:type="page"/>
      </w:r>
      <w:r>
        <w:rPr>
          <w:rFonts w:hint="default" w:ascii="Cambria" w:hAnsi="Cambria"/>
          <w:b w:val="0"/>
          <w:bCs w:val="0"/>
          <w:sz w:val="24"/>
          <w:szCs w:val="24"/>
          <w:lang w:val="en-US" w:eastAsia="en-IN"/>
        </w:rPr>
        <w:t>(T</w:t>
      </w:r>
      <w:r>
        <w:rPr>
          <w:rFonts w:hint="default" w:ascii="Cambria" w:hAnsi="Cambria" w:eastAsiaTheme="minorHAnsi"/>
          <w:b w:val="0"/>
          <w:bCs w:val="0"/>
          <w:sz w:val="24"/>
          <w:szCs w:val="24"/>
          <w:lang w:val="en-US" w:eastAsia="en-IN"/>
        </w:rPr>
        <w:t>he housing market is highly localized. Regional and local factors, such as zoning laws, local job markets, school quality, and neighborhood amenities, can often have an even more substantial impact on housing prices.</w:t>
      </w:r>
      <w:r>
        <w:rPr>
          <w:rFonts w:hint="default" w:ascii="Cambria" w:hAnsi="Cambria"/>
          <w:b w:val="0"/>
          <w:bCs w:val="0"/>
          <w:sz w:val="24"/>
          <w:szCs w:val="24"/>
          <w:lang w:val="en-US" w:eastAsia="en-IN"/>
        </w:rPr>
        <w:t>But we have considered  only national factors which are listed above for our analysis)</w:t>
      </w:r>
    </w:p>
    <w:p>
      <w:pPr>
        <w:rPr>
          <w:rFonts w:hint="default" w:ascii="Cambria" w:hAnsi="Cambria"/>
          <w:b w:val="0"/>
          <w:bCs w:val="0"/>
          <w:sz w:val="24"/>
          <w:szCs w:val="24"/>
          <w:lang w:val="en-US" w:eastAsia="en-IN"/>
        </w:rPr>
      </w:pPr>
    </w:p>
    <w:p>
      <w:pPr>
        <w:rPr>
          <w:rFonts w:hint="default" w:ascii="Cambria" w:hAnsi="Cambria"/>
          <w:b w:val="0"/>
          <w:bCs w:val="0"/>
          <w:sz w:val="24"/>
          <w:szCs w:val="24"/>
          <w:lang w:val="en-US" w:eastAsia="en-IN"/>
        </w:rPr>
      </w:pPr>
      <w:r>
        <w:rPr>
          <w:rFonts w:hint="default" w:ascii="Cambria" w:hAnsi="Cambria"/>
          <w:b w:val="0"/>
          <w:bCs w:val="0"/>
          <w:sz w:val="24"/>
          <w:szCs w:val="24"/>
          <w:lang w:val="en-US" w:eastAsia="en-IN"/>
        </w:rPr>
        <w:t>Other national factors like No.of  marriage,immigrants also affect the housing price significantly. Due to unavailability , couldn’t include in our analysis.</w:t>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0"/>
        </w:numPr>
        <w:ind w:leftChars="0"/>
        <w:rPr>
          <w:rFonts w:hint="default" w:ascii="Cambria" w:hAnsi="Cambria" w:cs="Cambria" w:eastAsiaTheme="minorHAnsi"/>
          <w:b w:val="0"/>
          <w:bCs w:val="0"/>
          <w:sz w:val="24"/>
          <w:szCs w:val="24"/>
          <w:lang w:val="en-US" w:eastAsia="en-IN" w:bidi="ar-SA"/>
        </w:rPr>
      </w:pPr>
      <w:r>
        <w:rPr>
          <w:rFonts w:hint="default" w:ascii="Cambria" w:hAnsi="Cambria" w:eastAsiaTheme="minorHAnsi"/>
          <w:b w:val="0"/>
          <w:bCs w:val="0"/>
          <w:sz w:val="24"/>
          <w:szCs w:val="24"/>
          <w:lang w:val="en-US" w:eastAsia="en-IN"/>
        </w:rPr>
        <w:t>Most variables in our dataset are reported quarterly. However, a few, such as Personal Tax and Life Expectancy, are annual. To align them with the quarterly frequency, I aggregated these variables by maintaining the same value across all four quarters within a year."</w:t>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shd w:val="clear" w:color="auto" w:fill="FFFFFF"/>
        <w:spacing w:line="360" w:lineRule="auto"/>
        <w:rPr>
          <w:rFonts w:hint="default" w:ascii="Cambria" w:hAnsi="Cambria" w:cs="Calibri"/>
          <w:b/>
          <w:bCs/>
          <w:color w:val="2E75B6" w:themeColor="accent1" w:themeShade="BF"/>
          <w:sz w:val="28"/>
          <w:szCs w:val="28"/>
          <w:u w:val="single"/>
          <w:lang w:val="en-US" w:eastAsia="en-IN"/>
        </w:rPr>
      </w:pPr>
      <w:r>
        <w:rPr>
          <w:rFonts w:hint="default" w:ascii="Cambria" w:hAnsi="Cambria" w:cs="Calibri"/>
          <w:b/>
          <w:bCs/>
          <w:color w:val="2E75B6" w:themeColor="accent1" w:themeShade="BF"/>
          <w:sz w:val="28"/>
          <w:szCs w:val="28"/>
          <w:u w:val="single"/>
          <w:lang w:val="en-US" w:eastAsia="en-IN"/>
        </w:rPr>
        <w:t>Sample Dataset</w:t>
      </w:r>
    </w:p>
    <w:p>
      <w:pPr>
        <w:shd w:val="clear" w:color="auto" w:fill="FFFFFF"/>
        <w:spacing w:line="360" w:lineRule="auto"/>
        <w:rPr>
          <w:rFonts w:hint="default" w:ascii="Cambria" w:hAnsi="Cambria" w:cs="Calibri"/>
          <w:b/>
          <w:bCs/>
          <w:color w:val="2E75B6" w:themeColor="accent1" w:themeShade="BF"/>
          <w:sz w:val="28"/>
          <w:szCs w:val="28"/>
          <w:u w:val="single"/>
          <w:lang w:val="en-US" w:eastAsia="en-IN"/>
        </w:rPr>
      </w:pPr>
      <w:r>
        <w:drawing>
          <wp:inline distT="0" distB="0" distL="114300" distR="114300">
            <wp:extent cx="6643370" cy="1300480"/>
            <wp:effectExtent l="0" t="0" r="508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6643370" cy="1300480"/>
                    </a:xfrm>
                    <a:prstGeom prst="rect">
                      <a:avLst/>
                    </a:prstGeom>
                    <a:noFill/>
                    <a:ln>
                      <a:noFill/>
                    </a:ln>
                  </pic:spPr>
                </pic:pic>
              </a:graphicData>
            </a:graphic>
          </wp:inline>
        </w:drawing>
      </w: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0"/>
        </w:numPr>
        <w:ind w:leftChars="0"/>
        <w:rPr>
          <w:rFonts w:hint="default" w:ascii="Cambria" w:hAnsi="Cambria" w:cs="Cambria" w:eastAsiaTheme="minorHAnsi"/>
          <w:b w:val="0"/>
          <w:bCs w:val="0"/>
          <w:sz w:val="24"/>
          <w:szCs w:val="24"/>
          <w:lang w:val="en-US" w:eastAsia="en-IN" w:bidi="ar-SA"/>
        </w:rPr>
      </w:pPr>
    </w:p>
    <w:p>
      <w:pPr>
        <w:pStyle w:val="21"/>
        <w:numPr>
          <w:ilvl w:val="0"/>
          <w:numId w:val="0"/>
        </w:numPr>
        <w:ind w:leftChars="0"/>
        <w:rPr>
          <w:rFonts w:hint="default" w:ascii="Cambria" w:hAnsi="Cambria" w:cs="Cambria"/>
          <w:b/>
          <w:bCs/>
          <w:sz w:val="24"/>
          <w:szCs w:val="24"/>
          <w:lang w:val="en-US" w:eastAsia="en-US" w:bidi="ar-SA"/>
        </w:rPr>
      </w:pPr>
      <w:r>
        <w:rPr>
          <w:rFonts w:hint="default" w:ascii="Cambria" w:hAnsi="Cambria"/>
          <w:b/>
          <w:bCs/>
          <w:sz w:val="24"/>
          <w:szCs w:val="24"/>
          <w:lang w:val="en-US" w:eastAsia="en-US"/>
        </w:rPr>
        <w:t>Exploratory Data Analysis (EDA) has been conducted on the dataset mentioned above. Subsequently, a Linear Regression model was developed to predict HPI, and an ARIMA model was constructed for forecasting purposes.</w:t>
      </w:r>
    </w:p>
    <w:p>
      <w:pPr>
        <w:pStyle w:val="21"/>
        <w:numPr>
          <w:ilvl w:val="0"/>
          <w:numId w:val="0"/>
        </w:numPr>
        <w:ind w:leftChars="0"/>
        <w:rPr>
          <w:rFonts w:hint="default" w:ascii="Cambria" w:hAnsi="Cambria" w:cs="Cambria" w:eastAsiaTheme="minorHAnsi"/>
          <w:b w:val="0"/>
          <w:bCs w:val="0"/>
          <w:sz w:val="24"/>
          <w:szCs w:val="24"/>
          <w:lang w:val="en-US" w:eastAsia="en-US" w:bidi="ar-SA"/>
        </w:rPr>
      </w:pPr>
    </w:p>
    <w:p>
      <w:pPr>
        <w:pStyle w:val="21"/>
        <w:numPr>
          <w:ilvl w:val="0"/>
          <w:numId w:val="0"/>
        </w:numPr>
        <w:ind w:leftChars="0"/>
        <w:rPr>
          <w:rFonts w:hint="default" w:ascii="Cambria" w:hAnsi="Cambria" w:cs="Cambria" w:eastAsiaTheme="minorHAnsi"/>
          <w:b w:val="0"/>
          <w:bCs w:val="0"/>
          <w:sz w:val="24"/>
          <w:szCs w:val="24"/>
          <w:lang w:val="en-US" w:eastAsia="en-US" w:bidi="ar-SA"/>
        </w:rPr>
      </w:pPr>
    </w:p>
    <w:sectPr>
      <w:footerReference r:id="rId3" w:type="default"/>
      <w:pgSz w:w="11906" w:h="16838"/>
      <w:pgMar w:top="720" w:right="720" w:bottom="720" w:left="72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0040464"/>
      <w:docPartObj>
        <w:docPartGallery w:val="autotext"/>
      </w:docPartObj>
    </w:sdtPr>
    <w:sdtContent>
      <w:p>
        <w:pPr>
          <w:pStyle w:val="9"/>
          <w:jc w:val="center"/>
        </w:pPr>
        <w:r>
          <w:fldChar w:fldCharType="begin"/>
        </w:r>
        <w:r>
          <w:instrText xml:space="preserve"> PAGE   \* MERGEFORMAT </w:instrText>
        </w:r>
        <w:r>
          <w:fldChar w:fldCharType="separate"/>
        </w:r>
        <w:r>
          <w:t>47</w:t>
        </w:r>
        <w:r>
          <w:fldChar w:fldCharType="end"/>
        </w:r>
      </w:p>
    </w:sdtContent>
  </w:sdt>
  <w:p>
    <w:pPr>
      <w:pStyle w:val="9"/>
      <w:rPr>
        <w:rFonts w:eastAsiaTheme="minor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43425"/>
    <w:multiLevelType w:val="multilevel"/>
    <w:tmpl w:val="A3C434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8BD4CA4"/>
    <w:multiLevelType w:val="singleLevel"/>
    <w:tmpl w:val="78BD4C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A2"/>
    <w:rsid w:val="00001880"/>
    <w:rsid w:val="00016FD6"/>
    <w:rsid w:val="00020C9B"/>
    <w:rsid w:val="00047EFF"/>
    <w:rsid w:val="0006259E"/>
    <w:rsid w:val="000818EB"/>
    <w:rsid w:val="000941F6"/>
    <w:rsid w:val="00097C09"/>
    <w:rsid w:val="000E0C09"/>
    <w:rsid w:val="000E6A6F"/>
    <w:rsid w:val="001058F2"/>
    <w:rsid w:val="00112B82"/>
    <w:rsid w:val="00116D15"/>
    <w:rsid w:val="0012491B"/>
    <w:rsid w:val="00130E93"/>
    <w:rsid w:val="0013321F"/>
    <w:rsid w:val="00141EC5"/>
    <w:rsid w:val="001478FD"/>
    <w:rsid w:val="0015358B"/>
    <w:rsid w:val="00154A10"/>
    <w:rsid w:val="00165438"/>
    <w:rsid w:val="00167F9D"/>
    <w:rsid w:val="001C7470"/>
    <w:rsid w:val="001F7279"/>
    <w:rsid w:val="00201BB7"/>
    <w:rsid w:val="00203C97"/>
    <w:rsid w:val="00243101"/>
    <w:rsid w:val="002509FC"/>
    <w:rsid w:val="00254D74"/>
    <w:rsid w:val="0025729F"/>
    <w:rsid w:val="00262CA4"/>
    <w:rsid w:val="002762AC"/>
    <w:rsid w:val="00287ED0"/>
    <w:rsid w:val="0029774F"/>
    <w:rsid w:val="002A659D"/>
    <w:rsid w:val="002B283B"/>
    <w:rsid w:val="002B3C8A"/>
    <w:rsid w:val="002B610E"/>
    <w:rsid w:val="002B7445"/>
    <w:rsid w:val="002E17D5"/>
    <w:rsid w:val="002E3F7C"/>
    <w:rsid w:val="00301498"/>
    <w:rsid w:val="00302E9D"/>
    <w:rsid w:val="003076FE"/>
    <w:rsid w:val="00330A71"/>
    <w:rsid w:val="00332791"/>
    <w:rsid w:val="00351AD5"/>
    <w:rsid w:val="0038395D"/>
    <w:rsid w:val="00385A7A"/>
    <w:rsid w:val="003957FC"/>
    <w:rsid w:val="003A4DBE"/>
    <w:rsid w:val="003B5475"/>
    <w:rsid w:val="003B6657"/>
    <w:rsid w:val="003C02DF"/>
    <w:rsid w:val="003C751E"/>
    <w:rsid w:val="003D2012"/>
    <w:rsid w:val="003D51DE"/>
    <w:rsid w:val="003E48D8"/>
    <w:rsid w:val="003F2EAF"/>
    <w:rsid w:val="00404E80"/>
    <w:rsid w:val="00425EA6"/>
    <w:rsid w:val="00426633"/>
    <w:rsid w:val="00447BD7"/>
    <w:rsid w:val="0047533B"/>
    <w:rsid w:val="0047712C"/>
    <w:rsid w:val="00480550"/>
    <w:rsid w:val="0048281B"/>
    <w:rsid w:val="00482F38"/>
    <w:rsid w:val="004A0AAB"/>
    <w:rsid w:val="004B3EC7"/>
    <w:rsid w:val="004F468B"/>
    <w:rsid w:val="004F4A57"/>
    <w:rsid w:val="0051212B"/>
    <w:rsid w:val="005132F3"/>
    <w:rsid w:val="005134F7"/>
    <w:rsid w:val="00522143"/>
    <w:rsid w:val="00522A6E"/>
    <w:rsid w:val="005248DE"/>
    <w:rsid w:val="00533078"/>
    <w:rsid w:val="00542E4C"/>
    <w:rsid w:val="005515D7"/>
    <w:rsid w:val="00555163"/>
    <w:rsid w:val="00556125"/>
    <w:rsid w:val="0057445A"/>
    <w:rsid w:val="005C0CDB"/>
    <w:rsid w:val="005C3DE3"/>
    <w:rsid w:val="005D4BCC"/>
    <w:rsid w:val="005D55C8"/>
    <w:rsid w:val="005D7106"/>
    <w:rsid w:val="00603430"/>
    <w:rsid w:val="00623BFB"/>
    <w:rsid w:val="00671937"/>
    <w:rsid w:val="00673506"/>
    <w:rsid w:val="00674532"/>
    <w:rsid w:val="006876FD"/>
    <w:rsid w:val="0069054C"/>
    <w:rsid w:val="006923A4"/>
    <w:rsid w:val="00693AD3"/>
    <w:rsid w:val="006B4F7C"/>
    <w:rsid w:val="006B58A2"/>
    <w:rsid w:val="006C0820"/>
    <w:rsid w:val="006C4D3E"/>
    <w:rsid w:val="006C54E0"/>
    <w:rsid w:val="006D1DB6"/>
    <w:rsid w:val="006E10B0"/>
    <w:rsid w:val="006E5E2D"/>
    <w:rsid w:val="006F5A13"/>
    <w:rsid w:val="00707350"/>
    <w:rsid w:val="00713F8A"/>
    <w:rsid w:val="00724763"/>
    <w:rsid w:val="00726824"/>
    <w:rsid w:val="00733335"/>
    <w:rsid w:val="00735414"/>
    <w:rsid w:val="00746959"/>
    <w:rsid w:val="0076284D"/>
    <w:rsid w:val="00780515"/>
    <w:rsid w:val="00783DE9"/>
    <w:rsid w:val="00792DE0"/>
    <w:rsid w:val="007A58CB"/>
    <w:rsid w:val="007B177E"/>
    <w:rsid w:val="007D0D50"/>
    <w:rsid w:val="007D7D1A"/>
    <w:rsid w:val="007E44CC"/>
    <w:rsid w:val="007F26AC"/>
    <w:rsid w:val="0080297D"/>
    <w:rsid w:val="00833922"/>
    <w:rsid w:val="0085080C"/>
    <w:rsid w:val="0085178B"/>
    <w:rsid w:val="00854E9E"/>
    <w:rsid w:val="00872F2B"/>
    <w:rsid w:val="00886A02"/>
    <w:rsid w:val="008B0030"/>
    <w:rsid w:val="008C4559"/>
    <w:rsid w:val="008C4BD3"/>
    <w:rsid w:val="008E6164"/>
    <w:rsid w:val="0090192D"/>
    <w:rsid w:val="0090514E"/>
    <w:rsid w:val="00937F7C"/>
    <w:rsid w:val="0094789B"/>
    <w:rsid w:val="00967FA1"/>
    <w:rsid w:val="00974B0D"/>
    <w:rsid w:val="00985208"/>
    <w:rsid w:val="00995286"/>
    <w:rsid w:val="009B649A"/>
    <w:rsid w:val="009C0AC0"/>
    <w:rsid w:val="009C553D"/>
    <w:rsid w:val="009C764B"/>
    <w:rsid w:val="009D2065"/>
    <w:rsid w:val="009E5127"/>
    <w:rsid w:val="00A034E9"/>
    <w:rsid w:val="00A152BE"/>
    <w:rsid w:val="00A252C3"/>
    <w:rsid w:val="00A32AB2"/>
    <w:rsid w:val="00A3362C"/>
    <w:rsid w:val="00A36922"/>
    <w:rsid w:val="00A4253A"/>
    <w:rsid w:val="00A5753B"/>
    <w:rsid w:val="00A95C51"/>
    <w:rsid w:val="00AB1ACC"/>
    <w:rsid w:val="00AD5463"/>
    <w:rsid w:val="00AE3341"/>
    <w:rsid w:val="00AE66A6"/>
    <w:rsid w:val="00AE6ADE"/>
    <w:rsid w:val="00AF6744"/>
    <w:rsid w:val="00B012C6"/>
    <w:rsid w:val="00B05712"/>
    <w:rsid w:val="00B06DCB"/>
    <w:rsid w:val="00B108AC"/>
    <w:rsid w:val="00B13F1E"/>
    <w:rsid w:val="00B14AE6"/>
    <w:rsid w:val="00B16DC4"/>
    <w:rsid w:val="00B25FA2"/>
    <w:rsid w:val="00B41CB5"/>
    <w:rsid w:val="00B505C8"/>
    <w:rsid w:val="00B67F8E"/>
    <w:rsid w:val="00B97B8C"/>
    <w:rsid w:val="00BA08FF"/>
    <w:rsid w:val="00BB2CE5"/>
    <w:rsid w:val="00BB5AB7"/>
    <w:rsid w:val="00BD1998"/>
    <w:rsid w:val="00BF3EF5"/>
    <w:rsid w:val="00C02180"/>
    <w:rsid w:val="00C055FE"/>
    <w:rsid w:val="00C05AA9"/>
    <w:rsid w:val="00C1173F"/>
    <w:rsid w:val="00C140CC"/>
    <w:rsid w:val="00C14E32"/>
    <w:rsid w:val="00C16E31"/>
    <w:rsid w:val="00C17A69"/>
    <w:rsid w:val="00C257DB"/>
    <w:rsid w:val="00C35A6B"/>
    <w:rsid w:val="00C47892"/>
    <w:rsid w:val="00C52EE3"/>
    <w:rsid w:val="00C55848"/>
    <w:rsid w:val="00C9563F"/>
    <w:rsid w:val="00C979D1"/>
    <w:rsid w:val="00CB0D38"/>
    <w:rsid w:val="00CB59A2"/>
    <w:rsid w:val="00CC6769"/>
    <w:rsid w:val="00CD315D"/>
    <w:rsid w:val="00CD47A8"/>
    <w:rsid w:val="00CF6B6C"/>
    <w:rsid w:val="00D23C3F"/>
    <w:rsid w:val="00D246F9"/>
    <w:rsid w:val="00D267A1"/>
    <w:rsid w:val="00D309CE"/>
    <w:rsid w:val="00D72ECF"/>
    <w:rsid w:val="00D8043D"/>
    <w:rsid w:val="00D8431B"/>
    <w:rsid w:val="00DA3238"/>
    <w:rsid w:val="00DA44DF"/>
    <w:rsid w:val="00DB47E2"/>
    <w:rsid w:val="00DC5275"/>
    <w:rsid w:val="00DD00B6"/>
    <w:rsid w:val="00DD2B40"/>
    <w:rsid w:val="00DD6075"/>
    <w:rsid w:val="00DD6A8C"/>
    <w:rsid w:val="00DE4F2F"/>
    <w:rsid w:val="00DE76AC"/>
    <w:rsid w:val="00DF7367"/>
    <w:rsid w:val="00E00A0D"/>
    <w:rsid w:val="00E05878"/>
    <w:rsid w:val="00E062BD"/>
    <w:rsid w:val="00E11A78"/>
    <w:rsid w:val="00E2061D"/>
    <w:rsid w:val="00E22F27"/>
    <w:rsid w:val="00E23C58"/>
    <w:rsid w:val="00E330BA"/>
    <w:rsid w:val="00E440C2"/>
    <w:rsid w:val="00E70997"/>
    <w:rsid w:val="00E73269"/>
    <w:rsid w:val="00E76AE2"/>
    <w:rsid w:val="00E82818"/>
    <w:rsid w:val="00E84E6D"/>
    <w:rsid w:val="00E96325"/>
    <w:rsid w:val="00EB1995"/>
    <w:rsid w:val="00EB7DBC"/>
    <w:rsid w:val="00EC17A5"/>
    <w:rsid w:val="00ED1DB6"/>
    <w:rsid w:val="00ED35C5"/>
    <w:rsid w:val="00F20FF8"/>
    <w:rsid w:val="00F3583E"/>
    <w:rsid w:val="00F442D1"/>
    <w:rsid w:val="00F5387A"/>
    <w:rsid w:val="00F71282"/>
    <w:rsid w:val="00F86E72"/>
    <w:rsid w:val="00F94566"/>
    <w:rsid w:val="00FA415A"/>
    <w:rsid w:val="00FA698B"/>
    <w:rsid w:val="00FC4731"/>
    <w:rsid w:val="00FC6654"/>
    <w:rsid w:val="00FC73F8"/>
    <w:rsid w:val="00FD0A3B"/>
    <w:rsid w:val="00FD1826"/>
    <w:rsid w:val="00FE5672"/>
    <w:rsid w:val="0B072024"/>
    <w:rsid w:val="18067D5C"/>
    <w:rsid w:val="2D0D0A8A"/>
    <w:rsid w:val="309E621D"/>
    <w:rsid w:val="33FB53CB"/>
    <w:rsid w:val="3ED175C1"/>
    <w:rsid w:val="656C2DBA"/>
    <w:rsid w:val="673059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8"/>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7"/>
    <w:unhideWhenUsed/>
    <w:uiPriority w:val="99"/>
    <w:pPr>
      <w:tabs>
        <w:tab w:val="center" w:pos="4513"/>
        <w:tab w:val="right" w:pos="9026"/>
      </w:tabs>
    </w:pPr>
  </w:style>
  <w:style w:type="paragraph" w:styleId="10">
    <w:name w:val="header"/>
    <w:basedOn w:val="1"/>
    <w:link w:val="26"/>
    <w:unhideWhenUsed/>
    <w:uiPriority w:val="99"/>
    <w:pPr>
      <w:tabs>
        <w:tab w:val="center" w:pos="4513"/>
        <w:tab w:val="right" w:pos="9026"/>
      </w:tabs>
    </w:pPr>
  </w:style>
  <w:style w:type="paragraph" w:styleId="11">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IN"/>
    </w:rPr>
  </w:style>
  <w:style w:type="character" w:styleId="12">
    <w:name w:val="Hyperlink"/>
    <w:basedOn w:val="6"/>
    <w:semiHidden/>
    <w:unhideWhenUsed/>
    <w:uiPriority w:val="99"/>
    <w:rPr>
      <w:color w:val="0000FF"/>
      <w:u w:val="single"/>
    </w:rPr>
  </w:style>
  <w:style w:type="paragraph" w:styleId="13">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IN"/>
    </w:rPr>
  </w:style>
  <w:style w:type="character" w:styleId="14">
    <w:name w:val="Strong"/>
    <w:basedOn w:val="6"/>
    <w:qFormat/>
    <w:uiPriority w:val="22"/>
    <w:rPr>
      <w:b/>
      <w:bCs/>
    </w:rPr>
  </w:style>
  <w:style w:type="table" w:styleId="15">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No Spacing"/>
    <w:link w:val="17"/>
    <w:qFormat/>
    <w:uiPriority w:val="1"/>
    <w:rPr>
      <w:rFonts w:asciiTheme="minorHAnsi" w:hAnsiTheme="minorHAnsi" w:eastAsiaTheme="minorEastAsia" w:cstheme="minorBidi"/>
      <w:sz w:val="22"/>
      <w:szCs w:val="22"/>
      <w:lang w:val="en-US" w:eastAsia="en-US" w:bidi="ar-SA"/>
    </w:rPr>
  </w:style>
  <w:style w:type="character" w:customStyle="1" w:styleId="17">
    <w:name w:val="No Spacing Char"/>
    <w:basedOn w:val="6"/>
    <w:link w:val="16"/>
    <w:uiPriority w:val="1"/>
    <w:rPr>
      <w:rFonts w:eastAsiaTheme="minorEastAsia"/>
      <w:lang w:val="en-US"/>
    </w:rPr>
  </w:style>
  <w:style w:type="paragraph" w:customStyle="1" w:styleId="18">
    <w:name w:val="Default"/>
    <w:uiPriority w:val="0"/>
    <w:pPr>
      <w:autoSpaceDE w:val="0"/>
      <w:autoSpaceDN w:val="0"/>
      <w:adjustRightInd w:val="0"/>
    </w:pPr>
    <w:rPr>
      <w:rFonts w:ascii="Arial" w:hAnsi="Arial" w:cs="Arial" w:eastAsiaTheme="minorHAnsi"/>
      <w:color w:val="000000"/>
      <w:sz w:val="24"/>
      <w:szCs w:val="24"/>
      <w:lang w:val="en-IN" w:eastAsia="en-US" w:bidi="ar-SA"/>
    </w:rPr>
  </w:style>
  <w:style w:type="character" w:customStyle="1" w:styleId="19">
    <w:name w:val="HTML Preformatted Char"/>
    <w:basedOn w:val="6"/>
    <w:link w:val="11"/>
    <w:uiPriority w:val="99"/>
    <w:rPr>
      <w:rFonts w:ascii="Courier New" w:hAnsi="Courier New" w:eastAsia="Times New Roman" w:cs="Courier New"/>
      <w:sz w:val="20"/>
      <w:szCs w:val="20"/>
      <w:lang w:eastAsia="en-IN"/>
    </w:rPr>
  </w:style>
  <w:style w:type="character" w:customStyle="1" w:styleId="20">
    <w:name w:val="Heading 1 Char"/>
    <w:basedOn w:val="6"/>
    <w:link w:val="2"/>
    <w:uiPriority w:val="9"/>
    <w:rPr>
      <w:rFonts w:ascii="Times New Roman" w:hAnsi="Times New Roman" w:eastAsia="Times New Roman" w:cs="Times New Roman"/>
      <w:b/>
      <w:bCs/>
      <w:kern w:val="36"/>
      <w:sz w:val="48"/>
      <w:szCs w:val="48"/>
      <w:lang w:eastAsia="en-IN"/>
    </w:rPr>
  </w:style>
  <w:style w:type="paragraph" w:styleId="21">
    <w:name w:val="List Paragraph"/>
    <w:basedOn w:val="1"/>
    <w:qFormat/>
    <w:uiPriority w:val="34"/>
    <w:pPr>
      <w:ind w:left="720"/>
      <w:contextualSpacing/>
    </w:pPr>
  </w:style>
  <w:style w:type="character" w:customStyle="1" w:styleId="22">
    <w:name w:val="Heading 2 Char"/>
    <w:basedOn w:val="6"/>
    <w:link w:val="3"/>
    <w:uiPriority w:val="9"/>
    <w:rPr>
      <w:rFonts w:asciiTheme="majorHAnsi" w:hAnsiTheme="majorHAnsi" w:eastAsiaTheme="majorEastAsia" w:cstheme="majorBidi"/>
      <w:color w:val="2E75B6" w:themeColor="accent1" w:themeShade="BF"/>
      <w:sz w:val="26"/>
      <w:szCs w:val="26"/>
    </w:rPr>
  </w:style>
  <w:style w:type="character" w:customStyle="1" w:styleId="23">
    <w:name w:val="mjx-char"/>
    <w:basedOn w:val="6"/>
    <w:uiPriority w:val="0"/>
  </w:style>
  <w:style w:type="character" w:customStyle="1" w:styleId="24">
    <w:name w:val="mjx_assistive_mathml"/>
    <w:basedOn w:val="6"/>
    <w:uiPriority w:val="0"/>
  </w:style>
  <w:style w:type="character" w:customStyle="1" w:styleId="25">
    <w:name w:val="Heading 3 Char"/>
    <w:basedOn w:val="6"/>
    <w:link w:val="4"/>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0"/>
    <w:uiPriority w:val="99"/>
  </w:style>
  <w:style w:type="character" w:customStyle="1" w:styleId="27">
    <w:name w:val="Footer Char"/>
    <w:basedOn w:val="6"/>
    <w:link w:val="9"/>
    <w:uiPriority w:val="99"/>
  </w:style>
  <w:style w:type="character" w:customStyle="1" w:styleId="28">
    <w:name w:val="Heading 4 Char"/>
    <w:basedOn w:val="6"/>
    <w:link w:val="5"/>
    <w:semiHidden/>
    <w:uiPriority w:val="9"/>
    <w:rPr>
      <w:rFonts w:asciiTheme="majorHAnsi" w:hAnsiTheme="majorHAnsi" w:eastAsiaTheme="majorEastAsia" w:cstheme="majorBidi"/>
      <w:i/>
      <w:iCs/>
      <w:color w:val="2E75B6" w:themeColor="accent1" w:themeShade="BF"/>
    </w:rPr>
  </w:style>
  <w:style w:type="character" w:customStyle="1" w:styleId="29">
    <w:name w:val="nb"/>
    <w:basedOn w:val="6"/>
    <w:uiPriority w:val="0"/>
  </w:style>
  <w:style w:type="character" w:customStyle="1" w:styleId="30">
    <w:name w:val="p"/>
    <w:basedOn w:val="6"/>
    <w:uiPriority w:val="0"/>
  </w:style>
  <w:style w:type="character" w:customStyle="1" w:styleId="31">
    <w:name w:val="s1"/>
    <w:basedOn w:val="6"/>
    <w:uiPriority w:val="0"/>
  </w:style>
  <w:style w:type="character" w:customStyle="1" w:styleId="32">
    <w:name w:val="n"/>
    <w:basedOn w:val="6"/>
    <w:uiPriority w:val="0"/>
  </w:style>
  <w:style w:type="character" w:customStyle="1" w:styleId="33">
    <w:name w:val="mi"/>
    <w:basedOn w:val="6"/>
    <w:uiPriority w:val="0"/>
  </w:style>
  <w:style w:type="character" w:customStyle="1" w:styleId="34">
    <w:name w:val="o"/>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0C6FE-A62D-44E5-ACBC-8A9D4E8049CC}">
  <ds:schemaRefs/>
</ds:datastoreItem>
</file>

<file path=docProps/app.xml><?xml version="1.0" encoding="utf-8"?>
<Properties xmlns="http://schemas.openxmlformats.org/officeDocument/2006/extended-properties" xmlns:vt="http://schemas.openxmlformats.org/officeDocument/2006/docPropsVTypes">
  <Template>Normal.dotm</Template>
  <Pages>48</Pages>
  <Words>5252</Words>
  <Characters>29939</Characters>
  <Lines>249</Lines>
  <Paragraphs>70</Paragraphs>
  <TotalTime>516</TotalTime>
  <ScaleCrop>false</ScaleCrop>
  <LinksUpToDate>false</LinksUpToDate>
  <CharactersWithSpaces>35121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2021-06-13T03:21:00Z</dcterms:created>
  <dc:creator>karthik</dc:creator>
  <cp:lastModifiedBy>user</cp:lastModifiedBy>
  <cp:lastPrinted>2021-07-18T06:45:00Z</cp:lastPrinted>
  <dcterms:modified xsi:type="dcterms:W3CDTF">2023-10-01T11:25:51Z</dcterms:modified>
  <dc:title>DATA MINING
 Project</dc:title>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D387BB43A85246CEB262E03172CC4E95</vt:lpwstr>
  </property>
</Properties>
</file>