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28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SWTID-2026-1668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300"/>
        <w:gridCol w:w="1354"/>
        <w:gridCol w:w="1900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00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54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900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Environment Setup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set up the ServiceNow instance with the required roles and groups (employees, managers, IT procurement team).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Karthika R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Service Catalog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can see a "Standard Laptop Request" item in the Service Catalog.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Brindha S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can fill in the request form (laptop model, justification, delivery location) and submit it.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Janani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Flow Designer Automation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create a Flow Designer flow that triggers when a laptop request is submitted.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Karthika R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receive an acknowledgement notification once my request is submitted.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Kanimozhi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Manager Approval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manager, I receive an approval request when my team member raises a laptop request.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Parameshwari V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manager, I can approve or reject the request from the notification or the approval list.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Brindha S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am notified when my request is approved or rejected.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Janani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Task Creation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IT procurement team member, a catalog task is created and assigned to my group once the request is approved.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Karthika R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see my request closed automatically with a reason when it is rejected.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Kanimozhi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Order Fulfilment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IT procurement team member, I can update the task with order details (vendor, order ID, expected delivery date).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Brindha S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can track the status of my laptop request from the portal.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Janani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employee, I am notified when my laptop is delivered.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Parameshwari V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the request is closed automatically once the IT task is completed.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Karthika R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Error Handling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am alerted when the flow fails or no manager is found for the requester.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Kanimozhi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Testing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test the flow end to end for approved and rejected scenarios using Flow Designer test mode.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Parameshwari V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Reporting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IT manager, I can view a report of laptop requests by status.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Brindha S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Deployment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move the catalog item and flow to production using an update set.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Karthika R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Documentation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refer to a short guide on how to raise a laptop request.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Janani P</w:t>
            </w:r>
          </w:p>
        </w:tc>
      </w:tr>
      <w:tr>
        <w:trPr>
          <w:trHeight w:val="392"/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USN-20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team, we prepare the final demo and project documentation.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35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9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Kanimozhi P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keepNext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/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 Sep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66"/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66"/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66"/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keepNext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</w:pPr>
      <w:r>
        <w:rPr>
          <w:rFonts w:ascii="Arial" w:hAnsi="Arial" w:cs="Arial"/>
          <w:color w:val="172B4D"/>
          <w:sz w:val="22"/>
          <w:szCs w:val="22"/>
        </w:rPr>
        <w:t xml:space="preserve">For this project, the sprint duration is 6 days and the team velocity is 20 story points per sprint, so the average velocity (AV) = 20 / 6 ≈ 3.33 story points per day.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keepNext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spacing w:before="120" w:after="120"/>
        <w:jc w:val="center"/>
      </w:pPr>
      <w:r>
        <w:drawing>
          <wp:inline distT="0" distB="0" distL="0" distR="0">
            <wp:extent cx="6035040" cy="2715768"/>
            <wp:docPr id="501" name="Burndown Chart" descr="Planned burndown chart: 80 story points over 4 spr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burndow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image" Target="media/burndow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