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56"/>
          <w:szCs w:val="56"/>
        </w:rPr>
        <w:t xml:space="preserve">SDD Framework Comparison: GitHub Spec Kit vs. OpenSpec</w:t>
      </w:r>
    </w:p>
    <w:p>
      <w:pPr>
        <w:spacing w:after="200"/>
      </w:pPr>
      <w:r>
        <w:rPr>
          <w:rFonts w:ascii="Times New Roman" w:cs="Times New Roman" w:eastAsia="Times New Roman" w:hAnsi="Times New Roman"/>
        </w:rPr>
        <w:t xml:space="preserve">Both frameworks share the same core thesis: write the spec before the code, and keep it in the repository so any AI coding agent can work from it. They differ in how much process they carry and which project type they are built for. This course uses GitHub Spec Kit as the primary hands-on framework and introduces OpenSpec for a side-by-side comparison in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shd w:fill="2E74B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Dimension</w:t>
            </w:r>
          </w:p>
        </w:tc>
        <w:tc>
          <w:tcPr>
            <w:tcW w:type="dxa" w:w="3513"/>
            <w:shd w:fill="2E74B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GitHub Spec Kit</w:t>
            </w:r>
          </w:p>
        </w:tc>
        <w:tc>
          <w:tcPr>
            <w:tcW w:type="dxa" w:w="3513"/>
            <w:shd w:fill="2E74B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OpenSpec</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CLI &amp; installation</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specify CLI, typically installed via uvx or pip.</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openspec CLI, installed via npm install -g @fission-ai/openspec and initialized with openspec init.</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Specification model</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One spec per feature, stored under a numbered specs/NNN-feature-name/ directory.</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A single living spec representing current system state; changes are proposed as delta specs marking sections ADDED, MODIFIED, or REMOVED.</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Core workflow</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constitution, specify, clarify, plan, checklist, tasks, analyze, implement, with clarify/checklist/analyze applied as quality gates for work with meaningful ambiguity.</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explore (optional), propose, apply, sync (optional), archive.</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Governance artifact</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A dedicated constitution document encodes project-wide principles, standards, and constraints, checked against by later phases.</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No separate governance document; conventions are enforced through the living spec and proposal review itself.</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Artifact volume</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Verbose: typically seven or more files per feature (spec, plan, tasks, checklist, and others).</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Compact: roughly four files per change, describing only what is changing.</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Change history</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Spec files are additive; once generated, they remain as a historical record of that feature.</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Completed changes are archived, merging their deltas into the current living spec, so history is folded into one up-to-date source.</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Best-fit project type</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Greenfield or new projects, where enforcing full technical planning before code is valuable.</w:t>
            </w:r>
          </w:p>
        </w:tc>
        <w:tc>
          <w:tcPr>
            <w:tcW w:type="dxa" w:w="3513"/>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Brownfield or established codebases, where incremental change without regenerating a full system-wide plan is valuable.</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bCs/>
                <w:sz w:val="19"/>
                <w:szCs w:val="19"/>
              </w:rPr>
              <w:t xml:space="preserve">Extensibility</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Supports extensions (e.g., a bundled bug-fix flow: assess, fix, validate), presets, workflows, and bundles for org-level customization.</w:t>
            </w:r>
          </w:p>
        </w:tc>
        <w:tc>
          <w:tcPr>
            <w:tcW w:type="dxa" w:w="3513"/>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sz w:val="19"/>
                <w:szCs w:val="19"/>
              </w:rPr>
              <w:t xml:space="preserve">Lighter-weight by design; customization happens mainly through the living spec and team conventions rather than a plugin system.</w:t>
            </w:r>
          </w:p>
        </w:tc>
      </w:tr>
    </w:tbl>
    <w:p>
      <w:pPr>
        <w:pBdr>
          <w:top w:val="single" w:color="BFBFBF" w:sz="6" w:space="6"/>
        </w:pBdr>
        <w:spacing w:after="120" w:before="260"/>
      </w:pPr>
      <w:r>
        <w:rPr>
          <w:rFonts w:ascii="Times New Roman" w:cs="Times New Roman" w:eastAsia="Times New Roman" w:hAnsi="Times New Roman"/>
          <w:b/>
          <w:bCs/>
          <w:color w:val="2E74B5"/>
          <w:sz w:val="28"/>
          <w:szCs w:val="28"/>
        </w:rPr>
        <w:t xml:space="preserve">Note on Fit for This Course</w:t>
      </w:r>
    </w:p>
    <w:p>
      <w:pPr>
        <w:spacing w:after="200"/>
      </w:pPr>
      <w:r>
        <w:rPr>
          <w:rFonts w:ascii="Times New Roman" w:cs="Times New Roman" w:eastAsia="Times New Roman" w:hAnsi="Times New Roman"/>
        </w:rPr>
        <w:t xml:space="preserve">The teams in this course are working against a large, established, hierarchical codebase rather than a greenfield project. OpenSpec's brownfield orientation and lighter-weight delta model are directly relevant to that context, which is why the Module-1 comparison has participants scaffold both frameworks side by side rather than treating OpenSpec as a footnote.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2026-08-15T09:09:45.946Z</dcterms:created>
  <dcterms:modified xsi:type="dcterms:W3CDTF">2026-08-15T09:09:45.947Z</dcterms:modified>
</cp:coreProperties>
</file>

<file path=docProps/custom.xml><?xml version="1.0" encoding="utf-8"?>
<Properties xmlns="http://schemas.openxmlformats.org/officeDocument/2006/custom-properties" xmlns:vt="http://schemas.openxmlformats.org/officeDocument/2006/docPropsVTypes"/>
</file>