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Capstone Project 8: Bank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Objective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Storage &amp; querying (Hadoop + Hive).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dataset is registered as a Hive-managed table and queried with HiveQL/Spark SQL.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Distributed EDA (Spark).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Summary statistics, null checks, group-by aggregations, and IQR-based outlier detection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tl w:val="0"/>
        </w:rPr>
        <w:t xml:space="preserve">calculated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across Spark partitions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Predictive modelling (Spark ML).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Three classifiers Logistic Regression, Random Forest, and Gradient-Boosted Trees are trained inside Spark ML pipelines with class-weighting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5-fold 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validated hyperparameter tuning.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time analysis (Spark Structured Streaming).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live feed is simulated by dropping CSV chunks into a folder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Spark processes each as a micro-batch and applies a rule engine.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Data parallelism.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emonstrate how the same code scales as data volume grows.</w:t>
      </w:r>
    </w:p>
    <w:p w:rsidR="00000000" w:rsidDel="00000000" w:rsidP="00000000" w:rsidRDefault="00000000" w:rsidRPr="00000000" w14:paraId="0000000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Challenges Faced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imbalance.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With only 11.5% positive cases, a naive model scores 88% accuracy by always predicting “no.” This was addressed with class weighting and by making ROC-AUC, precision, and recall the primary metrics rather than accuracy.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Single active Spark session.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JVM allows only one SparkContext, so calling getOrCreate() for the Hive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enabled session reuses the existing ML session and the catalog stays in-memory.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Streaming requires an explicit schema.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streaming source cannot infer schema, so the full StructType had to be declared.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Skew and shuffle cost.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Verifying that rows were evenly distributed across partitions confirmed there was no skew bottlenecking parallel execution.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Distributed vs. local mindset.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biggest conceptual challenge was resisting the urge to collect everything </w:t>
      </w:r>
      <w:r w:rsidDel="00000000" w:rsidR="00000000" w:rsidRPr="00000000">
        <w:rPr>
          <w:rtl w:val="0"/>
        </w:rPr>
        <w:t xml:space="preserve">for pandas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3.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duration and previous campaign success (</w:t>
      </w:r>
      <w:r w:rsidDel="00000000" w:rsidR="00000000" w:rsidRPr="00000000">
        <w:rPr>
          <w:rtl w:val="0"/>
        </w:rPr>
        <w:t xml:space="preserve">poutcome</w:t>
      </w:r>
      <w:r w:rsidDel="00000000" w:rsidR="00000000" w:rsidRPr="00000000">
        <w:rPr>
          <w:rtl w:val="0"/>
        </w:rPr>
        <w:t xml:space="preserve"> = success) are the strongest predictors of subscription.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and retired clients exhibit significantly higher subscription rates than blue-collar workers.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Months like March, September, and October yield higher conversion rates; May shows the inverse despite highest outreach volume.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dataset's class imbalance (88.5% 'no') required SMOTE, which substantially improved minority class recall.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cL1wcGDqAlw6RX5+2yCG/jXKGA==">CgMxLjA4AHIhMVB1X3F1aHlzOGdFZEY2Y2xCb2xrTmE5WTA4ZWpJRk1Y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