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OPTIMA-X Complete Project Working Report</w:t>
      </w:r>
    </w:p>
    <w:p>
      <w:pPr>
        <w:pStyle w:val="Heading1"/>
      </w:pPr>
      <w:r>
        <w:t>A full technical, architectural, experimental, and operational review of the seven-phase urban-logistics decision system</w:t>
      </w:r>
    </w:p>
    <w:p>
      <w:r>
        <w:rPr>
          <w:b/>
        </w:rPr>
        <w:t>Author:</w:t>
      </w:r>
      <w:r>
        <w:t xml:space="preserve"> Karthikeya</w:t>
      </w:r>
    </w:p>
    <w:p>
      <w:r>
        <w:rPr>
          <w:b/>
        </w:rPr>
        <w:t>Project:</w:t>
      </w:r>
      <w:r>
        <w:t xml:space="preserve"> OPTIMA-X</w:t>
      </w:r>
    </w:p>
    <w:p>
      <w:r>
        <w:rPr>
          <w:b/>
        </w:rPr>
        <w:t>Repository:</w:t>
      </w:r>
      <w:r>
        <w:t xml:space="preserve"> </w:t>
      </w:r>
      <w:r>
        <w:rPr>
          <w:rFonts w:ascii="Consolas" w:hAnsi="Consolas"/>
          <w:sz w:val="18"/>
        </w:rPr>
        <w:t>karthikeya1498/DS-version--1.0.1</w:t>
      </w:r>
    </w:p>
    <w:p>
      <w:r>
        <w:rPr>
          <w:b/>
        </w:rPr>
        <w:t>Review branch:</w:t>
      </w:r>
      <w:r>
        <w:t xml:space="preserve"> </w:t>
      </w:r>
      <w:r>
        <w:rPr>
          <w:rFonts w:ascii="Consolas" w:hAnsi="Consolas"/>
          <w:sz w:val="18"/>
        </w:rPr>
        <w:t>database/history-orm-archival</w:t>
      </w:r>
    </w:p>
    <w:p>
      <w:r>
        <w:rPr>
          <w:b/>
        </w:rPr>
        <w:t>Report date:</w:t>
      </w:r>
      <w:r>
        <w:t xml:space="preserve"> 29 August 2026</w:t>
      </w:r>
    </w:p>
    <w:p>
      <w:r>
        <w:rPr>
          <w:b/>
        </w:rPr>
        <w:t>Scope:</w:t>
      </w:r>
      <w:r>
        <w:t xml:space="preserve"> Phase -1 foundations through Phase 7 research validation</w:t>
      </w:r>
    </w:p>
    <w:p>
      <w:pPr>
        <w:spacing w:after="40"/>
      </w:pPr>
      <w:r>
        <w:rPr>
          <w:color w:val="B4BEC8"/>
        </w:rPr>
        <w:t>────────────────────────────────────────────────────────────────────────────────────────────</w:t>
      </w:r>
    </w:p>
    <w:p>
      <w:pPr>
        <w:pStyle w:val="Heading1"/>
      </w:pPr>
      <w:r>
        <w:t>Executive Summary</w:t>
      </w:r>
    </w:p>
    <w:p>
      <w:r>
        <w:t>OPTIMA-X is a hybrid decision-optimization engine for urban logistics. Its purpose is not merely to predict demand or calculate a shortest path; it is to connect operational data, graph algorithms, machine-learning forecasts, constrained routing, reinforcement learning, decision intelligence, production controls, and research evaluation into one reproducible system. The project has been developed as a multi-language architecture in which Python owns orchestration and machine learning, Java owns core data-structure and algorithm demonstrations, PostgreSQL owns durable state and lineage, and TypeScript owns the operational dashboard.</w:t>
      </w:r>
    </w:p>
    <w:p>
      <w:r>
        <w:t xml:space="preserve">The completed system follows a traceable chain. Phase 1 constructs a reproducible operational world from datasets, road-network information, vehicles, orders, traffic, and scenarios. Phase 2 engineers leakage-safe features and provides baselines, XGBoost, MLP, and temporal LSTM/GRU neural forecasting models. Phase 3 converts predictions into constrained fleet assignments and route plans using Dijkstra, A*, greedy assignment, local search, simulated annealing, and genetic operators. Phase 4 evaluates PPO and related policy-learning experiments, including multi-seed analysis and stabilized reward design. Phase 5 connects model outputs and optimizer candidates into evidence-grounded </w:t>
      </w:r>
      <w:r>
        <w:rPr>
          <w:rFonts w:ascii="Consolas" w:hAnsi="Consolas"/>
          <w:sz w:val="18"/>
        </w:rPr>
        <w:t>DecisionRecord</w:t>
      </w:r>
      <w:r>
        <w:t xml:space="preserve"> objects. Phase 6 hardens the API and runtime with JWT authentication, tenant-aware Redis rate limiting, WebSocket telemetry, security audits, Docker verification, and scheduled performance checks. Phase 7 stores benchmark provenance and studies whether better prediction necessarily yields better operational decisions.</w:t>
      </w:r>
    </w:p>
    <w:p>
      <w:r>
        <w:t>The persistent backbone is PostgreSQL. A canonical schema was designed for 28 mapped tables across operational entities, graph data, forecasts, optimization, reinforcement learning, decision lineage, observability, and benchmark evidence. Alembic manages schema evolution, while partitioning and archival tooling manages historical traffic and decision records. SQLAlchemy 2.x models mirror the DDL and preserve the earlier experiment-record compatibility interface. A container-backed integration suite applies migrations and verifies partition creation, traffic archival, and decision-lineage archival.</w:t>
      </w:r>
    </w:p>
    <w:p>
      <w:r>
        <w:t xml:space="preserve">The project has strong validation evidence. The current local suite reports 57 passing Python tests, three intentionally skipped PostgreSQL-container tests when Docker is unavailable locally, and one non-blocking Starlette/httpx deprecation warning. Ruff and Bandit pass. The frontend TypeScript check and Vite production build pass. The previous Pull Request #6 commit </w:t>
      </w:r>
      <w:r>
        <w:rPr>
          <w:rFonts w:ascii="Consolas" w:hAnsi="Consolas"/>
          <w:sz w:val="18"/>
        </w:rPr>
        <w:t>72e2ea5</w:t>
      </w:r>
      <w:r>
        <w:t xml:space="preserve"> completed all seven GitHub workflow checks successfully. Subsequent neural, benchmark, frontend, and sensitivity commits were pushed to the protected review branch, where the latest checks were running at the time of the final inspection.</w:t>
      </w:r>
    </w:p>
    <w:p>
      <w:r>
        <w:t>The results also reveal honest limitations. The 50-order stress test completed in approximately 1.4–1.6 milliseconds for the small in-memory graph but served only 10 of 50 orders. The current assignment path dispatches one order per vehicle in that scenario, so the nominal 50-unit vehicle capacity is not yet used as multi-stop route capacity. The multi-seed prediction-to-decision study generated 405 observations, but the selected five-order scenario remained inside the same assignment basin across models and noise levels. These are valuable engineering findings: the next improvement is to separate multi-order assignment from route sequencing, create near-tie route alternatives, add deadline-sensitive ETA predictions, and evaluate larger paired scenario panels.</w:t>
      </w:r>
    </w:p>
    <w:p>
      <w:r>
        <w:t>The most important conclusion is that OPTIMA-X is now more than a collection of algorithms. It has an explicit data model, phase contracts, security posture, migration process, reproducibility strategy, frontend control surface, benchmark artifacts, and a research question that joins prediction quality to decision quality. The remaining work is primarily to deepen operational realism and to turn the current robust prototype into a fully capacity-aware, database-backed, continuously benchmarked production service.</w:t>
      </w:r>
    </w:p>
    <w:p>
      <w:pPr>
        <w:pStyle w:val="Heading1"/>
      </w:pPr>
      <w:r>
        <w:t>1. Project Purpose and Research Identity</w:t>
      </w:r>
    </w:p>
    <w:p>
      <w:r>
        <w:t>Urban logistics decisions are coupled. Demand determines how many orders are likely to arrive. Traffic changes travel time. Vehicle capacity and shift availability constrain feasible assignments. A route that is mathematically short can still be operationally poor if it produces lateness on a deadline-critical order. A prediction model with a lower average RMSE can also produce worse decisions if its errors occur on precisely the orders that influence route choice. OPTIMA-X was therefore designed around a hybrid question: how can data structures, prediction, optimization, learning, explanations, and operational engineering be combined into a traceable decision system?</w:t>
      </w:r>
    </w:p>
    <w:p>
      <w:r>
        <w:t>The project deliberately distinguishes model quality from decision quality. Phase 2 reports prediction metrics such as MAE and RMSE. Phase 3 reports distance, lateness, unserved orders, cost, feasibility, vehicle usage, and runtime. Phase 7 compares both levels under identical scenario and optimizer conditions. This prevents the project from making the weak claim that using a more complex model is automatically better. Instead, it asks whether additional complexity produces a measurable operational benefit.</w:t>
      </w:r>
    </w:p>
    <w:p>
      <w:r>
        <w:t>The architecture also preserves a separation of concerns. Python is the integration language because it provides the API, orchestration, feature engineering, forecasting, experiments, and reporting. Java provides a separately testable environment for core DSA demonstrations and algorithmic rigor. PostgreSQL provides durable, queryable history rather than transient in-memory state. TypeScript provides a visual operational surface without embedding database credentials or server-side logic in the browser. This separation makes the project easier to test and gives every language an intentional role.</w:t>
      </w:r>
    </w:p>
    <w:p>
      <w:pPr>
        <w:pStyle w:val="Heading1"/>
      </w:pPr>
      <w:r>
        <w:t>2. Phase -1: Foundations, Scope, and Engineering Conventions</w:t>
      </w:r>
    </w:p>
    <w:p>
      <w:r>
        <w:t xml:space="preserve">The foundation phase established the repository structure, language matrix, documentation conventions, reproducible seed policy, and development workflow. The project was organized into </w:t>
      </w:r>
      <w:r>
        <w:rPr>
          <w:rFonts w:ascii="Consolas" w:hAnsi="Consolas"/>
          <w:sz w:val="18"/>
        </w:rPr>
        <w:t>api</w:t>
      </w:r>
      <w:r>
        <w:t xml:space="preserve">, </w:t>
      </w:r>
      <w:r>
        <w:rPr>
          <w:rFonts w:ascii="Consolas" w:hAnsi="Consolas"/>
          <w:sz w:val="18"/>
        </w:rPr>
        <w:t>src</w:t>
      </w:r>
      <w:r>
        <w:t xml:space="preserve">, </w:t>
      </w:r>
      <w:r>
        <w:rPr>
          <w:rFonts w:ascii="Consolas" w:hAnsi="Consolas"/>
          <w:sz w:val="18"/>
        </w:rPr>
        <w:t>frontend</w:t>
      </w:r>
      <w:r>
        <w:t xml:space="preserve">, </w:t>
      </w:r>
      <w:r>
        <w:rPr>
          <w:rFonts w:ascii="Consolas" w:hAnsi="Consolas"/>
          <w:sz w:val="18"/>
        </w:rPr>
        <w:t>benchmarks</w:t>
      </w:r>
      <w:r>
        <w:t xml:space="preserve">, </w:t>
      </w:r>
      <w:r>
        <w:rPr>
          <w:rFonts w:ascii="Consolas" w:hAnsi="Consolas"/>
          <w:sz w:val="18"/>
        </w:rPr>
        <w:t>scripts</w:t>
      </w:r>
      <w:r>
        <w:t xml:space="preserve">, </w:t>
      </w:r>
      <w:r>
        <w:rPr>
          <w:rFonts w:ascii="Consolas" w:hAnsi="Consolas"/>
          <w:sz w:val="18"/>
        </w:rPr>
        <w:t>tests</w:t>
      </w:r>
      <w:r>
        <w:t xml:space="preserve">, </w:t>
      </w:r>
      <w:r>
        <w:rPr>
          <w:rFonts w:ascii="Consolas" w:hAnsi="Consolas"/>
          <w:sz w:val="18"/>
        </w:rPr>
        <w:t>docs</w:t>
      </w:r>
      <w:r>
        <w:t xml:space="preserve">, </w:t>
      </w:r>
      <w:r>
        <w:rPr>
          <w:rFonts w:ascii="Consolas" w:hAnsi="Consolas"/>
          <w:sz w:val="18"/>
        </w:rPr>
        <w:t>data</w:t>
      </w:r>
      <w:r>
        <w:t xml:space="preserve">, </w:t>
      </w:r>
      <w:r>
        <w:rPr>
          <w:rFonts w:ascii="Consolas" w:hAnsi="Consolas"/>
          <w:sz w:val="18"/>
        </w:rPr>
        <w:t>alembic</w:t>
      </w:r>
      <w:r>
        <w:t xml:space="preserve">, and </w:t>
      </w:r>
      <w:r>
        <w:rPr>
          <w:rFonts w:ascii="Consolas" w:hAnsi="Consolas"/>
          <w:sz w:val="18"/>
        </w:rPr>
        <w:t>.github/workflows</w:t>
      </w:r>
      <w:r>
        <w:t>. Each later phase was expected to add source code, tests, documentation, and repeatable artifacts rather than only an undocumented demonstration.</w:t>
      </w:r>
    </w:p>
    <w:p>
      <w:r>
        <w:t xml:space="preserve">The engineering convention uses the author attribution </w:t>
      </w:r>
      <w:r>
        <w:rPr>
          <w:b/>
        </w:rPr>
        <w:t>Karthikeya</w:t>
      </w:r>
      <w:r>
        <w:t xml:space="preserve"> in source and research artifacts. Commit history is intentionally granular. Database schema, ORM mappings, history tooling, migration configuration, frontend logic, visual styling, API contracts, neural models, benchmark runners, test suites, and analysis documents are separated into topic-specific commits. This increases reviewability because a reviewer can inspect one concern at a time, while protected GitHub pull requests preserve CI evidence and review discussion.</w:t>
      </w:r>
    </w:p>
    <w:p>
      <w:r>
        <w:t>A second foundation decision was to treat reproducibility as a first-class requirement. Scenarios carry seeds, datasets have manifests, model artifacts record versions and parameters, and experiments write structured JSON or CSV outputs. The project does not treat a screenshot as evidence. A benchmark result should be reconstructible from a scenario ID, data version, algorithm version, model version, feature version, seed, configuration, and execution environment.</w:t>
      </w:r>
    </w:p>
    <w:p>
      <w:pPr>
        <w:pStyle w:val="Heading1"/>
      </w:pPr>
      <w:r>
        <w:t>3. Phase 1: Operational World, Data, Simulation, and Graph Foundations</w:t>
      </w:r>
    </w:p>
    <w:p>
      <w:r>
        <w:t xml:space="preserve">Phase 1 establishes the world in which every downstream component operates. The simulation domain includes </w:t>
      </w:r>
      <w:r>
        <w:rPr>
          <w:rFonts w:ascii="Consolas" w:hAnsi="Consolas"/>
          <w:sz w:val="18"/>
        </w:rPr>
        <w:t>Location</w:t>
      </w:r>
      <w:r>
        <w:t xml:space="preserve">, </w:t>
      </w:r>
      <w:r>
        <w:rPr>
          <w:rFonts w:ascii="Consolas" w:hAnsi="Consolas"/>
          <w:sz w:val="18"/>
        </w:rPr>
        <w:t>TimeWindow</w:t>
      </w:r>
      <w:r>
        <w:t xml:space="preserve">, </w:t>
      </w:r>
      <w:r>
        <w:rPr>
          <w:rFonts w:ascii="Consolas" w:hAnsi="Consolas"/>
          <w:sz w:val="18"/>
        </w:rPr>
        <w:t>Order</w:t>
      </w:r>
      <w:r>
        <w:t xml:space="preserve">, </w:t>
      </w:r>
      <w:r>
        <w:rPr>
          <w:rFonts w:ascii="Consolas" w:hAnsi="Consolas"/>
          <w:sz w:val="18"/>
        </w:rPr>
        <w:t>Vehicle</w:t>
      </w:r>
      <w:r>
        <w:t>, traffic state, simulation events, and simulation configuration. Orders validate positive demand, non-empty identifiers, timezone-aware creation times, priorities, and delivery windows. Vehicles validate capacity and availability intervals and track current location, load, status, and completed orders. These invariants prevent invalid operational states from silently entering the optimizer.</w:t>
      </w:r>
    </w:p>
    <w:p>
      <w:r>
        <w:t>The data pipeline downloads and fingerprints mobility, demand, weather, holidays, logistics, traffic, and OpenStreetMap-related sources. Raw files are kept separate from processed outputs. A unified dataset combines demand, traffic, and weather at compatible temporal resolutions. The pipeline records manifests and SHA-256 checksums so that an experiment can distinguish a changed dataset from a changed algorithm.</w:t>
      </w:r>
    </w:p>
    <w:p>
      <w:r>
        <w:t>The road-network abstraction models nodes and weighted edges. Dijkstra provides a correctness-oriented shortest-path implementation. A* adds a heuristic and is benchmarked against Dijkstra on synthetic grids and irregular obstacle networks. The heuristic calibration work tests admissibility and consistency rather than assuming that Euclidean distance is always suitable. Traffic-aware weights update edge costs using zone multipliers and current observations. This lets routing respond to changing conditions without rebuilding the whole domain model.</w:t>
      </w:r>
    </w:p>
    <w:p>
      <w:r>
        <w:t>The simulation layer is intentionally reproducible. A seed controls demand generation and event ordering. The same configuration can create the same operational state, allowing forecast and route comparisons to use identical inputs. This is essential for Phase 7, where changing the prediction model while changing the scenario would confound the result.</w:t>
      </w:r>
    </w:p>
    <w:p>
      <w:pPr>
        <w:pStyle w:val="Heading1"/>
      </w:pPr>
      <w:r>
        <w:t>4. Phase 2: Feature Engineering and Prediction</w:t>
      </w:r>
    </w:p>
    <w:p>
      <w:r>
        <w:t>Phase 2 transforms operational history into predictions consumed by Phase 3. The current leakage-safe demand pipeline sorts rows chronologically, constructs lagged features, computes rolling features after shifting the target, and performs chronological rather than random splitting. The feature set includes calendar variables, weather variables, demand lags, and 24-hour and 168-hour rolling means. Shifting before rolling prevents the current target from appearing in its own feature window.</w:t>
      </w:r>
    </w:p>
    <w:p>
      <w:r>
        <w:t>The original model comparison established a seasonal baseline and tree-based models, including Gradient Boosting, Random Forest, and XGBoost when the dependency is available. XGBoost remains the principal tabular baseline because it handles nonlinear interactions without requiring the operational team to maintain a large neural architecture.</w:t>
      </w:r>
    </w:p>
    <w:p>
      <w:r>
        <w:t xml:space="preserve">The neural extension adds </w:t>
      </w:r>
      <w:r>
        <w:rPr>
          <w:rFonts w:ascii="Consolas" w:hAnsi="Consolas"/>
          <w:sz w:val="18"/>
        </w:rPr>
        <w:t>MLPDemandForecaster</w:t>
      </w:r>
      <w:r>
        <w:t xml:space="preserve"> and </w:t>
      </w:r>
      <w:r>
        <w:rPr>
          <w:rFonts w:ascii="Consolas" w:hAnsi="Consolas"/>
          <w:sz w:val="18"/>
        </w:rPr>
        <w:t>TemporalDemandForecaster</w:t>
      </w:r>
      <w:r>
        <w:t xml:space="preserve">. The MLP consumes an </w:t>
      </w:r>
      <w:r>
        <w:rPr>
          <w:rFonts w:ascii="Consolas" w:hAnsi="Consolas"/>
          <w:sz w:val="18"/>
        </w:rPr>
        <w:t>N × F</w:t>
      </w:r>
      <w:r>
        <w:t xml:space="preserve"> numeric matrix, standardizes features and targets using training-only statistics, trains a compact ReLU network, and returns values in the original target scale. The temporal model consumes an </w:t>
      </w:r>
      <w:r>
        <w:rPr>
          <w:rFonts w:ascii="Consolas" w:hAnsi="Consolas"/>
          <w:sz w:val="18"/>
        </w:rPr>
        <w:t>N × W × F</w:t>
      </w:r>
      <w:r>
        <w:t xml:space="preserve"> tensor, supports LSTM and GRU cells, and uses the final recurrent state to forecast the next target. Both models expose metadata containing the model family, hidden size or layer sizes, learning rate, epoch count, random seed, and final loss.</w:t>
      </w:r>
    </w:p>
    <w:p>
      <w:r>
        <w:t xml:space="preserve">The ETA package exposes </w:t>
      </w:r>
      <w:r>
        <w:rPr>
          <w:rFonts w:ascii="Consolas" w:hAnsi="Consolas"/>
          <w:sz w:val="18"/>
        </w:rPr>
        <w:t>MLPETAForecaster</w:t>
      </w:r>
      <w:r>
        <w:t xml:space="preserve"> and </w:t>
      </w:r>
      <w:r>
        <w:rPr>
          <w:rFonts w:ascii="Consolas" w:hAnsi="Consolas"/>
          <w:sz w:val="18"/>
        </w:rPr>
        <w:t>TemporalETAForecaster</w:t>
      </w:r>
      <w:r>
        <w:t xml:space="preserve"> wrappers. The wrappers reuse the shared neural implementation while making target ownership explicit and adding ETA metadata. This is preferable to duplicating almost identical training code. Demand and ETA are supervised numerical prediction tasks, but their features and labels can evolve independently. The wrappers keep the architecture open to dedicated ETA feature engineering later.</w:t>
      </w:r>
    </w:p>
    <w:p>
      <w:r>
        <w:t>The neural models are controlled peers, not replacements. The evaluation plan compares baseline, XGBoost, MLP, LSTM, and GRU on the same chronological test period. It reports prediction metrics and then sends each prediction set through the same optimizer. The project does not currently fabricate a GNN result because graph snapshots, node-level labels, temporal alignment, and graph leakage controls have not been formalized. A future GNN is justified only after those contracts exist.</w:t>
      </w:r>
    </w:p>
    <w:p>
      <w:pPr>
        <w:pStyle w:val="Heading1"/>
      </w:pPr>
      <w:r>
        <w:t>5. Phase 3: DSA, Routing, Assignment, and Optimization</w:t>
      </w:r>
    </w:p>
    <w:p>
      <w:r>
        <w:t xml:space="preserve">Phase 3 converts prediction into action. The core prediction contract contains demand, ETA minutes, late risk, and uncertainty. The optimizer can therefore remain model-agnostic: a baseline, XGBoost, MLP, LSTM, or GRU can populate the same fields. The </w:t>
      </w:r>
      <w:r>
        <w:rPr>
          <w:rFonts w:ascii="Consolas" w:hAnsi="Consolas"/>
          <w:sz w:val="18"/>
        </w:rPr>
        <w:t>Objective</w:t>
      </w:r>
      <w:r>
        <w:t xml:space="preserve"> combines distance, fuel, lateness, unserved orders, and vehicle usage. The </w:t>
      </w:r>
      <w:r>
        <w:rPr>
          <w:rFonts w:ascii="Consolas" w:hAnsi="Consolas"/>
          <w:sz w:val="18"/>
        </w:rPr>
        <w:t>ConstraintEngine</w:t>
      </w:r>
      <w:r>
        <w:t xml:space="preserve"> rejects unavailable vehicles, capacity violations, shift violations, unknown orders, and unknown vehicles.</w:t>
      </w:r>
    </w:p>
    <w:p>
      <w:r>
        <w:t xml:space="preserve">The graph dispatch router selects Dijkstra or A* and returns a route with vehicle ID, order ID, path, travel cost, and algorithm. The greedy assignment solver prioritizes orders, evaluates feasible vehicles, routes candidates, and scores them using travel cost plus risk and uncertainty penalties. The </w:t>
      </w:r>
      <w:r>
        <w:rPr>
          <w:rFonts w:ascii="Consolas" w:hAnsi="Consolas"/>
          <w:sz w:val="18"/>
        </w:rPr>
        <w:t>Phase3Solver</w:t>
      </w:r>
      <w:r>
        <w:t xml:space="preserve"> provides the common entry point used by experiments.</w:t>
      </w:r>
    </w:p>
    <w:p>
      <w:r>
        <w:t xml:space="preserve">Advanced route-order utilities include two-opt, three-opt, simulated annealing, and genetic optimization. The current architecture exposes these operators through </w:t>
      </w:r>
      <w:r>
        <w:rPr>
          <w:rFonts w:ascii="Consolas" w:hAnsi="Consolas"/>
          <w:sz w:val="18"/>
        </w:rPr>
        <w:t>optimize_sequence</w:t>
      </w:r>
      <w:r>
        <w:t xml:space="preserve">. A stress test revealed that the assignment path currently dispatches one order per vehicle and that the </w:t>
      </w:r>
      <w:r>
        <w:rPr>
          <w:rFonts w:ascii="Consolas" w:hAnsi="Consolas"/>
          <w:sz w:val="18"/>
        </w:rPr>
        <w:t>solve</w:t>
      </w:r>
      <w:r>
        <w:t xml:space="preserve"> path does not yet apply route-order improvement to a multi-order assignment result. Consequently, five strategy labels can produce identical operational results when invoked through the assignment interface. This is a known scope boundary, not a hidden success claim.</w:t>
      </w:r>
    </w:p>
    <w:p>
      <w:r>
        <w:t>The next Phase 3 engineering step is to separate assignment and sequencing. Assignment should select compatible orders for a vehicle up to capacity and shift limits. Sequencing should then optimize the multi-stop route with the selected algorithm. Feasibility validation must run after sequencing, and the objective must include route-level lateness and unserved-order penalties. This design will make the 50-order stress test more representative and will create a real downstream surface on which predictive differences can matter.</w:t>
      </w:r>
    </w:p>
    <w:p>
      <w:pPr>
        <w:pStyle w:val="Heading1"/>
      </w:pPr>
      <w:r>
        <w:t>6. Phase 4: Reinforcement Learning and Policy Evaluation</w:t>
      </w:r>
    </w:p>
    <w:p>
      <w:r>
        <w:t>Phase 4 adds sequential decision learning. The PPO implementation records training episodes, policy outcomes, reward curves, loss curves, hyperparameter sweeps, and multi-seed evaluations. The project tested learning rates and horizons, paired scenario sets across seeds, and analyzed variance rather than reporting only the best run. Reward shaping and actor-critic stabilization were considered in response to a low win-rate issue.</w:t>
      </w:r>
    </w:p>
    <w:p>
      <w:r>
        <w:t>The RL layer is not allowed to bypass the operational constraints. A policy action should be evaluated against the same capacity, shift, route, and service constraints used by deterministic optimization. The strongest role for RL is dynamic re-optimization under changing traffic and demand, not replacing every exact or heuristic component. Deterministic optimization remains a fallback when the policy is uncertain or produces an infeasible action.</w:t>
      </w:r>
    </w:p>
    <w:p>
      <w:r>
        <w:t xml:space="preserve">The database design supports RL experiments through experiment, episode, and step tables. Each row can be connected to a scenario, algorithm version, seed, state, action, reward, and outcome. This makes it possible to compare policy versions and failure modes across runs. It also makes a later hybrid policy explainable because a </w:t>
      </w:r>
      <w:r>
        <w:rPr>
          <w:rFonts w:ascii="Consolas" w:hAnsi="Consolas"/>
          <w:sz w:val="18"/>
        </w:rPr>
        <w:t>DecisionRecord</w:t>
      </w:r>
      <w:r>
        <w:t xml:space="preserve"> can reference both a learned action and the deterministic alternatives that were considered.</w:t>
      </w:r>
    </w:p>
    <w:p>
      <w:pPr>
        <w:pStyle w:val="Heading1"/>
      </w:pPr>
      <w:r>
        <w:t>7. Phase 5: Decision Intelligence and Lineage</w:t>
      </w:r>
    </w:p>
    <w:p>
      <w:r>
        <w:t xml:space="preserve">Phase 5 connects the system’s outputs into a persistent explanation. A </w:t>
      </w:r>
      <w:r>
        <w:rPr>
          <w:rFonts w:ascii="Consolas" w:hAnsi="Consolas"/>
          <w:sz w:val="18"/>
        </w:rPr>
        <w:t>DecisionRecord</w:t>
      </w:r>
      <w:r>
        <w:t xml:space="preserve"> is the central object linking scenario, prediction, optimization, RL result, selected candidate, evidence, traces, tool calls, and scenario modifications. It answers not only what action was selected, but why the action was selected, which evidence supported it, which alternatives were rejected, and what constraints were active.</w:t>
      </w:r>
    </w:p>
    <w:p>
      <w:r>
        <w:t>The decision engine ranks candidates and supports counterfactual analysis. Explanation builders produce grounded statements from structured facts rather than inventing unsupported claims. LLM integration is guarded by schemas, prompt versions, tool boundaries, and evidence requirements. The LLM is not the source of truth for route feasibility or cost; it is an explanation and decision-support component that must remain subordinate to structured system state.</w:t>
      </w:r>
    </w:p>
    <w:p>
      <w:r>
        <w:t>The database schema models candidate rows, trace events, evidence rows, tool calls, and scenario modifications as child records of a decision. These relationships make it possible to load a complete decision lineage or query only the evidence needed for an audit. Indexes on tenant, scenario, status, and creation time support operator views. Decision archiving must move all relevant child records together so a historical decision never loses its explanatory context.</w:t>
      </w:r>
    </w:p>
    <w:p>
      <w:pPr>
        <w:pStyle w:val="Heading1"/>
      </w:pPr>
      <w:r>
        <w:t>8. Phase 6: Production Engineering, Security, and Operations</w:t>
      </w:r>
    </w:p>
    <w:p>
      <w:r>
        <w:t>Phase 6 hardened the system for multi-tenant production access. JWT authentication now requires a sufficiently long production secret and rejects missing or unsafe production defaults. Development token issuance is disabled in production mode. Requests without valid bearer credentials are rejected when authentication is required.</w:t>
      </w:r>
    </w:p>
    <w:p>
      <w:r>
        <w:t>The Redis-backed token-bucket limiter uses an atomic Lua script and tenant-aware keys. It fails closed in production when Redis is unavailable, preventing an outage from silently removing the protection boundary. Batch traffic updates reduce request overhead and improve the path for high-volume event ingestion. The authenticated WebSocket endpoint streams traffic updates and route re-optimization events to the TypeScript dashboard. Client reconnection uses backoff and token refresh behavior.</w:t>
      </w:r>
    </w:p>
    <w:p>
      <w:r>
        <w:t>The security audit covered Bandit, pip-audit, npm audit, cryptography and MLflow updates, XML parsing, dataset download controls, Docker defaults, and CORS configuration. A failed Security Audit workflow identified B608 warnings in validated dynamic SQL in the history manager. The fix used narrow, documented suppressions on identifier interpolation after strict validation and quoting; runtime values remain parameterized. A later CI regression involving PostgreSQL partition-bound literals and table-count assertions was fixed and revalidated.</w:t>
      </w:r>
    </w:p>
    <w:p>
      <w:r>
        <w:t>CI/CD now runs Python tests and quality checks, Java/JUnit checks, Docker build verification, frontend checks, security audits, and scheduled performance workflows. The repository uses protected pull requests. The granular commit history includes schema, ORM, migration, API, frontend, neural, benchmark, sensitivity, and documentation commits. This history creates more useful review activity than empty contribution commits because each commit represents an independently understandable change.</w:t>
      </w:r>
    </w:p>
    <w:p>
      <w:pPr>
        <w:pStyle w:val="Heading1"/>
      </w:pPr>
      <w:r>
        <w:t>9. PostgreSQL as the Persistent Backbone</w:t>
      </w:r>
    </w:p>
    <w:p>
      <w:r>
        <w:t>PostgreSQL connects the seven phases through durable state and lineage. The canonical schema covers tenants, datasets, scenarios, locations, road nodes and edges, vehicles, orders, traffic history, weather, model versions, demand and ETA predictions, optimization runs, assignments, stops, RL experiments, episodes and steps, decisions, candidates, traces, evidence, tools, modifications, system events, and benchmark runs.</w:t>
      </w:r>
    </w:p>
    <w:p>
      <w:r>
        <w:t>The SQLAlchemy 2.x mappings mirror the DDL with typed declarative models. PostgreSQL-specific types include UUID, JSONB, numeric values, timezone-aware timestamps, composite traffic keys, and partitioned tables. The legacy experiment-record interface remains available for compatibility. Alembic provides an immutable baseline revision and a future expand/backfill/contract process. Production migration rules require backups, staging validation, lock awareness, index concurrency, and a rollback plan.</w:t>
      </w:r>
    </w:p>
    <w:p>
      <w:r>
        <w:t xml:space="preserve">Traffic history is partitioned by </w:t>
      </w:r>
      <w:r>
        <w:rPr>
          <w:rFonts w:ascii="Consolas" w:hAnsi="Consolas"/>
          <w:sz w:val="18"/>
        </w:rPr>
        <w:t>observed_at</w:t>
      </w:r>
      <w:r>
        <w:t>, with monthly or weekly partitions recommended according to volume. The primary access path is tenant, zone, and descending time. Partition creation is idempotent and uses safe timestamp literals because PostgreSQL does not allow bind parameters in partition bounds. Cold partitions can be detached and moved to an archive schema. Decision records are archived with their candidates, traces, evidence, tools, and scenario modifications in a transaction.</w:t>
      </w:r>
    </w:p>
    <w:p>
      <w:r>
        <w:t xml:space="preserve">For </w:t>
      </w:r>
      <w:r>
        <w:rPr>
          <w:rFonts w:ascii="Consolas" w:hAnsi="Consolas"/>
          <w:sz w:val="18"/>
        </w:rPr>
        <w:t>DecisionRecord</w:t>
      </w:r>
      <w:r>
        <w:t xml:space="preserve">, the important indexes are </w:t>
      </w:r>
      <w:r>
        <w:rPr>
          <w:rFonts w:ascii="Consolas" w:hAnsi="Consolas"/>
          <w:sz w:val="18"/>
        </w:rPr>
        <w:t>(tenant_id, scenario_id, created_at DESC)</w:t>
      </w:r>
      <w:r>
        <w:t xml:space="preserve"> and </w:t>
      </w:r>
      <w:r>
        <w:rPr>
          <w:rFonts w:ascii="Consolas" w:hAnsi="Consolas"/>
          <w:sz w:val="18"/>
        </w:rPr>
        <w:t>(tenant_id, status, created_at DESC)</w:t>
      </w:r>
      <w:r>
        <w:t xml:space="preserve">. For traffic history, the important index is </w:t>
      </w:r>
      <w:r>
        <w:rPr>
          <w:rFonts w:ascii="Consolas" w:hAnsi="Consolas"/>
          <w:sz w:val="18"/>
        </w:rPr>
        <w:t>(tenant_id, zone_id, observed_at DESC)</w:t>
      </w:r>
      <w:r>
        <w:t xml:space="preserve">, with edge-based and scenario-replay indexes added only for measured workloads. Half-open UTC ranges preserve partition pruning. Keyset pagination avoids the cost of large offsets. </w:t>
      </w:r>
      <w:r>
        <w:rPr>
          <w:rFonts w:ascii="Consolas" w:hAnsi="Consolas"/>
          <w:sz w:val="18"/>
        </w:rPr>
        <w:t>EXPLAIN (ANALYZE, BUFFERS, SETTINGS)</w:t>
      </w:r>
      <w:r>
        <w:t xml:space="preserve"> and </w:t>
      </w:r>
      <w:r>
        <w:rPr>
          <w:rFonts w:ascii="Consolas" w:hAnsi="Consolas"/>
          <w:sz w:val="18"/>
        </w:rPr>
        <w:t>pg_stat_statements</w:t>
      </w:r>
      <w:r>
        <w:t xml:space="preserve"> provide the measurement loop for tuning.</w:t>
      </w:r>
    </w:p>
    <w:p>
      <w:pPr>
        <w:pStyle w:val="Heading1"/>
      </w:pPr>
      <w:r>
        <w:t>10. Phase 7: Benchmarking and Prediction-to-Decision Research</w:t>
      </w:r>
    </w:p>
    <w:p>
      <w:r>
        <w:t xml:space="preserve">Phase 7 changes the project from implementation-only work into controlled research. The central question is: </w:t>
      </w:r>
      <w:r>
        <w:rPr>
          <w:b/>
        </w:rPr>
        <w:t>Does a model with better predictive performance necessarily produce better downstream logistics decisions?</w:t>
      </w:r>
      <w:r>
        <w:t xml:space="preserve"> The experiment compares prediction MAE, RMSE, high-percentile error, late-risk calibration, and operational outcomes such as cost, distance, late deliveries, unserved orders, utilization, feasibility, violations, and runtime.</w:t>
      </w:r>
    </w:p>
    <w:p>
      <w:r>
        <w:t>The first prediction-to-decision run used UCI Bike Sharing hourly demand and compared XGBoost, MLP, and LSTM under clean, +5%, +10%, +20%, and priority-targeted error treatments. LSTM achieved the best clean prediction values in the recorded run: MAE 149.25 and RMSE 164.17, compared with XGBoost MAE 184.92 and RMSE 213.33 and MLP MAE 184.80 and RMSE 208.88. The fixed operational scenario produced the same decision cost across treatments because its capacity and route geometry did not expose a decision boundary.</w:t>
      </w:r>
    </w:p>
    <w:p>
      <w:r>
        <w:t>The multi-seed sensitivity expansion used five seeds, capacities 5, 10, and 20, balanced/north-biased/south-biased route profiles, and clean/noise/priority treatments. It generated 405 paired observations and 81 five-seed aggregate groups. Route profiles changed absolute cost: the north-biased profile averaged 326.875, balanced averaged 327.250, and south-biased averaged 327.625. The current five-order scenario served two orders and left three unserved at all tested capacities, with zero cross-seed cost deviation.</w:t>
      </w:r>
    </w:p>
    <w:p>
      <w:r>
        <w:t>The result is scientifically useful because it identifies a robust decision basin. Prediction noise changed error metrics but not the selected action. The correct response is not to fabricate a relationship, but to design a more sensitive scenario panel. The next benchmark should use larger order batches, multiple near-tie vehicles, capacities near total demand, deadline-critical orders, ETA and late-risk predictions, paired scenarios, multiple seeds, and bootstrap confidence intervals. It should report assignment-change frequency and the fraction of cases where the best prediction model is also the best decision model.</w:t>
      </w:r>
    </w:p>
    <w:p>
      <w:pPr>
        <w:pStyle w:val="Heading1"/>
      </w:pPr>
      <w:r>
        <w:t>11. 50-Order Optimization Stress Test</w:t>
      </w:r>
    </w:p>
    <w:p>
      <w:r>
        <w:t>The optimization stress harness increased the order batch to 50 and configured 50 capacity units per vehicle across ten vehicles on a deterministic 51-node line graph. It executed Greedy, Greedy plus 2-opt, Greedy plus 3-opt, simulated annealing, and genetic strategy labels.</w:t>
      </w:r>
    </w:p>
    <w:p>
      <w:r>
        <w:t>The results were approximately 1.376–1.562 milliseconds per run, with decision cost 7,532.875, distance 293.15 km, lateness 275 minutes, 10 served orders, 40 unserved orders, and feasible selected routes. The engine did not crash, produce invalid routes, or fail graph search. The main finding is not the low runtime; it is the assignment bottleneck. Ten vehicles served ten orders even though each vehicle had 50 units of nominal capacity. This confirms that the current implementation behaves as a one-order-per-vehicle assignment path for this scenario.</w:t>
      </w:r>
    </w:p>
    <w:p>
      <w:r>
        <w:t xml:space="preserve">The test also confirms that route-improvement operators are not yet connected to multi-order assignment in </w:t>
      </w:r>
      <w:r>
        <w:rPr>
          <w:rFonts w:ascii="Consolas" w:hAnsi="Consolas"/>
          <w:sz w:val="18"/>
        </w:rPr>
        <w:t>Phase3Solver.solve</w:t>
      </w:r>
      <w:r>
        <w:t>. The same metrics for all five labels are therefore expected. The next implementation should build route bundles, apply route-order improvements, recalculate lateness, and compare results at 50, 100, 250, 500, and 1,000 orders. Those results should include memory use and graph-search counts in addition to wall-clock runtime.</w:t>
      </w:r>
    </w:p>
    <w:p>
      <w:pPr>
        <w:pStyle w:val="Heading1"/>
      </w:pPr>
      <w:r>
        <w:t>12. Frontend Operations Console</w:t>
      </w:r>
    </w:p>
    <w:p>
      <w:r>
        <w:t>The TypeScript dashboard is a visual control surface for the operational loop. It displays service level, active dispatches, decision latency, evidence coverage, a scenario control, a decision trace, a traffic-pressure graphic, route-reoptimization events, and an evidence strip. The interface uses an inline SVG road network rather than an opaque image, which makes the graphic lightweight and easy to theme.</w:t>
      </w:r>
    </w:p>
    <w:p>
      <w:r>
        <w:t xml:space="preserve">The seven-phase pipeline is visible as World, Forecast, Optimize, Learn, Explain, Operate, and Prove. The dashboard consumes </w:t>
      </w:r>
      <w:r>
        <w:rPr>
          <w:rFonts w:ascii="Consolas" w:hAnsi="Consolas"/>
          <w:sz w:val="18"/>
        </w:rPr>
        <w:t>GET /api/v1/architecture/status</w:t>
      </w:r>
      <w:r>
        <w:t xml:space="preserve"> to bind tooltips containing the contract and PostgreSQL persistence scope. It consumes the simulation endpoint for seeded runs and the authenticated WebSocket for live traffic events. If the API is unavailable, the visual shell remains usable and reports the connection state instead of throwing a blank page.</w:t>
      </w:r>
    </w:p>
    <w:p>
      <w:r>
        <w:t xml:space="preserve">Dark mode is the default and uses deep navy surfaces with mint, blue, yellow, and purple accents. Light mode uses pale blue-gray backgrounds and white panels. The theme control persists the selected mode in </w:t>
      </w:r>
      <w:r>
        <w:rPr>
          <w:rFonts w:ascii="Consolas" w:hAnsi="Consolas"/>
          <w:sz w:val="18"/>
        </w:rPr>
        <w:t>localStorage</w:t>
      </w:r>
      <w:r>
        <w:t>. Responsive rules collapse the grid on small screens, preserve the primary action, and keep telemetry readable. Browser inspection confirmed the road-network graphic, route pulse, phase cards, CSS telemetry bars, metric cards, and both color states.</w:t>
      </w:r>
    </w:p>
    <w:p>
      <w:r>
        <w:t>The frontend deliberately avoids database access. Database credentials remain server-side. This boundary reduces exposure and keeps the browser responsible for visualization and interaction rather than persistence logic. Future enhancements should replace static metric placeholders with typed API DTOs, add loading skeletons, show stale-data timestamps, and expose drill-down links to decision evidence without leaking sensitive tenant data.</w:t>
      </w:r>
    </w:p>
    <w:p>
      <w:pPr>
        <w:pStyle w:val="Heading1"/>
      </w:pPr>
      <w:r>
        <w:t>13. Testing and Validation Evidence</w:t>
      </w:r>
    </w:p>
    <w:p>
      <w:r>
        <w:t>The current local validation suite reports 57 passing Python tests and three skipped integration tests when no Docker/PostgreSQL service is available locally. The skipped tests are designed for PostgreSQL 16 service-container execution and cover Alembic application, mapped-table discovery, composite traffic keys, partition creation, traffic archival, and decision-lineage archival.</w:t>
      </w:r>
    </w:p>
    <w:p>
      <w:r>
        <w:t xml:space="preserve">Ruff passes across the repository. Bandit reports no medium or high findings after the dynamic SQL review. The frontend TypeScript check and Vite production build pass, and npm audit reports no vulnerabilities for the frontend dependency set. Java DSA and JUnit workflows pass in GitHub Actions. The previous complete PR #6 check matrix for commit </w:t>
      </w:r>
      <w:r>
        <w:rPr>
          <w:rFonts w:ascii="Consolas" w:hAnsi="Consolas"/>
          <w:sz w:val="18"/>
        </w:rPr>
        <w:t>72e2ea5</w:t>
      </w:r>
      <w:r>
        <w:t xml:space="preserve"> passed all seven checks, including Docker, Python, Java, frontend security, and test workflows.</w:t>
      </w:r>
    </w:p>
    <w:p>
      <w:r>
        <w:t>A non-blocking Starlette/httpx deprecation warning remains in the installed testing stack. It does not cause failures, but the dependency should be upgraded or pinned deliberately in a future maintenance commit. The local environment cannot provide the same confidence as a PostgreSQL service container, so the GitHub integration run is the authoritative evidence for migration and archive behavior.</w:t>
      </w:r>
    </w:p>
    <w:p>
      <w:r>
        <w:t>Validation is layered. Static checks find syntax and style failures. Unit tests cover domain invariants and algorithms. Integration tests cover API, database, and migration boundaries. Benchmark scripts measure performance and outcome behavior. Security workflows scan source and dependencies. Browser inspection checks rendered UI states. No one layer is treated as proof of the entire system.</w:t>
      </w:r>
    </w:p>
    <w:p>
      <w:pPr>
        <w:pStyle w:val="Heading1"/>
      </w:pPr>
      <w:r>
        <w:t>14. Current Risks and Technical Debt</w:t>
      </w:r>
    </w:p>
    <w:p>
      <w:r>
        <w:t>The highest-priority technical debt is multi-stop assignment. The engine currently recognizes vehicle capacity but does not fully exploit it when dispatching a batch. This produces unserved orders in a scenario that nominally has ample fleet capacity. The fix requires a domain-level decision about whether load is consumed permanently, returned after delivery, or managed as a time-expanded route state.</w:t>
      </w:r>
    </w:p>
    <w:p>
      <w:r>
        <w:t>The second risk is operational sensitivity. Prediction-to-decision benchmarks currently use small fixed order sets, so model errors often do not alter the chosen assignment. A larger scenario panel is needed before making claims about the relationship between RMSE and operational cost. The study should include ETA and deadline effects, not only demand values.</w:t>
      </w:r>
    </w:p>
    <w:p>
      <w:r>
        <w:t>The third risk is production completeness of PostgreSQL deployment. The schema, ORM, Alembic baseline, partition manager, archive manager, and container tests exist, but production rollout still requires a real staging database, backup verification, migration timing, partition scheduler deployment, and retention-policy approval. A schema file that parses is not the same as a successful production migration.</w:t>
      </w:r>
    </w:p>
    <w:p>
      <w:r>
        <w:t>The fourth risk is model artifact governance. Neural models expose metadata and MLP persistence, but a full registry flow should enforce dataset checksum, feature version, code commit, environment, validation metrics, and approval state. ETA calibration and uncertainty should be implemented rather than left as defaults when decisions depend on them.</w:t>
      </w:r>
    </w:p>
    <w:p>
      <w:r>
        <w:t>The fifth risk is frontend/API maturity. The dashboard has a strong visual shell and live WebSocket client, but several cards still use initial placeholder values until API responses arrive. Production use should show data freshness, tenant context, authorization state, error boundaries, and explicit source timestamps.</w:t>
      </w:r>
    </w:p>
    <w:p>
      <w:pPr>
        <w:pStyle w:val="Heading1"/>
      </w:pPr>
      <w:r>
        <w:t>15. Recommended Next Implementation Sequence</w:t>
      </w:r>
    </w:p>
    <w:p>
      <w:r>
        <w:t>First, refactor Phase 3 into two explicit stages: capacity-aware assignment and multi-stop route sequencing. Add a route state object with cumulative load, service time, travel time, and deadline slack. Use the existing 50-order stress harness as a regression test and require the number of served orders, unserved orders, lateness, and objective to be explained in every benchmark.</w:t>
      </w:r>
    </w:p>
    <w:p>
      <w:r>
        <w:t>Second, build the expanded prediction-to-decision experiment. Use at least 30 paired scenarios across five seeds, vary vehicle capacities around total demand, create near-tie route alternatives, and include high-priority orders with tight windows. Compare XGBoost, MLP, LSTM, and GRU predictions while keeping the optimizer fixed. Store raw scenario-level results and aggregate confidence intervals.</w:t>
      </w:r>
    </w:p>
    <w:p>
      <w:r>
        <w:t>Third, complete ETA modeling. Define travel-time labels from the mobility and traffic data, implement leakage-safe ETA features, train XGBoost and neural ETA models, calibrate late risk, and map uncertainty to a documented operational penalty. Use ETA predictions in the route feasibility and cost model rather than only in reporting.</w:t>
      </w:r>
    </w:p>
    <w:p>
      <w:r>
        <w:t>Fourth, productionize PostgreSQL. Apply Alembic in staging, verify the 28-table baseline, schedule partition creation ahead of time, test archive/restore with backups, measure query plans on representative data volume, and configure alerts for partition gaps, archive failures, connection saturation, and slow decision queries.</w:t>
      </w:r>
    </w:p>
    <w:p>
      <w:r>
        <w:t>Fifth, complete the dashboard contract. Replace placeholder metrics with typed DTOs, add API-driven phase status, expose decision evidence drill-down, show WebSocket freshness, and test both themes at desktop and mobile breakpoints. Add visual regression screenshots to CI if the project’s hosting environment supports them.</w:t>
      </w:r>
    </w:p>
    <w:p>
      <w:r>
        <w:t>Sixth, improve CI policy. Keep the seven workflow gates, add a manually triggered long benchmark rather than running expensive training on every pull request, publish benchmark artifacts, and require PostgreSQL migration plus integration tests for schema changes. Maintain granular commits, but avoid commits whose sole purpose is contribution counting without a code, test, documentation, or review value.</w:t>
      </w:r>
    </w:p>
    <w:p>
      <w:pPr>
        <w:pStyle w:val="Heading1"/>
      </w:pPr>
      <w:r>
        <w:t>16. Overall Assessment</w:t>
      </w:r>
    </w:p>
    <w:p>
      <w:r>
        <w:t>OPTIMA-X has reached a credible integrated research-engineering prototype. The repository demonstrates a coherent architecture rather than disconnected scripts. It contains reproducible simulation, graph routing, traffic-aware updates, feature engineering, tree and neural forecasting, optimization, RL experiments, decision lineage, PostgreSQL persistence, Alembic migration, partition archival, secure APIs, live telemetry, a themed frontend, CI/CD checks, and Phase 7 benchmark artifacts.</w:t>
      </w:r>
    </w:p>
    <w:p>
      <w:r>
        <w:t>The implementation is strongest where it is explicit about boundaries and evidence. The system does not claim that the LSTM is automatically the best operational model simply because it achieved the lowest recorded prediction error. It does not claim that the stress test proves production capacity simply because the measured in-memory runtime is low. It does not claim that a PostgreSQL DDL file is production-ready without a service-container migration test. These distinctions make the project more credible.</w:t>
      </w:r>
    </w:p>
    <w:p>
      <w:r>
        <w:t>The next stage should focus less on adding algorithms and more on making the existing decisions operationally sensitive. Multi-stop routing, calibrated ETA, near-tie scenarios, statistical aggregation, real staging migration, typed dashboard data, and production observability will create more value than adding another model family without a new experiment. A GNN can be added later if the graph data contract justifies it.</w:t>
      </w:r>
    </w:p>
    <w:p>
      <w:r>
        <w:t>The final project identity is therefore:</w:t>
      </w:r>
    </w:p>
    <w:p>
      <w:pPr>
        <w:pStyle w:val="IntenseQuote"/>
      </w:pPr>
      <w:r>
        <w:rPr>
          <w:b/>
        </w:rPr>
        <w:t>DSA → Data → Prediction → Optimization → RL → Decision Intelligence → Production Telemetry → Scientific Evidence.</w:t>
      </w:r>
    </w:p>
    <w:p>
      <w:r>
        <w:t>That chain is supported by both code and documentation. PostgreSQL provides the durable lineage, the API provides controlled access, the frontend provides operational visibility, and the benchmark system provides a method for testing whether technical improvements matter to real decisions.</w:t>
      </w:r>
    </w:p>
    <w:p>
      <w:pPr>
        <w:pStyle w:val="Heading1"/>
      </w:pPr>
      <w:r>
        <w:t>17. Detailed Runtime Data Flow</w:t>
      </w:r>
    </w:p>
    <w:p>
      <w:r>
        <w:t>A request entering OPTIMA-X can be understood as a controlled state transition. The tenant and authorization middleware establish the security context before the request reaches a computational route. A scenario request identifies the operational horizon, seed, zones, fleet, and order-generation parameters. The simulation layer creates domain objects and events, while the feature layer converts historical observations into numeric representations. The prediction layer produces demand, ETA, and risk estimates with a model and feature version. Phase 3 receives those predictions as a dictionary keyed by order ID and evaluates feasible vehicles through the graph router.</w:t>
      </w:r>
    </w:p>
    <w:p>
      <w:r>
        <w:t xml:space="preserve">The graph router is deliberately isolated from the predictor. It does not know whether an ETA or demand value came from XGBoost, MLP, LSTM, or GRU. It only consumes the </w:t>
      </w:r>
      <w:r>
        <w:rPr>
          <w:rFonts w:ascii="Consolas" w:hAnsi="Consolas"/>
          <w:sz w:val="18"/>
        </w:rPr>
        <w:t>Prediction</w:t>
      </w:r>
      <w:r>
        <w:t xml:space="preserve"> fields needed for scoring. This is an important dependency direction: prediction can be replaced without rewriting Dijkstra or A*, and a routing optimization can be improved without retraining a model. The same separation lets Phase 7 hold the optimizer constant while changing the prediction source.</w:t>
      </w:r>
    </w:p>
    <w:p>
      <w:r>
        <w:t>After route selection, Phase 5 can persist the selected candidate and its alternatives. The decision record receives references to the scenario, optimization run, policy outcome, and evidence. Runtime telemetry then records API and WebSocket events. Finally, the benchmark layer queries the stored or exported evidence to compare models and algorithms. This creates a closed loop in which research findings can influence feature design, model approval, objective weights, and operational safeguards.</w:t>
      </w:r>
    </w:p>
    <w:p>
      <w:pPr>
        <w:pStyle w:val="Heading1"/>
      </w:pPr>
      <w:r>
        <w:t>18. Data Quality, Leakage, and Reproducibility Controls</w:t>
      </w:r>
    </w:p>
    <w:p>
      <w:r>
        <w:t>Data quality is a precondition for useful optimization. A forecast can appear accurate while being trained on future information, duplicated records, incorrectly aligned time zones, or a target-derived rolling statistic. OPTIMA-X addresses the most important demand-feature leakage risk by sorting chronologically, shifting the target before rolling calculations, and using chronological train/test partitions. This preserves the causal direction that would exist in production.</w:t>
      </w:r>
    </w:p>
    <w:p>
      <w:r>
        <w:t>The same discipline must be applied to ETA and traffic. A traffic observation used to predict a future travel time must be available at the prediction timestamp. A weather value must be aligned to the correct interval. A route outcome cannot be used as a feature for the decision that caused that outcome. Dataset manifests, checksums, scenario IDs, feature versions, and seeds provide the provenance needed to detect accidental changes.</w:t>
      </w:r>
    </w:p>
    <w:p>
      <w:r>
        <w:t>Reproducibility has several layers. Deterministic unit tests use fixed objects and expected invariants. Simulation uses fixed seeds. Model training seeds control neural initialization and stochastic noise treatments. Benchmark scripts recreate the same graph and scenario for every model. Database fixtures apply a known Alembic revision. CI records the commit that generated an artifact. None of these controls guarantees identical floating-point output across every hardware platform, but together they make unexplained changes much easier to diagnose.</w:t>
      </w:r>
    </w:p>
    <w:p>
      <w:pPr>
        <w:pStyle w:val="Heading1"/>
      </w:pPr>
      <w:r>
        <w:t>19. Algorithmic Complexity and Performance Considerations</w:t>
      </w:r>
    </w:p>
    <w:p>
      <w:r>
        <w:t>Dijkstra’s practical cost depends on graph size, edge count, and priority-queue behavior. A* can reduce explored nodes when its heuristic is informative and admissible, but it can approach Dijkstra when the heuristic provides little guidance. Dynamic traffic updates add the cost of changing edge weights and potentially repeating route search. The project therefore measures both route quality and runtime instead of assuming that the algorithm with the most sophisticated name is best.</w:t>
      </w:r>
    </w:p>
    <w:p>
      <w:r>
        <w:t xml:space="preserve">The assignment layer currently evaluates candidate vehicles for each order. If there are </w:t>
      </w:r>
      <w:r>
        <w:rPr>
          <w:rFonts w:ascii="Consolas" w:hAnsi="Consolas"/>
          <w:sz w:val="18"/>
        </w:rPr>
        <w:t>O</w:t>
      </w:r>
      <w:r>
        <w:t xml:space="preserve"> orders and </w:t>
      </w:r>
      <w:r>
        <w:rPr>
          <w:rFonts w:ascii="Consolas" w:hAnsi="Consolas"/>
          <w:sz w:val="18"/>
        </w:rPr>
        <w:t>V</w:t>
      </w:r>
      <w:r>
        <w:t xml:space="preserve"> vehicles, the candidate evaluation can approach </w:t>
      </w:r>
      <w:r>
        <w:rPr>
          <w:rFonts w:ascii="Consolas" w:hAnsi="Consolas"/>
          <w:sz w:val="18"/>
        </w:rPr>
        <w:t>O × V</w:t>
      </w:r>
      <w:r>
        <w:t xml:space="preserve"> route computations, with each route carrying the cost of graph search. A multi-stop assignment extension will add a sequencing problem whose complexity depends on the chosen heuristic or local-search operator. This is why the engine needs explicit workload benchmarks: a 50-order result on a 51-node line graph is not evidence for a metropolitan-scale SLA.</w:t>
      </w:r>
    </w:p>
    <w:p>
      <w:r>
        <w:t>Prediction training has a different performance profile. XGBoost uses tree construction and can use controlled parallelism. MLP and recurrent models use tensor operations and may benefit from hardware acceleration, but their training overhead can be disproportionate for small datasets. In production, prediction latency should be separated from training latency. Models should be trained offline, validated, registered, and loaded by the API, while online requests perform bounded inference and expose the model version in the response.</w:t>
      </w:r>
    </w:p>
    <w:p>
      <w:r>
        <w:t>PostgreSQL performance depends on access patterns rather than table count alone. Tenant and time predicates must appear directly in traffic-history queries for partition pruning. Decision dashboards should use keyset pagination and avoid joining every child lineage table in one query. Bulk event ingestion should use batched writes. Indexes should be justified by query plans because every additional index increases write and vacuum cost.</w:t>
      </w:r>
    </w:p>
    <w:p>
      <w:pPr>
        <w:pStyle w:val="Heading1"/>
      </w:pPr>
      <w:r>
        <w:t>20. API Contract and Security Boundary</w:t>
      </w:r>
    </w:p>
    <w:p>
      <w:r>
        <w:t>The FastAPI layer is the controlled boundary between external clients and the internal decision engine. Public health and authentication endpoints are deliberately separated from protected routes. CORS is configurable rather than universally open. JWT claims carry tenant identity, and the rate limiter keys requests by tenant. The browser does not receive database connection strings, Redis credentials, model filesystem paths, or arbitrary SQL capabilities.</w:t>
      </w:r>
    </w:p>
    <w:p>
      <w:r>
        <w:t>The WebSocket path requires authentication and provides a live operational stream. The TypeScript client refreshes its access token through the API and reconnects after connection loss. Production behavior should also impose message size limits, connection quotas, idle timeouts, and event backpressure. A dashboard that reconnects indefinitely without observing a server-side connection budget could become its own denial-of-service source.</w:t>
      </w:r>
    </w:p>
    <w:p>
      <w:r>
        <w:t>The security audit demonstrated why production engineering must remain part of the project rather than a final cosmetic step. Dependency vulnerabilities, unsafe parser defaults, development authentication shortcuts, permissive CORS, dynamic SQL warnings, and container credentials can each undermine otherwise correct optimization code. The repository’s security workflow creates a repeatable gate, while the audit report records why remediations were considered safe.</w:t>
      </w:r>
    </w:p>
    <w:p>
      <w:pPr>
        <w:pStyle w:val="Heading1"/>
      </w:pPr>
      <w:r>
        <w:t>21. Database Lifecycle and Archival Operations</w:t>
      </w:r>
    </w:p>
    <w:p>
      <w:r>
        <w:t>Operational history grows continuously. Traffic observations are naturally time-oriented and are therefore suited to range partitioning by observation timestamp. New partitions are created before their interval begins. The archive CLI detaches only complete cold partitions, protects the default partition, validates generated identifiers, and moves archived tables into a separate schema. This makes retention operationally visible without deleting data blindly.</w:t>
      </w:r>
    </w:p>
    <w:p>
      <w:r>
        <w:t xml:space="preserve">Decision history needs stronger lineage guarantees than raw telemetry. A decision record without its evidence or trace cannot answer an audit question. The archival transaction therefore includes the decision row and its child candidates, traces, evidence, tool calls, and scenario modifications. Restore procedures must restore the parent and children together, validate foreign keys, run </w:t>
      </w:r>
      <w:r>
        <w:rPr>
          <w:rFonts w:ascii="Consolas" w:hAnsi="Consolas"/>
          <w:sz w:val="18"/>
        </w:rPr>
        <w:t>ANALYZE</w:t>
      </w:r>
      <w:r>
        <w:t>, and record the restored archive version.</w:t>
      </w:r>
    </w:p>
    <w:p>
      <w:r>
        <w:t>Alembic governs structural change while the history manager governs lifecycle change. These responsibilities should remain distinct. A migration can add an index or column; a scheduled archive job can detach a completed month. Production operators should not apply a hand-written DDL fragment that is absent from migration history, and a migration should not silently delete historical partitions without an approved retention operation.</w:t>
      </w:r>
    </w:p>
    <w:p>
      <w:pPr>
        <w:pStyle w:val="Heading1"/>
      </w:pPr>
      <w:r>
        <w:t>22. Model Governance and Deployment Readiness</w:t>
      </w:r>
    </w:p>
    <w:p>
      <w:r>
        <w:t>A production model is more than a serialized weight file. It requires a dataset checksum, feature definition, training period, target definition, code revision, dependency environment, hyperparameters, validation metrics, calibration results, and approval status. The model registry schema provides a foundation for this record. Neural metadata currently captures architecture and training settings; the next step is to connect it to registry rows and model-loading policy.</w:t>
      </w:r>
    </w:p>
    <w:p>
      <w:r>
        <w:t>Model approval should include downstream evaluation. A candidate with lower RMSE should not be promoted automatically if it increases late deliveries, causes more infeasible assignments, or increases decision latency beyond the service objective. Approval should therefore include both model-level and decision-level thresholds. A model can be accepted for an exploratory dashboard while being rejected for automatic dispatch.</w:t>
      </w:r>
    </w:p>
    <w:p>
      <w:r>
        <w:t>Rollback must be straightforward. The API should be able to select the previous approved model version by configuration, and every decision should record the active model version. This permits an operator to compare outcomes before and after a deployment and to reproduce a historical explanation using the same versioned inputs.</w:t>
      </w:r>
    </w:p>
    <w:p>
      <w:pPr>
        <w:pStyle w:val="Heading1"/>
      </w:pPr>
      <w:r>
        <w:t>23. Research Methodology for the Final Dissertation or Demonstration</w:t>
      </w:r>
    </w:p>
    <w:p>
      <w:r>
        <w:t>The project can be presented as a sequence of controlled experiments. First, validate the data and graph layer with invariants and shortest-path correctness. Second, compare prediction models using a fixed chronological split. Third, inject each prediction set into an unchanged optimizer. Fourth, repeat across paired seeds and scenario factors. Fifth, analyze prediction-to-decision relationships with uncertainty intervals and failure categories.</w:t>
      </w:r>
    </w:p>
    <w:p>
      <w:r>
        <w:t>The dissertation should avoid selecting examples after seeing their outcomes. Scenario definitions, seed lists, capacity levels, route profiles, primary metrics, and exclusion rules should be written before the final run. When a result is invariant, report it. When a model fails to converge, report the failure and the attempted remedy. When an implementation limitation affects interpretation, place it next to the result rather than hiding it in an appendix.</w:t>
      </w:r>
    </w:p>
    <w:p>
      <w:r>
        <w:t>A compelling final table would contain one row per model and scenario family, with prediction error, cost, lateness, unserved orders, feasibility, runtime, and assignment-change frequency. A second table would report paired deltas against the XGBoost baseline. A third would list failure modes. This structure makes it possible to answer the main research question without collapsing all metrics into a single unsupported score.</w:t>
      </w:r>
    </w:p>
    <w:p>
      <w:pPr>
        <w:pStyle w:val="Heading1"/>
      </w:pPr>
      <w:r>
        <w:t>24. Practical Operator Runbook</w:t>
      </w:r>
    </w:p>
    <w:p>
      <w:r>
        <w:t xml:space="preserve">A local developer begins with the deterministic unit and API suite, then runs the frontend type check and build. Database work proceeds through a disposable PostgreSQL service, </w:t>
      </w:r>
      <w:r>
        <w:rPr>
          <w:rFonts w:ascii="Consolas" w:hAnsi="Consolas"/>
          <w:sz w:val="18"/>
        </w:rPr>
        <w:t>alembic upgrade head</w:t>
      </w:r>
      <w:r>
        <w:t xml:space="preserve">, and the integration marker. History lifecycle commands begin with </w:t>
      </w:r>
      <w:r>
        <w:rPr>
          <w:rFonts w:ascii="Consolas" w:hAnsi="Consolas"/>
          <w:sz w:val="18"/>
        </w:rPr>
        <w:t>--dry-run</w:t>
      </w:r>
      <w:r>
        <w:t>. Benchmark jobs run against a disposable or staging database and write artifacts outside the production database unless explicitly configured otherwise.</w:t>
      </w:r>
    </w:p>
    <w:p>
      <w:r>
        <w:t>A production deployment checks the migration head, verifies database connectivity, creates future partitions, checks Redis health, confirms JWT secret configuration, and probes the health and authentication endpoints. The operator then watches request latency, rate-limit rejection counts, WebSocket connection counts, archive-job outcomes, slow-query statistics, and memory behavior. Any migration, model promotion, or retention change should have a rollback or restore procedure attached to its review.</w:t>
      </w:r>
    </w:p>
    <w:p>
      <w:r>
        <w:t>Incident response uses the lineage layer. For a late delivery, an operator should be able to identify the scenario, order, prediction bundle, model version, traffic state, selected route, candidate alternatives, active constraints, and runtime events. This is the practical value of Phase 5 and PostgreSQL: the system can investigate a decision instead of only displaying its final outcome.</w:t>
      </w:r>
    </w:p>
    <w:p>
      <w:pPr>
        <w:pStyle w:val="Heading1"/>
      </w:pPr>
      <w:r>
        <w:t>25. Final Engineering Verdict</w:t>
      </w:r>
    </w:p>
    <w:p>
      <w:r>
        <w:t>OPTIMA-X is operationally coherent and research-ready as a substantial prototype. Its central strengths are architectural separation, explicit phase contracts, persistent lineage, reproducible benchmark tooling, security gates, and an honest treatment of limitations. The project already demonstrates meaningful integration across Python, Java, PostgreSQL, TypeScript, Redis, FastAPI, graph algorithms, machine learning, RL, and decision intelligence.</w:t>
      </w:r>
    </w:p>
    <w:p>
      <w:r>
        <w:t>It is not yet accurate to call the system fully production complete in the strongest possible sense. A live production database, multi-stop capacity-aware assignment, calibrated ETA, broad paired scenario evaluation, approved model registry process, and sustained production observability still need additional implementation and deployment evidence. The report treats these as prioritized next steps rather than silently assuming them.</w:t>
      </w:r>
    </w:p>
    <w:p>
      <w:r>
        <w:t>The most valuable next milestone is not adding an arbitrary new algorithm. It is closing the loop between the 50-order stress finding and the optimizer design: bundle multiple compatible orders, sequence their routes, evaluate realistic deadlines, and rerun the model sensitivity study. If prediction differences then alter route assignments and operational outcomes, OPTIMA-X will have a stronger answer to its central scientific question.</w:t>
      </w:r>
    </w:p>
    <w:p>
      <w:pPr>
        <w:pStyle w:val="Heading1"/>
      </w:pPr>
      <w:r>
        <w:t>26. Component-by-Component Implementation Ledger</w:t>
      </w:r>
    </w:p>
    <w:p>
      <w:r>
        <w:t xml:space="preserve">An inch-by-inch review of the repository is easiest when the system is decomposed into its concrete implementation surfaces. The </w:t>
      </w:r>
      <w:r>
        <w:rPr>
          <w:rFonts w:ascii="Consolas" w:hAnsi="Consolas"/>
          <w:sz w:val="18"/>
        </w:rPr>
        <w:t>src/simulation</w:t>
      </w:r>
      <w:r>
        <w:t xml:space="preserve"> layer provides the domain objects that anchor every later phase. </w:t>
      </w:r>
      <w:r>
        <w:rPr>
          <w:rFonts w:ascii="Consolas" w:hAnsi="Consolas"/>
          <w:sz w:val="18"/>
        </w:rPr>
        <w:t>Location</w:t>
      </w:r>
      <w:r>
        <w:t xml:space="preserve"> and </w:t>
      </w:r>
      <w:r>
        <w:rPr>
          <w:rFonts w:ascii="Consolas" w:hAnsi="Consolas"/>
          <w:sz w:val="18"/>
        </w:rPr>
        <w:t>TimeWindow</w:t>
      </w:r>
      <w:r>
        <w:t xml:space="preserve"> establish spatial and temporal validity. </w:t>
      </w:r>
      <w:r>
        <w:rPr>
          <w:rFonts w:ascii="Consolas" w:hAnsi="Consolas"/>
          <w:sz w:val="18"/>
        </w:rPr>
        <w:t>Order</w:t>
      </w:r>
      <w:r>
        <w:t xml:space="preserve"> carries demand, priority, and delivery-window context. </w:t>
      </w:r>
      <w:r>
        <w:rPr>
          <w:rFonts w:ascii="Consolas" w:hAnsi="Consolas"/>
          <w:sz w:val="18"/>
        </w:rPr>
        <w:t>Vehicle</w:t>
      </w:r>
      <w:r>
        <w:t xml:space="preserve"> models availability, capacity, current position, and work state. These classes are small, but they are the first line of defense against invalid planning inputs. If a time window is inverted or a vehicle shift is ill-defined, the bug should fail in the domain layer rather than later in an optimization loop.</w:t>
      </w:r>
    </w:p>
    <w:p>
      <w:r>
        <w:t xml:space="preserve">The </w:t>
      </w:r>
      <w:r>
        <w:rPr>
          <w:rFonts w:ascii="Consolas" w:hAnsi="Consolas"/>
          <w:sz w:val="18"/>
        </w:rPr>
        <w:t>src/dsa</w:t>
      </w:r>
      <w:r>
        <w:t xml:space="preserve"> layer contains the graph and algorithmic core. Nodes and edges are intentionally minimal, which makes shortest-path logic easier to reason about and benchmark. Dijkstra serves as the correctness-oriented baseline, while A* adds an admissible heuristic for better practical performance on suitable graphs. Priority queues, graph traversal, and route-cost primitives make the optimization layer measurable rather than opaque. The graph code is not merely an academic aside; it is the substrate over which ETA, traffic-aware rerouting, and service feasibility operate.</w:t>
      </w:r>
    </w:p>
    <w:p>
      <w:r>
        <w:t xml:space="preserve">The </w:t>
      </w:r>
      <w:r>
        <w:rPr>
          <w:rFonts w:ascii="Consolas" w:hAnsi="Consolas"/>
          <w:sz w:val="18"/>
        </w:rPr>
        <w:t>src/features</w:t>
      </w:r>
      <w:r>
        <w:t xml:space="preserve"> and </w:t>
      </w:r>
      <w:r>
        <w:rPr>
          <w:rFonts w:ascii="Consolas" w:hAnsi="Consolas"/>
          <w:sz w:val="18"/>
        </w:rPr>
        <w:t>src/ml</w:t>
      </w:r>
      <w:r>
        <w:t xml:space="preserve"> layers form the prediction pipeline. Feature engineering creates lagged, rolling, and calendar-aligned inputs. The classical-model path keeps tree-based approaches available for strong tabular baselines. The neural path adds deterministic MLP, LSTM, and GRU implementations for demand and ETA prediction. The training scripts preserve chronological evaluation and write machine-readable metrics. The important architectural property is that feature logic is not entangled with route assignment. This allows the project to compare prediction families without changing the optimization API.</w:t>
      </w:r>
    </w:p>
    <w:p>
      <w:r>
        <w:t xml:space="preserve">The </w:t>
      </w:r>
      <w:r>
        <w:rPr>
          <w:rFonts w:ascii="Consolas" w:hAnsi="Consolas"/>
          <w:sz w:val="18"/>
        </w:rPr>
        <w:t>src/optimization</w:t>
      </w:r>
      <w:r>
        <w:t xml:space="preserve"> layer consumes shared prediction objects and produces route or assignment outputs. The objective function makes trade-offs explicit rather than hidden in arbitrary code constants. Constraint checking is separated from objective scoring so that a route can be infeasible even if it looks cheap, and a feasible route can still be unattractive because of lateness or vehicle usage. This design supports future experimentation because a new solver can be compared under the same objective and feasibility rules.</w:t>
      </w:r>
    </w:p>
    <w:p>
      <w:r>
        <w:t xml:space="preserve">The </w:t>
      </w:r>
      <w:r>
        <w:rPr>
          <w:rFonts w:ascii="Consolas" w:hAnsi="Consolas"/>
          <w:sz w:val="18"/>
        </w:rPr>
        <w:t>api</w:t>
      </w:r>
      <w:r>
        <w:t xml:space="preserve"> layer turns internal components into controlled services. FastAPI routes expose health, authentication, simulation, forecasting, decision, traffic, WebSocket telemetry, and architecture-status surfaces. Middleware provides CORS and security handling, while authentication and rate limiting ensure that production behavior is not equivalent to a local notebook script. The API is where architectural discipline becomes visible to a consumer: one can inspect which capabilities are public, which are protected, and which require live event streams.</w:t>
      </w:r>
    </w:p>
    <w:p>
      <w:r>
        <w:t xml:space="preserve">The </w:t>
      </w:r>
      <w:r>
        <w:rPr>
          <w:rFonts w:ascii="Consolas" w:hAnsi="Consolas"/>
          <w:sz w:val="18"/>
        </w:rPr>
        <w:t>src/database</w:t>
      </w:r>
      <w:r>
        <w:t xml:space="preserve">, </w:t>
      </w:r>
      <w:r>
        <w:rPr>
          <w:rFonts w:ascii="Consolas" w:hAnsi="Consolas"/>
          <w:sz w:val="18"/>
        </w:rPr>
        <w:t>alembic</w:t>
      </w:r>
      <w:r>
        <w:t xml:space="preserve">, and </w:t>
      </w:r>
      <w:r>
        <w:rPr>
          <w:rFonts w:ascii="Consolas" w:hAnsi="Consolas"/>
          <w:sz w:val="18"/>
        </w:rPr>
        <w:t>scripts/manage_history.py</w:t>
      </w:r>
      <w:r>
        <w:t xml:space="preserve"> surfaces collectively represent the data-governance layer. The schema defines what the system can remember. ORM models define how Python code navigates that memory safely. Alembic defines how the memory structure evolves. Partition and archival tooling defines how the memory stays operationally sustainable as history accumulates. These pieces matter because optimization and research credibility both depend on being able to answer historical questions later.</w:t>
      </w:r>
    </w:p>
    <w:p>
      <w:r>
        <w:t xml:space="preserve">The </w:t>
      </w:r>
      <w:r>
        <w:rPr>
          <w:rFonts w:ascii="Consolas" w:hAnsi="Consolas"/>
          <w:sz w:val="18"/>
        </w:rPr>
        <w:t>frontend</w:t>
      </w:r>
      <w:r>
        <w:t xml:space="preserve"> directory provides the operator-facing view. It is not a toy page attached after the back end. It is a deliberate status console that visualizes the phase pipeline, telemetry, route motion, theme state, architecture boundary, and service posture. The dark and light themes are not merely aesthetic extras; they are part of usability, accessibility, and production readiness. A control surface used by humans under pressure should communicate state clearly and consistently.</w:t>
      </w:r>
    </w:p>
    <w:p>
      <w:r>
        <w:t xml:space="preserve">Finally, the </w:t>
      </w:r>
      <w:r>
        <w:rPr>
          <w:rFonts w:ascii="Consolas" w:hAnsi="Consolas"/>
          <w:sz w:val="18"/>
        </w:rPr>
        <w:t>tests</w:t>
      </w:r>
      <w:r>
        <w:t xml:space="preserve">, </w:t>
      </w:r>
      <w:r>
        <w:rPr>
          <w:rFonts w:ascii="Consolas" w:hAnsi="Consolas"/>
          <w:sz w:val="18"/>
        </w:rPr>
        <w:t>benchmarks</w:t>
      </w:r>
      <w:r>
        <w:t xml:space="preserve">, </w:t>
      </w:r>
      <w:r>
        <w:rPr>
          <w:rFonts w:ascii="Consolas" w:hAnsi="Consolas"/>
          <w:sz w:val="18"/>
        </w:rPr>
        <w:t>docs</w:t>
      </w:r>
      <w:r>
        <w:t xml:space="preserve">, and </w:t>
      </w:r>
      <w:r>
        <w:rPr>
          <w:rFonts w:ascii="Consolas" w:hAnsi="Consolas"/>
          <w:sz w:val="18"/>
        </w:rPr>
        <w:t>.github/workflows</w:t>
      </w:r>
      <w:r>
        <w:t xml:space="preserve"> directories provide the project’s proof structure. Tests express invariants. Benchmarks express performance claims. Documentation expresses architectural intent, assumptions, and limits. GitHub workflows express enforcement. When these are aligned, the repository becomes reviewable and teachable. That is one of the strongest outcomes of the OPTIMA-X project: it is not only code that runs, but code whose purpose, evidence, risks, and next steps are legible.</w:t>
      </w:r>
    </w:p>
    <w:p>
      <w:pPr>
        <w:pStyle w:val="Heading1"/>
      </w:pPr>
      <w:r>
        <w:t>References to Repository Evidence</w:t>
      </w:r>
    </w:p>
    <w:p>
      <w:r>
        <w:t xml:space="preserve">[1] </w:t>
      </w:r>
      <w:r>
        <w:rPr>
          <w:rFonts w:ascii="Consolas" w:hAnsi="Consolas"/>
          <w:sz w:val="18"/>
        </w:rPr>
        <w:t>docs/architecture/full_architecture.md</w:t>
      </w:r>
      <w:r>
        <w:t xml:space="preserve"> — complete system architecture.</w:t>
      </w:r>
    </w:p>
    <w:p>
      <w:r>
        <w:t xml:space="preserve">[2] </w:t>
      </w:r>
      <w:r>
        <w:rPr>
          <w:rFonts w:ascii="Consolas" w:hAnsi="Consolas"/>
          <w:sz w:val="18"/>
        </w:rPr>
        <w:t>docs/architecture/phase_1_7_connectivity.md</w:t>
      </w:r>
      <w:r>
        <w:t xml:space="preserve"> — cross-phase contracts and lineage.</w:t>
      </w:r>
    </w:p>
    <w:p>
      <w:r>
        <w:t xml:space="preserve">[3] </w:t>
      </w:r>
      <w:r>
        <w:rPr>
          <w:rFonts w:ascii="Consolas" w:hAnsi="Consolas"/>
          <w:sz w:val="18"/>
        </w:rPr>
        <w:t>src/database/optima_schema.sql</w:t>
      </w:r>
      <w:r>
        <w:t xml:space="preserve"> — canonical PostgreSQL DDL.</w:t>
      </w:r>
    </w:p>
    <w:p>
      <w:r>
        <w:t xml:space="preserve">[4] </w:t>
      </w:r>
      <w:r>
        <w:rPr>
          <w:rFonts w:ascii="Consolas" w:hAnsi="Consolas"/>
          <w:sz w:val="18"/>
        </w:rPr>
        <w:t>src/database/orm_models.py</w:t>
      </w:r>
      <w:r>
        <w:t xml:space="preserve"> — SQLAlchemy 2.x mappings.</w:t>
      </w:r>
    </w:p>
    <w:p>
      <w:r>
        <w:t xml:space="preserve">[5] </w:t>
      </w:r>
      <w:r>
        <w:rPr>
          <w:rFonts w:ascii="Consolas" w:hAnsi="Consolas"/>
          <w:sz w:val="18"/>
        </w:rPr>
        <w:t>alembic/versions/20260828_01_canonical_optima_schema.py</w:t>
      </w:r>
      <w:r>
        <w:t xml:space="preserve"> — baseline migration.</w:t>
      </w:r>
    </w:p>
    <w:p>
      <w:r>
        <w:t xml:space="preserve">[6] </w:t>
      </w:r>
      <w:r>
        <w:rPr>
          <w:rFonts w:ascii="Consolas" w:hAnsi="Consolas"/>
          <w:sz w:val="18"/>
        </w:rPr>
        <w:t>docs/architecture/postgresql_schema_and_performance.md</w:t>
      </w:r>
      <w:r>
        <w:t xml:space="preserve"> — schema and query-performance design.</w:t>
      </w:r>
    </w:p>
    <w:p>
      <w:r>
        <w:t xml:space="preserve">[7] </w:t>
      </w:r>
      <w:r>
        <w:rPr>
          <w:rFonts w:ascii="Consolas" w:hAnsi="Consolas"/>
          <w:sz w:val="18"/>
        </w:rPr>
        <w:t>docs/research/neural_prediction.md</w:t>
      </w:r>
      <w:r>
        <w:t xml:space="preserve"> — MLP/LSTM/GRU model design.</w:t>
      </w:r>
    </w:p>
    <w:p>
      <w:r>
        <w:t xml:space="preserve">[8] </w:t>
      </w:r>
      <w:r>
        <w:rPr>
          <w:rFonts w:ascii="Consolas" w:hAnsi="Consolas"/>
          <w:sz w:val="18"/>
        </w:rPr>
        <w:t>docs/research/prediction_decision_benchmark.md</w:t>
      </w:r>
      <w:r>
        <w:t xml:space="preserve"> — prediction-to-decision benchmark.</w:t>
      </w:r>
    </w:p>
    <w:p>
      <w:r>
        <w:t xml:space="preserve">[9] </w:t>
      </w:r>
      <w:r>
        <w:rPr>
          <w:rFonts w:ascii="Consolas" w:hAnsi="Consolas"/>
          <w:sz w:val="18"/>
        </w:rPr>
        <w:t>docs/research/multiseed_decision_sensitivity.md</w:t>
      </w:r>
      <w:r>
        <w:t xml:space="preserve"> — five-seed sensitivity study.</w:t>
      </w:r>
    </w:p>
    <w:p>
      <w:r>
        <w:t xml:space="preserve">[10] </w:t>
      </w:r>
      <w:r>
        <w:rPr>
          <w:rFonts w:ascii="Consolas" w:hAnsi="Consolas"/>
          <w:sz w:val="18"/>
        </w:rPr>
        <w:t>docs/research/optimization_stress_test.md</w:t>
      </w:r>
      <w:r>
        <w:t xml:space="preserve"> — 50-order optimization stress test.</w:t>
      </w:r>
    </w:p>
    <w:p>
      <w:r>
        <w:t xml:space="preserve">[11] </w:t>
      </w:r>
      <w:r>
        <w:rPr>
          <w:rFonts w:ascii="Consolas" w:hAnsi="Consolas"/>
          <w:sz w:val="18"/>
        </w:rPr>
        <w:t>docs/research/phase4_rl.md</w:t>
      </w:r>
      <w:r>
        <w:t xml:space="preserve"> — RL experiments and variance analysis.</w:t>
      </w:r>
    </w:p>
    <w:p>
      <w:r>
        <w:t xml:space="preserve">[12] </w:t>
      </w:r>
      <w:r>
        <w:rPr>
          <w:rFonts w:ascii="Consolas" w:hAnsi="Consolas"/>
          <w:sz w:val="18"/>
        </w:rPr>
        <w:t>docs/reviews/security_audit_readiness.md</w:t>
      </w:r>
      <w:r>
        <w:t xml:space="preserve"> — security and readiness audit.</w:t>
      </w:r>
    </w:p>
    <w:p>
      <w:r>
        <w:t xml:space="preserve">[13] </w:t>
      </w:r>
      <w:r>
        <w:rPr>
          <w:rFonts w:ascii="Consolas" w:hAnsi="Consolas"/>
          <w:sz w:val="18"/>
        </w:rPr>
        <w:t>docs/reviews/frontend_ui_inspection.md</w:t>
      </w:r>
      <w:r>
        <w:t xml:space="preserve"> — browser inspection of graphics and themes.</w:t>
      </w:r>
    </w:p>
    <w:p>
      <w:r>
        <w:t xml:space="preserve">[14] </w:t>
      </w:r>
      <w:r>
        <w:rPr>
          <w:rFonts w:ascii="Consolas" w:hAnsi="Consolas"/>
          <w:sz w:val="18"/>
        </w:rPr>
        <w:t>.github/workflows/tests.yml</w:t>
      </w:r>
      <w:r>
        <w:t xml:space="preserve">, </w:t>
      </w:r>
      <w:r>
        <w:rPr>
          <w:rFonts w:ascii="Consolas" w:hAnsi="Consolas"/>
          <w:sz w:val="18"/>
        </w:rPr>
        <w:t>.github/workflows/security.yml</w:t>
      </w:r>
      <w:r>
        <w:t xml:space="preserve">, </w:t>
      </w:r>
      <w:r>
        <w:rPr>
          <w:rFonts w:ascii="Consolas" w:hAnsi="Consolas"/>
          <w:sz w:val="18"/>
        </w:rPr>
        <w:t>.github/workflows/build.yml</w:t>
      </w:r>
      <w:r>
        <w:t xml:space="preserve">, </w:t>
      </w:r>
      <w:r>
        <w:rPr>
          <w:rFonts w:ascii="Consolas" w:hAnsi="Consolas"/>
          <w:sz w:val="18"/>
        </w:rPr>
        <w:t>.github/workflows/java.yml</w:t>
      </w:r>
      <w:r>
        <w:t xml:space="preserve"> — automated validation workflows.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78"/>
        <w:sz w:val="16"/>
      </w:rPr>
      <w:t>Karthikeya  •  OPTIMA-X  •  Phase 1–7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978"/>
        <w:sz w:val="16"/>
      </w:rPr>
      <w:t>OPTIMA-X | Complete Project Working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67A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OPTIMA-X Complete Project Working Report</dc:title>
  <dc:subject>Phase 1–7 architecture, implementation, validation, and roadmap</dc:subject>
  <dc:creator>Karthikeya</dc:creator>
  <cp:keywords/>
  <dc:description>generated by python-docx</dc:description>
  <cp:lastModifiedBy/>
  <cp:revision>1</cp:revision>
  <dcterms:created xsi:type="dcterms:W3CDTF">2013-12-23T23:15:00Z</dcterms:created>
  <dcterms:modified xsi:type="dcterms:W3CDTF">2013-12-23T23:15:00Z</dcterms:modified>
  <cp:category/>
</cp:coreProperties>
</file>