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mbria" w:cs="Cambria" w:eastAsia="Cambria" w:hAnsi="Cambria"/>
          <w:b/>
          <w:bCs/>
          <w:color w:val="1B2A4A"/>
          <w:sz w:val="52"/>
          <w:szCs w:val="52"/>
        </w:rPr>
        <w:t xml:space="preserve">Customer Segmentation of U.S. Shoppers</w:t>
      </w:r>
    </w:p>
    <w:p>
      <w:pPr>
        <w:spacing w:after="120"/>
      </w:pPr>
      <w:r>
        <w:rPr>
          <w:color w:val="52514E"/>
          <w:sz w:val="32"/>
          <w:szCs w:val="32"/>
        </w:rPr>
        <w:t xml:space="preserve">Insights &amp; Analytics Report</w:t>
      </w:r>
    </w:p>
    <w:p>
      <w:pPr>
        <w:spacing w:after="600"/>
      </w:pPr>
      <w:r>
        <w:rPr>
          <w:color w:val="52514E"/>
          <w:sz w:val="26"/>
          <w:szCs w:val="26"/>
        </w:rPr>
        <w:t xml:space="preserve">Project CDACL-002 · Shopping Trends Analysis</w:t>
      </w:r>
    </w:p>
    <w:p>
      <w:pPr>
        <w:spacing w:after="120" w:line="288"/>
      </w:pPr>
      <w:r>
        <w:rPr>
          <w:b/>
          <w:bCs/>
        </w:rPr>
        <w:t xml:space="preserve">Team: </w:t>
      </w:r>
      <w:r>
        <w:t xml:space="preserve">Team 5</w:t>
      </w:r>
    </w:p>
    <w:p>
      <w:pPr>
        <w:spacing w:after="120" w:line="288"/>
      </w:pPr>
      <w:r>
        <w:rPr>
          <w:b/>
          <w:bCs/>
        </w:rPr>
        <w:t xml:space="preserve">Data source: </w:t>
      </w:r>
      <w:r>
        <w:t xml:space="preserve">MySQL database “customer segmentation”, table shopping_trends_dataset (3,900 records, 18 attributes)</w:t>
      </w:r>
    </w:p>
    <w:p>
      <w:pPr>
        <w:spacing w:after="120" w:line="288"/>
      </w:pPr>
      <w:r>
        <w:rPr>
          <w:b/>
          <w:bCs/>
        </w:rPr>
        <w:t xml:space="preserve">Tools: </w:t>
      </w:r>
      <w:r>
        <w:t xml:space="preserve">Python (Google Colab) · pandas · SQLAlchemy/PyMySQL · scikit-learn · SciPy · matplotlib/seaborn</w:t>
      </w:r>
    </w:p>
    <w:p>
      <w:pPr>
        <w:spacing w:after="120" w:line="288"/>
      </w:pPr>
      <w:r>
        <w:rPr>
          <w:b/>
          <w:bCs/>
        </w:rPr>
        <w:t xml:space="preserve">Date: </w:t>
      </w:r>
      <w:r>
        <w:t xml:space="preserve">October 2026</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Executive summary</w:t>
      </w:r>
    </w:p>
    <w:p>
      <w:pPr>
        <w:spacing w:after="120" w:line="288"/>
      </w:pPr>
      <w:r>
        <w:t xml:space="preserve">We analysed 3,900 purchases from U.S. shoppers to answer three business questions: where discounts should be applied, how card spending varies with age, season and location, and how customers can be grouped into segments for targeted marketing. The main findings are:</w:t>
      </w:r>
    </w:p>
    <w:p>
      <w:pPr>
        <w:pStyle w:val="ListParagraph"/>
        <w:numPr>
          <w:ilvl w:val="0"/>
          <w:numId w:val="2"/>
        </w:numPr>
        <w:spacing w:after="80" w:line="276"/>
      </w:pPr>
      <w:r>
        <w:rPr>
          <w:b/>
          <w:bCs/>
        </w:rPr>
        <w:t xml:space="preserve">Discounts: </w:t>
      </w:r>
      <w:r>
        <w:t xml:space="preserve">prioritise Sports (lowest revenue share and least loyal buyers, but the highest rating), and use bundle or threshold offers on Clothing, where discounted baskets are 6.5% larger. Do not discount Home Decor: discounted orders are 5% smaller and its low rating points to a product-quality issue.</w:t>
      </w:r>
    </w:p>
    <w:p>
      <w:pPr>
        <w:pStyle w:val="ListParagraph"/>
        <w:numPr>
          <w:ilvl w:val="0"/>
          <w:numId w:val="2"/>
        </w:numPr>
        <w:spacing w:after="80" w:line="276"/>
      </w:pPr>
      <w:r>
        <w:rPr>
          <w:b/>
          <w:bCs/>
        </w:rPr>
        <w:t xml:space="preserve">Card spending: </w:t>
      </w:r>
      <w:r>
        <w:t xml:space="preserve">40.4% of purchases ($405,807) are paid by credit or debit card. Spend per card purchase is the same across age, season and city (all p &gt; 0.8). Totals differ only because of transaction volume: 36–45 year olds, Spring and New York generate the most card spend.</w:t>
      </w:r>
    </w:p>
    <w:p>
      <w:pPr>
        <w:pStyle w:val="ListParagraph"/>
        <w:numPr>
          <w:ilvl w:val="0"/>
          <w:numId w:val="2"/>
        </w:numPr>
        <w:spacing w:after="80" w:line="276"/>
      </w:pPr>
      <w:r>
        <w:rPr>
          <w:b/>
          <w:bCs/>
        </w:rPr>
        <w:t xml:space="preserve">Segments: </w:t>
      </w:r>
      <w:r>
        <w:t xml:space="preserve">K-Means with K = 4 on value features found Frequent Regulars (34% of revenue), Big Spenders at Risk (33%, but rating 2.3/5), Happy Occasionals (22%, rating 4.6) and Unhappy Bargain Buyers (11%). A second clustering found that offer behaviour (discount and promo-code use) splits customers into four equal offer-response groups.</w:t>
      </w:r>
    </w:p>
    <w:p>
      <w:pPr>
        <w:pStyle w:val="ListParagraph"/>
        <w:numPr>
          <w:ilvl w:val="0"/>
          <w:numId w:val="2"/>
        </w:numPr>
        <w:spacing w:after="80" w:line="276"/>
      </w:pPr>
      <w:r>
        <w:rPr>
          <w:b/>
          <w:bCs/>
        </w:rPr>
        <w:t xml:space="preserve">Action: </w:t>
      </w:r>
      <w:r>
        <w:t xml:space="preserve">target customers by value segment and choose the offer by offer-response segment. The most urgent priority is retaining the Big Spenders, who hold one third of revenue but are dissatisfied.</w:t>
      </w:r>
    </w:p>
    <w:p>
      <w:pPr>
        <w:pStyle w:val="Heading1"/>
        <w:spacing w:after="160" w:before="320"/>
      </w:pPr>
      <w:r>
        <w:t xml:space="preserve">2. Data and methodology</w:t>
      </w:r>
    </w:p>
    <w:p>
      <w:pPr>
        <w:pStyle w:val="Heading2"/>
        <w:spacing w:after="120" w:before="240"/>
      </w:pPr>
      <w:r>
        <w:t xml:space="preserve">2.1 Dataset</w:t>
      </w:r>
    </w:p>
    <w:p>
      <w:pPr>
        <w:spacing w:after="120" w:line="288"/>
      </w:pPr>
      <w:r>
        <w:t xml:space="preserve">The data was loaded from the MySQL server (18.136.157.135) using SQLAlchemy with the team account dm_team5. The table shopping_trends_dataset contains 3,900 purchase records and 18 attributes: customer ID, age, gender, item purchased, category, purchase amount (USD), location, size, color, season, review rating, subscription status, shipping type, discount applied, promo code used, previous purchases, payment method and frequency of purchases.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left"/>
            </w:pPr>
            <w:r>
              <w:rPr>
                <w:b/>
                <w:bCs/>
                <w:color w:val="FFFFFF"/>
                <w:sz w:val="19"/>
                <w:szCs w:val="19"/>
              </w:rPr>
              <w:t xml:space="preserve">Attribute</w:t>
            </w:r>
          </w:p>
        </w:tc>
        <w:tc>
          <w:tcPr>
            <w:tcW w:type="dxa" w:w="6826"/>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Values in this dataset</w:t>
            </w:r>
          </w:p>
        </w:tc>
      </w:tr>
      <w:tr>
        <w:trPr>
          <w:tblHeader w:val="false"/>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Category</w:t>
            </w:r>
          </w:p>
        </w:tc>
        <w:tc>
          <w:tcPr>
            <w:tcW w:type="dxa" w:w="68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Accessories 820 · Clothing 796 · Electronics 772 · Home Decor 760 · Sports 752</w:t>
            </w:r>
          </w:p>
        </w:tc>
      </w:tr>
      <w:tr>
        <w:trPr>
          <w:tblHeader w:val="false"/>
        </w:trPr>
        <w:tc>
          <w:tcPr>
            <w:tcW w:type="dxa" w:w="22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Location</w:t>
            </w:r>
          </w:p>
        </w:tc>
        <w:tc>
          <w:tcPr>
            <w:tcW w:type="dxa" w:w="68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New York 812 · Los Angeles 806 · Chicago 777 · Houston 764 · Miami 741</w:t>
            </w:r>
          </w:p>
        </w:tc>
      </w:tr>
      <w:tr>
        <w:trPr>
          <w:tblHeader w:val="false"/>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Payment</w:t>
            </w:r>
          </w:p>
        </w:tc>
        <w:tc>
          <w:tcPr>
            <w:tcW w:type="dxa" w:w="68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Credit Card 802 · UPI 792 · PayPal 791 · Debit Card 772 · Cash 743</w:t>
            </w:r>
          </w:p>
        </w:tc>
      </w:tr>
      <w:tr>
        <w:trPr>
          <w:tblHeader w:val="false"/>
        </w:trPr>
        <w:tc>
          <w:tcPr>
            <w:tcW w:type="dxa" w:w="22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Season</w:t>
            </w:r>
          </w:p>
        </w:tc>
        <w:tc>
          <w:tcPr>
            <w:tcW w:type="dxa" w:w="68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Spring 1,047 · Fall 987 · Winter 961 · Summer 905</w:t>
            </w:r>
          </w:p>
        </w:tc>
      </w:tr>
      <w:tr>
        <w:trPr>
          <w:tblHeader w:val="false"/>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Frequency</w:t>
            </w:r>
          </w:p>
        </w:tc>
        <w:tc>
          <w:tcPr>
            <w:tcW w:type="dxa" w:w="68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Monthly 1,319 · Weekly 1,308 · Fortnightly 1,273</w:t>
            </w:r>
          </w:p>
        </w:tc>
      </w:tr>
      <w:tr>
        <w:trPr>
          <w:tblHeader w:val="false"/>
        </w:trPr>
        <w:tc>
          <w:tcPr>
            <w:tcW w:type="dxa" w:w="22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Numeric ranges</w:t>
            </w:r>
          </w:p>
        </w:tc>
        <w:tc>
          <w:tcPr>
            <w:tcW w:type="dxa" w:w="68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Age 18–64 · Amount $10.08–$499.84 · Rating 1–5 · Previous purchases 0–14</w:t>
            </w:r>
          </w:p>
        </w:tc>
      </w:tr>
    </w:tbl>
    <w:p>
      <w:pPr>
        <w:spacing w:after="120"/>
      </w:pPr>
    </w:p>
    <w:p>
      <w:pPr>
        <w:pStyle w:val="Heading2"/>
        <w:spacing w:after="120" w:before="240"/>
      </w:pPr>
      <w:r>
        <w:t xml:space="preserve">2.2 Data preparation</w:t>
      </w:r>
    </w:p>
    <w:p>
      <w:pPr>
        <w:pStyle w:val="ListParagraph"/>
        <w:numPr>
          <w:ilvl w:val="0"/>
          <w:numId w:val="2"/>
        </w:numPr>
        <w:spacing w:after="80" w:line="276"/>
      </w:pPr>
      <w:r>
        <w:t xml:space="preserve">Column names were standardised (the database stores them without underscores, e.g. purchaseamountusd → amount).</w:t>
      </w:r>
    </w:p>
    <w:p>
      <w:pPr>
        <w:pStyle w:val="ListParagraph"/>
        <w:numPr>
          <w:ilvl w:val="0"/>
          <w:numId w:val="2"/>
        </w:numPr>
        <w:spacing w:after="80" w:line="276"/>
      </w:pPr>
      <w:r>
        <w:t xml:space="preserve">Quality checks: no missing values and no duplicate rows. All 3,900 records were kept.</w:t>
      </w:r>
    </w:p>
    <w:p>
      <w:pPr>
        <w:pStyle w:val="ListParagraph"/>
        <w:numPr>
          <w:ilvl w:val="0"/>
          <w:numId w:val="2"/>
        </w:numPr>
        <w:spacing w:after="80" w:line="276"/>
      </w:pPr>
      <w:r>
        <w:t xml:space="preserve">Derived fields: age groups (18–25 … 56–65), card flag (credit or debit card), purchases per year (Weekly 52, Fortnightly 26, Monthly 12), and 0/1 flags for discount, promo code, subscription, gender and express shipping.</w:t>
      </w:r>
    </w:p>
    <w:p>
      <w:pPr>
        <w:pStyle w:val="Heading2"/>
        <w:spacing w:after="120" w:before="240"/>
      </w:pPr>
      <w:r>
        <w:t xml:space="preserve">2.3 Methods</w:t>
      </w:r>
    </w:p>
    <w:p>
      <w:pPr>
        <w:pStyle w:val="ListParagraph"/>
        <w:numPr>
          <w:ilvl w:val="0"/>
          <w:numId w:val="2"/>
        </w:numPr>
        <w:spacing w:after="80" w:line="276"/>
      </w:pPr>
      <w:r>
        <w:rPr>
          <w:b/>
          <w:bCs/>
        </w:rPr>
        <w:t xml:space="preserve">Task 1: </w:t>
      </w:r>
      <w:r>
        <w:t xml:space="preserve">category comparison on revenue share, order value, rating, subscriber share and discount response (average order with ÷ without discount), combined into a rank-based discount priority score.</w:t>
      </w:r>
    </w:p>
    <w:p>
      <w:pPr>
        <w:pStyle w:val="ListParagraph"/>
        <w:numPr>
          <w:ilvl w:val="0"/>
          <w:numId w:val="2"/>
        </w:numPr>
        <w:spacing w:after="80" w:line="276"/>
      </w:pPr>
      <w:r>
        <w:rPr>
          <w:b/>
          <w:bCs/>
        </w:rPr>
        <w:t xml:space="preserve">Task 2: </w:t>
      </w:r>
      <w:r>
        <w:t xml:space="preserve">aggregation of card spend by age group, season and city, with ANOVA, Kruskal-Wallis and chi-square tests.</w:t>
      </w:r>
    </w:p>
    <w:p>
      <w:pPr>
        <w:pStyle w:val="ListParagraph"/>
        <w:numPr>
          <w:ilvl w:val="0"/>
          <w:numId w:val="2"/>
        </w:numPr>
        <w:spacing w:after="80" w:line="276"/>
      </w:pPr>
      <w:r>
        <w:rPr>
          <w:b/>
          <w:bCs/>
        </w:rPr>
        <w:t xml:space="preserve">Task 3: </w:t>
      </w:r>
      <w:r>
        <w:t xml:space="preserve">standardised features, K-Means for K = 2–8, K chosen by elbow and silhouette score, Random-Forest feature importance and centroid spread to identify dominant factors.</w:t>
      </w:r>
    </w:p>
    <w:p>
      <w:r>
        <w:br w:type="page"/>
      </w:r>
    </w:p>
    <w:p>
      <w:pPr>
        <w:pStyle w:val="Heading1"/>
        <w:spacing w:after="160" w:before="320"/>
      </w:pPr>
      <w:r>
        <w:t xml:space="preserve">3. Task 1 – Where should discounts be applied?</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95675"/>
                    </a:xfrm>
                    <a:prstGeom prst="rect">
                      <a:avLst/>
                    </a:prstGeom>
                  </pic:spPr>
                </pic:pic>
              </a:graphicData>
            </a:graphic>
          </wp:inline>
        </w:drawing>
      </w:r>
    </w:p>
    <w:p>
      <w:pPr>
        <w:spacing w:after="240"/>
        <w:jc w:val="center"/>
      </w:pPr>
      <w:r>
        <w:rPr>
          <w:i/>
          <w:iCs/>
          <w:color w:val="52514E"/>
          <w:sz w:val="18"/>
          <w:szCs w:val="18"/>
        </w:rPr>
        <w:t xml:space="preserve">Figure 1. Five-category comparison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050"/>
        <w:gridCol w:w="800"/>
        <w:gridCol w:w="1000"/>
        <w:gridCol w:w="750"/>
        <w:gridCol w:w="1100"/>
        <w:gridCol w:w="1050"/>
        <w:gridCol w:w="1026"/>
        <w:gridCol w:w="950"/>
      </w:tblGrid>
      <w:tr>
        <w:trPr>
          <w:tblHeader/>
        </w:trPr>
        <w:tc>
          <w:tcPr>
            <w:tcW w:type="dxa" w:w="13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left"/>
            </w:pPr>
            <w:r>
              <w:rPr>
                <w:b/>
                <w:bCs/>
                <w:color w:val="FFFFFF"/>
                <w:sz w:val="19"/>
                <w:szCs w:val="19"/>
              </w:rPr>
              <w:t xml:space="preserve">Category</w:t>
            </w:r>
          </w:p>
        </w:tc>
        <w:tc>
          <w:tcPr>
            <w:tcW w:type="dxa" w:w="105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Revenue</w:t>
            </w:r>
          </w:p>
        </w:tc>
        <w:tc>
          <w:tcPr>
            <w:tcW w:type="dxa" w:w="8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Share</w:t>
            </w:r>
          </w:p>
        </w:tc>
        <w:tc>
          <w:tcPr>
            <w:tcW w:type="dxa" w:w="10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Avg order</w:t>
            </w:r>
          </w:p>
        </w:tc>
        <w:tc>
          <w:tcPr>
            <w:tcW w:type="dxa" w:w="75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Rating</w:t>
            </w:r>
          </w:p>
        </w:tc>
        <w:tc>
          <w:tcPr>
            <w:tcW w:type="dxa" w:w="11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Subscribers</w:t>
            </w:r>
          </w:p>
        </w:tc>
        <w:tc>
          <w:tcPr>
            <w:tcW w:type="dxa" w:w="105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With disc.</w:t>
            </w:r>
          </w:p>
        </w:tc>
        <w:tc>
          <w:tcPr>
            <w:tcW w:type="dxa" w:w="1026"/>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Without</w:t>
            </w:r>
          </w:p>
        </w:tc>
        <w:tc>
          <w:tcPr>
            <w:tcW w:type="dxa" w:w="95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Ratio</w:t>
            </w:r>
          </w:p>
        </w:tc>
      </w:tr>
      <w:tr>
        <w:trPr>
          <w:tblHeader w:val="false"/>
        </w:trPr>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Clothing</w:t>
            </w:r>
          </w:p>
        </w:tc>
        <w:tc>
          <w:tcPr>
            <w:tcW w:type="dxa" w:w="10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$208,775</w:t>
            </w:r>
          </w:p>
        </w:tc>
        <w:tc>
          <w:tcPr>
            <w:tcW w:type="dxa" w:w="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21.0%</w:t>
            </w:r>
          </w:p>
        </w:tc>
        <w:tc>
          <w:tcPr>
            <w:tcW w:type="dxa" w:w="1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$262.28</w:t>
            </w:r>
          </w:p>
        </w:tc>
        <w:tc>
          <w:tcPr>
            <w:tcW w:type="dxa" w:w="7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3.04</w:t>
            </w:r>
          </w:p>
        </w:tc>
        <w:tc>
          <w:tcPr>
            <w:tcW w:type="dxa" w:w="11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48.5%</w:t>
            </w:r>
          </w:p>
        </w:tc>
        <w:tc>
          <w:tcPr>
            <w:tcW w:type="dxa" w:w="10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$270.98</w:t>
            </w:r>
          </w:p>
        </w:tc>
        <w:tc>
          <w:tcPr>
            <w:tcW w:type="dxa" w:w="10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$254.42</w:t>
            </w:r>
          </w:p>
        </w:tc>
        <w:tc>
          <w:tcPr>
            <w:tcW w:type="dxa" w:w="9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1.065</w:t>
            </w:r>
          </w:p>
        </w:tc>
      </w:tr>
      <w:tr>
        <w:trPr>
          <w:tblHeader w:val="false"/>
        </w:trPr>
        <w:tc>
          <w:tcPr>
            <w:tcW w:type="dxa" w:w="13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Accessories</w:t>
            </w:r>
          </w:p>
        </w:tc>
        <w:tc>
          <w:tcPr>
            <w:tcW w:type="dxa" w:w="10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$208,063</w:t>
            </w:r>
          </w:p>
        </w:tc>
        <w:tc>
          <w:tcPr>
            <w:tcW w:type="dxa" w:w="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20.9%</w:t>
            </w:r>
          </w:p>
        </w:tc>
        <w:tc>
          <w:tcPr>
            <w:tcW w:type="dxa" w:w="10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$253.74</w:t>
            </w:r>
          </w:p>
        </w:tc>
        <w:tc>
          <w:tcPr>
            <w:tcW w:type="dxa" w:w="7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3.01</w:t>
            </w:r>
          </w:p>
        </w:tc>
        <w:tc>
          <w:tcPr>
            <w:tcW w:type="dxa" w:w="11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49.9%</w:t>
            </w:r>
          </w:p>
        </w:tc>
        <w:tc>
          <w:tcPr>
            <w:tcW w:type="dxa" w:w="10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$252.05</w:t>
            </w:r>
          </w:p>
        </w:tc>
        <w:tc>
          <w:tcPr>
            <w:tcW w:type="dxa" w:w="10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$255.48</w:t>
            </w:r>
          </w:p>
        </w:tc>
        <w:tc>
          <w:tcPr>
            <w:tcW w:type="dxa" w:w="9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0.987</w:t>
            </w:r>
          </w:p>
        </w:tc>
      </w:tr>
      <w:tr>
        <w:trPr>
          <w:tblHeader w:val="false"/>
        </w:trPr>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Home Decor</w:t>
            </w:r>
          </w:p>
        </w:tc>
        <w:tc>
          <w:tcPr>
            <w:tcW w:type="dxa" w:w="10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$197,000</w:t>
            </w:r>
          </w:p>
        </w:tc>
        <w:tc>
          <w:tcPr>
            <w:tcW w:type="dxa" w:w="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19.8%</w:t>
            </w:r>
          </w:p>
        </w:tc>
        <w:tc>
          <w:tcPr>
            <w:tcW w:type="dxa" w:w="1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$259.21</w:t>
            </w:r>
          </w:p>
        </w:tc>
        <w:tc>
          <w:tcPr>
            <w:tcW w:type="dxa" w:w="7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2.98</w:t>
            </w:r>
          </w:p>
        </w:tc>
        <w:tc>
          <w:tcPr>
            <w:tcW w:type="dxa" w:w="11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52.8%</w:t>
            </w:r>
          </w:p>
        </w:tc>
        <w:tc>
          <w:tcPr>
            <w:tcW w:type="dxa" w:w="10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$253.10</w:t>
            </w:r>
          </w:p>
        </w:tc>
        <w:tc>
          <w:tcPr>
            <w:tcW w:type="dxa" w:w="10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$265.29</w:t>
            </w:r>
          </w:p>
        </w:tc>
        <w:tc>
          <w:tcPr>
            <w:tcW w:type="dxa" w:w="9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0.954</w:t>
            </w:r>
          </w:p>
        </w:tc>
      </w:tr>
      <w:tr>
        <w:trPr>
          <w:tblHeader w:val="false"/>
        </w:trPr>
        <w:tc>
          <w:tcPr>
            <w:tcW w:type="dxa" w:w="13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Electronics</w:t>
            </w:r>
          </w:p>
        </w:tc>
        <w:tc>
          <w:tcPr>
            <w:tcW w:type="dxa" w:w="10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$193,683</w:t>
            </w:r>
          </w:p>
        </w:tc>
        <w:tc>
          <w:tcPr>
            <w:tcW w:type="dxa" w:w="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19.4%</w:t>
            </w:r>
          </w:p>
        </w:tc>
        <w:tc>
          <w:tcPr>
            <w:tcW w:type="dxa" w:w="10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$250.88</w:t>
            </w:r>
          </w:p>
        </w:tc>
        <w:tc>
          <w:tcPr>
            <w:tcW w:type="dxa" w:w="7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3.06</w:t>
            </w:r>
          </w:p>
        </w:tc>
        <w:tc>
          <w:tcPr>
            <w:tcW w:type="dxa" w:w="11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49.6%</w:t>
            </w:r>
          </w:p>
        </w:tc>
        <w:tc>
          <w:tcPr>
            <w:tcW w:type="dxa" w:w="10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$249.13</w:t>
            </w:r>
          </w:p>
        </w:tc>
        <w:tc>
          <w:tcPr>
            <w:tcW w:type="dxa" w:w="10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$252.43</w:t>
            </w:r>
          </w:p>
        </w:tc>
        <w:tc>
          <w:tcPr>
            <w:tcW w:type="dxa" w:w="9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0.987</w:t>
            </w:r>
          </w:p>
        </w:tc>
      </w:tr>
      <w:tr>
        <w:trPr>
          <w:tblHeader w:val="false"/>
        </w:trPr>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Sports</w:t>
            </w:r>
          </w:p>
        </w:tc>
        <w:tc>
          <w:tcPr>
            <w:tcW w:type="dxa" w:w="10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$188,858</w:t>
            </w:r>
          </w:p>
        </w:tc>
        <w:tc>
          <w:tcPr>
            <w:tcW w:type="dxa" w:w="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19.0%</w:t>
            </w:r>
          </w:p>
        </w:tc>
        <w:tc>
          <w:tcPr>
            <w:tcW w:type="dxa" w:w="1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$251.14</w:t>
            </w:r>
          </w:p>
        </w:tc>
        <w:tc>
          <w:tcPr>
            <w:tcW w:type="dxa" w:w="7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3.08</w:t>
            </w:r>
          </w:p>
        </w:tc>
        <w:tc>
          <w:tcPr>
            <w:tcW w:type="dxa" w:w="11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46.8%</w:t>
            </w:r>
          </w:p>
        </w:tc>
        <w:tc>
          <w:tcPr>
            <w:tcW w:type="dxa" w:w="10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$250.16</w:t>
            </w:r>
          </w:p>
        </w:tc>
        <w:tc>
          <w:tcPr>
            <w:tcW w:type="dxa" w:w="10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$252.05</w:t>
            </w:r>
          </w:p>
        </w:tc>
        <w:tc>
          <w:tcPr>
            <w:tcW w:type="dxa" w:w="9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0.993</w:t>
            </w:r>
          </w:p>
        </w:tc>
      </w:tr>
    </w:tbl>
    <w:p>
      <w:pPr>
        <w:spacing w:after="240"/>
        <w:jc w:val="center"/>
      </w:pPr>
      <w:r>
        <w:rPr>
          <w:i/>
          <w:iCs/>
          <w:color w:val="52514E"/>
          <w:sz w:val="18"/>
          <w:szCs w:val="18"/>
        </w:rPr>
        <w:t xml:space="preserve">Table 1. Category metrics (ratio = average order with discount ÷ without discount)</w:t>
      </w:r>
    </w:p>
    <w:p>
      <w:pPr>
        <w:pStyle w:val="Heading2"/>
        <w:spacing w:after="120" w:before="240"/>
      </w:pPr>
      <w:r>
        <w:t xml:space="preserve">3.1 Discount priority score</w:t>
      </w:r>
    </w:p>
    <w:p>
      <w:pPr>
        <w:spacing w:after="120" w:line="288"/>
      </w:pPr>
      <w:r>
        <w:t xml:space="preserve">Each category was ranked on four signals and the ranks were averaged: low revenue share, low rating, low subscriber share (low loyalty) and discount responsiveness (ratio). A higher score means a discount is more justified.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440"/>
        <w:gridCol w:w="1440"/>
        <w:gridCol w:w="1440"/>
        <w:gridCol w:w="1440"/>
        <w:gridCol w:w="1440"/>
      </w:tblGrid>
      <w:tr>
        <w:trPr>
          <w:tblHeader/>
        </w:trPr>
        <w:tc>
          <w:tcPr>
            <w:tcW w:type="dxa" w:w="1826"/>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left"/>
            </w:pPr>
            <w:r>
              <w:rPr>
                <w:b/>
                <w:bCs/>
                <w:color w:val="FFFFFF"/>
                <w:sz w:val="19"/>
                <w:szCs w:val="19"/>
              </w:rPr>
              <w:t xml:space="preserve">Category</w:t>
            </w:r>
          </w:p>
        </w:tc>
        <w:tc>
          <w:tcPr>
            <w:tcW w:type="dxa" w:w="144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Low revenue</w:t>
            </w:r>
          </w:p>
        </w:tc>
        <w:tc>
          <w:tcPr>
            <w:tcW w:type="dxa" w:w="144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Low rating</w:t>
            </w:r>
          </w:p>
        </w:tc>
        <w:tc>
          <w:tcPr>
            <w:tcW w:type="dxa" w:w="144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Low loyalty</w:t>
            </w:r>
          </w:p>
        </w:tc>
        <w:tc>
          <w:tcPr>
            <w:tcW w:type="dxa" w:w="144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Disc. response</w:t>
            </w:r>
          </w:p>
        </w:tc>
        <w:tc>
          <w:tcPr>
            <w:tcW w:type="dxa" w:w="144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Priority score</w:t>
            </w:r>
          </w:p>
        </w:tc>
      </w:tr>
      <w:tr>
        <w:trPr>
          <w:tblHeader w:val="false"/>
        </w:trPr>
        <w:tc>
          <w:tcPr>
            <w:tcW w:type="dxa" w:w="18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Sports</w:t>
            </w:r>
          </w:p>
        </w:tc>
        <w:tc>
          <w:tcPr>
            <w:tcW w:type="dxa" w:w="144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0.8</w:t>
            </w:r>
          </w:p>
        </w:tc>
        <w:tc>
          <w:tcPr>
            <w:tcW w:type="dxa" w:w="144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0.0</w:t>
            </w:r>
          </w:p>
        </w:tc>
        <w:tc>
          <w:tcPr>
            <w:tcW w:type="dxa" w:w="144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0.8</w:t>
            </w:r>
          </w:p>
        </w:tc>
        <w:tc>
          <w:tcPr>
            <w:tcW w:type="dxa" w:w="144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0.8</w:t>
            </w:r>
          </w:p>
        </w:tc>
        <w:tc>
          <w:tcPr>
            <w:tcW w:type="dxa" w:w="144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0.60</w:t>
            </w:r>
          </w:p>
        </w:tc>
      </w:tr>
      <w:tr>
        <w:trPr>
          <w:tblHeader w:val="false"/>
        </w:trPr>
        <w:tc>
          <w:tcPr>
            <w:tcW w:type="dxa" w:w="18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Clothing</w:t>
            </w:r>
          </w:p>
        </w:tc>
        <w:tc>
          <w:tcPr>
            <w:tcW w:type="dxa" w:w="144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0.0</w:t>
            </w:r>
          </w:p>
        </w:tc>
        <w:tc>
          <w:tcPr>
            <w:tcW w:type="dxa" w:w="144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0.4</w:t>
            </w:r>
          </w:p>
        </w:tc>
        <w:tc>
          <w:tcPr>
            <w:tcW w:type="dxa" w:w="144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0.6</w:t>
            </w:r>
          </w:p>
        </w:tc>
        <w:tc>
          <w:tcPr>
            <w:tcW w:type="dxa" w:w="144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1.0</w:t>
            </w:r>
          </w:p>
        </w:tc>
        <w:tc>
          <w:tcPr>
            <w:tcW w:type="dxa" w:w="144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0.50</w:t>
            </w:r>
          </w:p>
        </w:tc>
      </w:tr>
      <w:tr>
        <w:trPr>
          <w:tblHeader w:val="false"/>
        </w:trPr>
        <w:tc>
          <w:tcPr>
            <w:tcW w:type="dxa" w:w="18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Electronics</w:t>
            </w:r>
          </w:p>
        </w:tc>
        <w:tc>
          <w:tcPr>
            <w:tcW w:type="dxa" w:w="144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0.6</w:t>
            </w:r>
          </w:p>
        </w:tc>
        <w:tc>
          <w:tcPr>
            <w:tcW w:type="dxa" w:w="144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0.2</w:t>
            </w:r>
          </w:p>
        </w:tc>
        <w:tc>
          <w:tcPr>
            <w:tcW w:type="dxa" w:w="144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0.4</w:t>
            </w:r>
          </w:p>
        </w:tc>
        <w:tc>
          <w:tcPr>
            <w:tcW w:type="dxa" w:w="144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0.6</w:t>
            </w:r>
          </w:p>
        </w:tc>
        <w:tc>
          <w:tcPr>
            <w:tcW w:type="dxa" w:w="144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0.45</w:t>
            </w:r>
          </w:p>
        </w:tc>
      </w:tr>
      <w:tr>
        <w:trPr>
          <w:tblHeader w:val="false"/>
        </w:trPr>
        <w:tc>
          <w:tcPr>
            <w:tcW w:type="dxa" w:w="18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Home Decor</w:t>
            </w:r>
          </w:p>
        </w:tc>
        <w:tc>
          <w:tcPr>
            <w:tcW w:type="dxa" w:w="144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0.4</w:t>
            </w:r>
          </w:p>
        </w:tc>
        <w:tc>
          <w:tcPr>
            <w:tcW w:type="dxa" w:w="144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0.8</w:t>
            </w:r>
          </w:p>
        </w:tc>
        <w:tc>
          <w:tcPr>
            <w:tcW w:type="dxa" w:w="144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0.0</w:t>
            </w:r>
          </w:p>
        </w:tc>
        <w:tc>
          <w:tcPr>
            <w:tcW w:type="dxa" w:w="144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0.2</w:t>
            </w:r>
          </w:p>
        </w:tc>
        <w:tc>
          <w:tcPr>
            <w:tcW w:type="dxa" w:w="144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0.35</w:t>
            </w:r>
          </w:p>
        </w:tc>
      </w:tr>
      <w:tr>
        <w:trPr>
          <w:tblHeader w:val="false"/>
        </w:trPr>
        <w:tc>
          <w:tcPr>
            <w:tcW w:type="dxa" w:w="18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Accessories</w:t>
            </w:r>
          </w:p>
        </w:tc>
        <w:tc>
          <w:tcPr>
            <w:tcW w:type="dxa" w:w="144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0.2</w:t>
            </w:r>
          </w:p>
        </w:tc>
        <w:tc>
          <w:tcPr>
            <w:tcW w:type="dxa" w:w="144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0.6</w:t>
            </w:r>
          </w:p>
        </w:tc>
        <w:tc>
          <w:tcPr>
            <w:tcW w:type="dxa" w:w="144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0.2</w:t>
            </w:r>
          </w:p>
        </w:tc>
        <w:tc>
          <w:tcPr>
            <w:tcW w:type="dxa" w:w="144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0.4</w:t>
            </w:r>
          </w:p>
        </w:tc>
        <w:tc>
          <w:tcPr>
            <w:tcW w:type="dxa" w:w="144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0.35</w:t>
            </w:r>
          </w:p>
        </w:tc>
      </w:tr>
    </w:tbl>
    <w:p>
      <w:pPr>
        <w:spacing w:after="120"/>
      </w:pPr>
    </w:p>
    <w:p>
      <w:pPr>
        <w:pStyle w:val="Heading2"/>
        <w:spacing w:after="120" w:before="240"/>
      </w:pPr>
      <w:r>
        <w:t xml:space="preserve">3.2 Recommendation and reasoning</w:t>
      </w:r>
    </w:p>
    <w:p>
      <w:pPr>
        <w:pStyle w:val="ListParagraph"/>
        <w:numPr>
          <w:ilvl w:val="0"/>
          <w:numId w:val="2"/>
        </w:numPr>
        <w:spacing w:after="80" w:line="276"/>
      </w:pPr>
      <w:r>
        <w:rPr>
          <w:b/>
          <w:bCs/>
        </w:rPr>
        <w:t xml:space="preserve">Sports – apply discounts (priority 0.60). </w:t>
      </w:r>
      <w:r>
        <w:t xml:space="preserve">It has the lowest revenue ($188,858, 19.0%) and the lowest subscriber share (46.8%), so buyers are the least loyal. Yet it has the highest rating (3.08), so customers like the products. Spend holds up when discounted ($250 vs $252). A discount here brings in new buyers rather than subsidising existing ones.</w:t>
      </w:r>
    </w:p>
    <w:p>
      <w:pPr>
        <w:pStyle w:val="ListParagraph"/>
        <w:numPr>
          <w:ilvl w:val="0"/>
          <w:numId w:val="2"/>
        </w:numPr>
        <w:spacing w:after="80" w:line="276"/>
      </w:pPr>
      <w:r>
        <w:rPr>
          <w:b/>
          <w:bCs/>
        </w:rPr>
        <w:t xml:space="preserve">Clothing – use bundle or threshold discounts (priority 0.50). </w:t>
      </w:r>
      <w:r>
        <w:t xml:space="preserve">Clothing is already the top category, but it is the only one where discounted orders are larger ($271 vs $254, +6.5%). Discounts should be designed to increase basket size, e.g. “10% off orders over $300”, not blanket price cuts.</w:t>
      </w:r>
    </w:p>
    <w:p>
      <w:pPr>
        <w:pStyle w:val="ListParagraph"/>
        <w:numPr>
          <w:ilvl w:val="0"/>
          <w:numId w:val="2"/>
        </w:numPr>
        <w:spacing w:after="80" w:line="276"/>
      </w:pPr>
      <w:r>
        <w:rPr>
          <w:b/>
          <w:bCs/>
        </w:rPr>
        <w:t xml:space="preserve">Home Decor – do not discount. </w:t>
      </w:r>
      <w:r>
        <w:t xml:space="preserve">Discounted orders are 5% smaller ($253 vs $265), so discounts lose revenue. It has the most subscribers (52.8%) but the lowest rating (2.98), which points to product quality or description issues rather than price.</w:t>
      </w:r>
    </w:p>
    <w:p>
      <w:pPr>
        <w:pStyle w:val="ListParagraph"/>
        <w:numPr>
          <w:ilvl w:val="0"/>
          <w:numId w:val="2"/>
        </w:numPr>
        <w:spacing w:after="80" w:line="276"/>
      </w:pPr>
      <w:r>
        <w:rPr>
          <w:b/>
          <w:bCs/>
        </w:rPr>
        <w:t xml:space="preserve">Electronics and Accessories </w:t>
      </w:r>
      <w:r>
        <w:t xml:space="preserve">show a neutral response (ratio 0.99) and need only occasional seasonal promotions.</w:t>
      </w:r>
    </w:p>
    <w:p>
      <w:pPr>
        <w:spacing w:after="120" w:line="288"/>
      </w:pPr>
      <w:r>
        <w:rPr>
          <w:b/>
          <w:bCs/>
        </w:rPr>
        <w:t xml:space="preserve">Caveat: </w:t>
      </w:r>
      <w:r>
        <w:t xml:space="preserve">all five categories are close (19–21% of revenue, ratings 2.98–3.08), so the ranking is a relative priority. Item-to-category labels in the dataset are not always consistent (e.g. Football appears under Clothing), so recommendations are made at category level.</w:t>
      </w:r>
    </w:p>
    <w:p>
      <w:r>
        <w:br w:type="page"/>
      </w:r>
    </w:p>
    <w:p>
      <w:pPr>
        <w:pStyle w:val="Heading1"/>
        <w:spacing w:after="160" w:before="320"/>
      </w:pPr>
      <w:r>
        <w:t xml:space="preserve">4. Task 2 – Card spending by age, season and location</w:t>
      </w:r>
    </w:p>
    <w:p>
      <w:pPr>
        <w:spacing w:after="120" w:line="288"/>
      </w:pPr>
      <w:r>
        <w:t xml:space="preserve">1,574 of 3,900 purchases (40.4%) were paid by credit or debit card, worth $405,807 (40.7% of revenue). Credit cards (802) are used slightly more than debit cards (772).</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95675"/>
                    </a:xfrm>
                    <a:prstGeom prst="rect">
                      <a:avLst/>
                    </a:prstGeom>
                  </pic:spPr>
                </pic:pic>
              </a:graphicData>
            </a:graphic>
          </wp:inline>
        </w:drawing>
      </w:r>
    </w:p>
    <w:p>
      <w:pPr>
        <w:spacing w:after="240"/>
        <w:jc w:val="center"/>
      </w:pPr>
      <w:r>
        <w:rPr>
          <w:i/>
          <w:iCs/>
          <w:color w:val="52514E"/>
          <w:sz w:val="18"/>
          <w:szCs w:val="18"/>
        </w:rPr>
        <w:t xml:space="preserve">Figure 2. Card spending by age group and season</w:t>
      </w:r>
    </w:p>
    <w:p>
      <w:pPr>
        <w:pStyle w:val="Heading2"/>
        <w:spacing w:after="120" w:before="240"/>
      </w:pPr>
      <w:r>
        <w:t xml:space="preserve">4.1 Card spending by 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400"/>
        <w:gridCol w:w="1700"/>
        <w:gridCol w:w="1426"/>
        <w:gridCol w:w="1800"/>
      </w:tblGrid>
      <w:tr>
        <w:trPr>
          <w:tblHeader/>
        </w:trPr>
        <w:tc>
          <w:tcPr>
            <w:tcW w:type="dxa" w:w="13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left"/>
            </w:pPr>
            <w:r>
              <w:rPr>
                <w:b/>
                <w:bCs/>
                <w:color w:val="FFFFFF"/>
                <w:sz w:val="19"/>
                <w:szCs w:val="19"/>
              </w:rPr>
              <w:t xml:space="preserve">Age group</w:t>
            </w:r>
          </w:p>
        </w:tc>
        <w:tc>
          <w:tcPr>
            <w:tcW w:type="dxa" w:w="14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Credit card</w:t>
            </w:r>
          </w:p>
        </w:tc>
        <w:tc>
          <w:tcPr>
            <w:tcW w:type="dxa" w:w="14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Debit card</w:t>
            </w:r>
          </w:p>
        </w:tc>
        <w:tc>
          <w:tcPr>
            <w:tcW w:type="dxa" w:w="17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Total card spend</w:t>
            </w:r>
          </w:p>
        </w:tc>
        <w:tc>
          <w:tcPr>
            <w:tcW w:type="dxa" w:w="1426"/>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Transactions</w:t>
            </w:r>
          </w:p>
        </w:tc>
        <w:tc>
          <w:tcPr>
            <w:tcW w:type="dxa" w:w="18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Avg (credit / debit)</w:t>
            </w:r>
          </w:p>
        </w:tc>
      </w:tr>
      <w:tr>
        <w:trPr>
          <w:tblHeader w:val="false"/>
        </w:trPr>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18–25</w:t>
            </w:r>
          </w:p>
        </w:tc>
        <w:tc>
          <w:tcPr>
            <w:tcW w:type="dxa" w:w="14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$37,198</w:t>
            </w:r>
          </w:p>
        </w:tc>
        <w:tc>
          <w:tcPr>
            <w:tcW w:type="dxa" w:w="14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$33,169</w:t>
            </w:r>
          </w:p>
        </w:tc>
        <w:tc>
          <w:tcPr>
            <w:tcW w:type="dxa" w:w="17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$70,367</w:t>
            </w:r>
          </w:p>
        </w:tc>
        <w:tc>
          <w:tcPr>
            <w:tcW w:type="dxa" w:w="14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269</w:t>
            </w:r>
          </w:p>
        </w:tc>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$257 / $267</w:t>
            </w:r>
          </w:p>
        </w:tc>
      </w:tr>
      <w:tr>
        <w:trPr>
          <w:tblHeader w:val="false"/>
        </w:trPr>
        <w:tc>
          <w:tcPr>
            <w:tcW w:type="dxa" w:w="13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26–35</w:t>
            </w:r>
          </w:p>
        </w:tc>
        <w:tc>
          <w:tcPr>
            <w:tcW w:type="dxa" w:w="14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$41,641</w:t>
            </w:r>
          </w:p>
        </w:tc>
        <w:tc>
          <w:tcPr>
            <w:tcW w:type="dxa" w:w="14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$40,181</w:t>
            </w:r>
          </w:p>
        </w:tc>
        <w:tc>
          <w:tcPr>
            <w:tcW w:type="dxa" w:w="17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$81,821</w:t>
            </w:r>
          </w:p>
        </w:tc>
        <w:tc>
          <w:tcPr>
            <w:tcW w:type="dxa" w:w="14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321</w:t>
            </w:r>
          </w:p>
        </w:tc>
        <w:tc>
          <w:tcPr>
            <w:tcW w:type="dxa" w:w="1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$259 / $251</w:t>
            </w:r>
          </w:p>
        </w:tc>
      </w:tr>
      <w:tr>
        <w:trPr>
          <w:tblHeader w:val="false"/>
        </w:trPr>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36–45</w:t>
            </w:r>
          </w:p>
        </w:tc>
        <w:tc>
          <w:tcPr>
            <w:tcW w:type="dxa" w:w="14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$45,720</w:t>
            </w:r>
          </w:p>
        </w:tc>
        <w:tc>
          <w:tcPr>
            <w:tcW w:type="dxa" w:w="14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$42,803</w:t>
            </w:r>
          </w:p>
        </w:tc>
        <w:tc>
          <w:tcPr>
            <w:tcW w:type="dxa" w:w="17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$88,523</w:t>
            </w:r>
          </w:p>
        </w:tc>
        <w:tc>
          <w:tcPr>
            <w:tcW w:type="dxa" w:w="14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347</w:t>
            </w:r>
          </w:p>
        </w:tc>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$269 / $242</w:t>
            </w:r>
          </w:p>
        </w:tc>
      </w:tr>
      <w:tr>
        <w:trPr>
          <w:tblHeader w:val="false"/>
        </w:trPr>
        <w:tc>
          <w:tcPr>
            <w:tcW w:type="dxa" w:w="13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46–55</w:t>
            </w:r>
          </w:p>
        </w:tc>
        <w:tc>
          <w:tcPr>
            <w:tcW w:type="dxa" w:w="14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$44,988</w:t>
            </w:r>
          </w:p>
        </w:tc>
        <w:tc>
          <w:tcPr>
            <w:tcW w:type="dxa" w:w="14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$39,893</w:t>
            </w:r>
          </w:p>
        </w:tc>
        <w:tc>
          <w:tcPr>
            <w:tcW w:type="dxa" w:w="17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$84,881</w:t>
            </w:r>
          </w:p>
        </w:tc>
        <w:tc>
          <w:tcPr>
            <w:tcW w:type="dxa" w:w="14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328</w:t>
            </w:r>
          </w:p>
        </w:tc>
        <w:tc>
          <w:tcPr>
            <w:tcW w:type="dxa" w:w="1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$249 / $271</w:t>
            </w:r>
          </w:p>
        </w:tc>
      </w:tr>
      <w:tr>
        <w:trPr>
          <w:tblHeader w:val="false"/>
        </w:trPr>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56–65</w:t>
            </w:r>
          </w:p>
        </w:tc>
        <w:tc>
          <w:tcPr>
            <w:tcW w:type="dxa" w:w="14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$40,125</w:t>
            </w:r>
          </w:p>
        </w:tc>
        <w:tc>
          <w:tcPr>
            <w:tcW w:type="dxa" w:w="14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$40,090</w:t>
            </w:r>
          </w:p>
        </w:tc>
        <w:tc>
          <w:tcPr>
            <w:tcW w:type="dxa" w:w="17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$80,215</w:t>
            </w:r>
          </w:p>
        </w:tc>
        <w:tc>
          <w:tcPr>
            <w:tcW w:type="dxa" w:w="14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309</w:t>
            </w:r>
          </w:p>
        </w:tc>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$277 / $244</w:t>
            </w:r>
          </w:p>
        </w:tc>
      </w:tr>
    </w:tbl>
    <w:p>
      <w:pPr>
        <w:spacing w:after="120"/>
      </w:pPr>
    </w:p>
    <w:p>
      <w:pPr>
        <w:pStyle w:val="ListParagraph"/>
        <w:numPr>
          <w:ilvl w:val="0"/>
          <w:numId w:val="2"/>
        </w:numPr>
        <w:spacing w:after="80" w:line="276"/>
      </w:pPr>
      <w:r>
        <w:t xml:space="preserve">36–45 year olds spend the most on cards ($88.5K) and 18–25 the least ($70.4K, about 21% lower).</w:t>
      </w:r>
    </w:p>
    <w:p>
      <w:pPr>
        <w:pStyle w:val="ListParagraph"/>
        <w:numPr>
          <w:ilvl w:val="0"/>
          <w:numId w:val="2"/>
        </w:numPr>
        <w:spacing w:after="80" w:line="276"/>
      </w:pPr>
      <w:r>
        <w:t xml:space="preserve">Credit card spend exceeds debit card spend in every age group.</w:t>
      </w:r>
    </w:p>
    <w:p>
      <w:pPr>
        <w:pStyle w:val="ListParagraph"/>
        <w:numPr>
          <w:ilvl w:val="0"/>
          <w:numId w:val="2"/>
        </w:numPr>
        <w:spacing w:after="80" w:line="276"/>
      </w:pPr>
      <w:r>
        <w:t xml:space="preserve">Spend per card purchase is $242–$277 in every age group. The higher totals come from more card purchases, not larger ones. No customers in the data are over 65.</w:t>
      </w:r>
    </w:p>
    <w:p>
      <w:pPr>
        <w:pStyle w:val="Heading2"/>
        <w:spacing w:after="120" w:before="240"/>
      </w:pPr>
      <w:r>
        <w:t xml:space="preserve">4.2 Effect of season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00"/>
        <w:gridCol w:w="1800"/>
        <w:gridCol w:w="1926"/>
      </w:tblGrid>
      <w:tr>
        <w:trPr>
          <w:tblHeader/>
        </w:trPr>
        <w:tc>
          <w:tcPr>
            <w:tcW w:type="dxa" w:w="18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left"/>
            </w:pPr>
            <w:r>
              <w:rPr>
                <w:b/>
                <w:bCs/>
                <w:color w:val="FFFFFF"/>
                <w:sz w:val="19"/>
                <w:szCs w:val="19"/>
              </w:rPr>
              <w:t xml:space="preserve">Season</w:t>
            </w:r>
          </w:p>
        </w:tc>
        <w:tc>
          <w:tcPr>
            <w:tcW w:type="dxa" w:w="17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Transactions</w:t>
            </w:r>
          </w:p>
        </w:tc>
        <w:tc>
          <w:tcPr>
            <w:tcW w:type="dxa" w:w="18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Card spend</w:t>
            </w:r>
          </w:p>
        </w:tc>
        <w:tc>
          <w:tcPr>
            <w:tcW w:type="dxa" w:w="18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Avg purchase</w:t>
            </w:r>
          </w:p>
        </w:tc>
        <w:tc>
          <w:tcPr>
            <w:tcW w:type="dxa" w:w="1926"/>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Share of card spend</w:t>
            </w:r>
          </w:p>
        </w:tc>
      </w:tr>
      <w:tr>
        <w:trPr>
          <w:tblHeader w:val="false"/>
        </w:trPr>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Spring</w:t>
            </w:r>
          </w:p>
        </w:tc>
        <w:tc>
          <w:tcPr>
            <w:tcW w:type="dxa" w:w="17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416</w:t>
            </w:r>
          </w:p>
        </w:tc>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$105,748</w:t>
            </w:r>
          </w:p>
        </w:tc>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$254.20</w:t>
            </w:r>
          </w:p>
        </w:tc>
        <w:tc>
          <w:tcPr>
            <w:tcW w:type="dxa" w:w="19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26.1%</w:t>
            </w:r>
          </w:p>
        </w:tc>
      </w:tr>
      <w:tr>
        <w:trPr>
          <w:tblHeader w:val="false"/>
        </w:trPr>
        <w:tc>
          <w:tcPr>
            <w:tcW w:type="dxa" w:w="1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Summer</w:t>
            </w:r>
          </w:p>
        </w:tc>
        <w:tc>
          <w:tcPr>
            <w:tcW w:type="dxa" w:w="17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374</w:t>
            </w:r>
          </w:p>
        </w:tc>
        <w:tc>
          <w:tcPr>
            <w:tcW w:type="dxa" w:w="1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$96,989</w:t>
            </w:r>
          </w:p>
        </w:tc>
        <w:tc>
          <w:tcPr>
            <w:tcW w:type="dxa" w:w="1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$259.33</w:t>
            </w:r>
          </w:p>
        </w:tc>
        <w:tc>
          <w:tcPr>
            <w:tcW w:type="dxa" w:w="19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23.9%</w:t>
            </w:r>
          </w:p>
        </w:tc>
      </w:tr>
      <w:tr>
        <w:trPr>
          <w:tblHeader w:val="false"/>
        </w:trPr>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Fall</w:t>
            </w:r>
          </w:p>
        </w:tc>
        <w:tc>
          <w:tcPr>
            <w:tcW w:type="dxa" w:w="17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389</w:t>
            </w:r>
          </w:p>
        </w:tc>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$99,419</w:t>
            </w:r>
          </w:p>
        </w:tc>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$255.58</w:t>
            </w:r>
          </w:p>
        </w:tc>
        <w:tc>
          <w:tcPr>
            <w:tcW w:type="dxa" w:w="19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24.5%</w:t>
            </w:r>
          </w:p>
        </w:tc>
      </w:tr>
      <w:tr>
        <w:trPr>
          <w:tblHeader w:val="false"/>
        </w:trPr>
        <w:tc>
          <w:tcPr>
            <w:tcW w:type="dxa" w:w="1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Winter</w:t>
            </w:r>
          </w:p>
        </w:tc>
        <w:tc>
          <w:tcPr>
            <w:tcW w:type="dxa" w:w="17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395</w:t>
            </w:r>
          </w:p>
        </w:tc>
        <w:tc>
          <w:tcPr>
            <w:tcW w:type="dxa" w:w="1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$103,651</w:t>
            </w:r>
          </w:p>
        </w:tc>
        <w:tc>
          <w:tcPr>
            <w:tcW w:type="dxa" w:w="1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$262.41</w:t>
            </w:r>
          </w:p>
        </w:tc>
        <w:tc>
          <w:tcPr>
            <w:tcW w:type="dxa" w:w="19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25.5%</w:t>
            </w:r>
          </w:p>
        </w:tc>
      </w:tr>
    </w:tbl>
    <w:p>
      <w:pPr>
        <w:spacing w:after="120"/>
      </w:pPr>
    </w:p>
    <w:p>
      <w:pPr>
        <w:pStyle w:val="ListParagraph"/>
        <w:numPr>
          <w:ilvl w:val="0"/>
          <w:numId w:val="2"/>
        </w:numPr>
        <w:spacing w:after="80" w:line="276"/>
      </w:pPr>
      <w:r>
        <w:t xml:space="preserve">Spring brings the most card spend (26.1%) and Summer the least (23.9%). Winter has the highest average purchase ($262).</w:t>
      </w:r>
    </w:p>
    <w:p>
      <w:pPr>
        <w:pStyle w:val="ListParagraph"/>
        <w:numPr>
          <w:ilvl w:val="0"/>
          <w:numId w:val="2"/>
        </w:numPr>
        <w:spacing w:after="80" w:line="276"/>
      </w:pPr>
      <w:r>
        <w:t xml:space="preserve">Age × season hotspots: 36–45 in Spring ($25.9K, the largest cell), 46–55 in Summer ($24.2K) and 26–35 in Spring ($23.4K). Young shoppers (18–25) peak in Winter ($20.7K), consistent with holiday shopping.</w:t>
      </w:r>
    </w:p>
    <w:p>
      <w:pPr>
        <w:pStyle w:val="Heading2"/>
        <w:spacing w:after="120" w:before="240"/>
      </w:pPr>
      <w:r>
        <w:t xml:space="preserve">4.3 Effect of location</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95675"/>
                    </a:xfrm>
                    <a:prstGeom prst="rect">
                      <a:avLst/>
                    </a:prstGeom>
                  </pic:spPr>
                </pic:pic>
              </a:graphicData>
            </a:graphic>
          </wp:inline>
        </w:drawing>
      </w:r>
    </w:p>
    <w:p>
      <w:pPr>
        <w:spacing w:after="240"/>
        <w:jc w:val="center"/>
      </w:pPr>
      <w:r>
        <w:rPr>
          <w:i/>
          <w:iCs/>
          <w:color w:val="52514E"/>
          <w:sz w:val="18"/>
          <w:szCs w:val="18"/>
        </w:rPr>
        <w:t xml:space="preserve">Figure 3. Five-city comparison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00"/>
        <w:gridCol w:w="1800"/>
        <w:gridCol w:w="1926"/>
      </w:tblGrid>
      <w:tr>
        <w:trPr>
          <w:tblHeader/>
        </w:trPr>
        <w:tc>
          <w:tcPr>
            <w:tcW w:type="dxa" w:w="18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left"/>
            </w:pPr>
            <w:r>
              <w:rPr>
                <w:b/>
                <w:bCs/>
                <w:color w:val="FFFFFF"/>
                <w:sz w:val="19"/>
                <w:szCs w:val="19"/>
              </w:rPr>
              <w:t xml:space="preserve">City</w:t>
            </w:r>
          </w:p>
        </w:tc>
        <w:tc>
          <w:tcPr>
            <w:tcW w:type="dxa" w:w="17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Transactions</w:t>
            </w:r>
          </w:p>
        </w:tc>
        <w:tc>
          <w:tcPr>
            <w:tcW w:type="dxa" w:w="18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Card spend</w:t>
            </w:r>
          </w:p>
        </w:tc>
        <w:tc>
          <w:tcPr>
            <w:tcW w:type="dxa" w:w="18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Avg purchase</w:t>
            </w:r>
          </w:p>
        </w:tc>
        <w:tc>
          <w:tcPr>
            <w:tcW w:type="dxa" w:w="1926"/>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Card share of purchases</w:t>
            </w:r>
          </w:p>
        </w:tc>
      </w:tr>
      <w:tr>
        <w:trPr>
          <w:tblHeader w:val="false"/>
        </w:trPr>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New York</w:t>
            </w:r>
          </w:p>
        </w:tc>
        <w:tc>
          <w:tcPr>
            <w:tcW w:type="dxa" w:w="17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347</w:t>
            </w:r>
          </w:p>
        </w:tc>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$90,703</w:t>
            </w:r>
          </w:p>
        </w:tc>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$261.39</w:t>
            </w:r>
          </w:p>
        </w:tc>
        <w:tc>
          <w:tcPr>
            <w:tcW w:type="dxa" w:w="19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43%</w:t>
            </w:r>
          </w:p>
        </w:tc>
      </w:tr>
      <w:tr>
        <w:trPr>
          <w:tblHeader w:val="false"/>
        </w:trPr>
        <w:tc>
          <w:tcPr>
            <w:tcW w:type="dxa" w:w="1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Los Angeles</w:t>
            </w:r>
          </w:p>
        </w:tc>
        <w:tc>
          <w:tcPr>
            <w:tcW w:type="dxa" w:w="17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331</w:t>
            </w:r>
          </w:p>
        </w:tc>
        <w:tc>
          <w:tcPr>
            <w:tcW w:type="dxa" w:w="1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$83,298</w:t>
            </w:r>
          </w:p>
        </w:tc>
        <w:tc>
          <w:tcPr>
            <w:tcW w:type="dxa" w:w="1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$251.66</w:t>
            </w:r>
          </w:p>
        </w:tc>
        <w:tc>
          <w:tcPr>
            <w:tcW w:type="dxa" w:w="19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41%</w:t>
            </w:r>
          </w:p>
        </w:tc>
      </w:tr>
      <w:tr>
        <w:trPr>
          <w:tblHeader w:val="false"/>
        </w:trPr>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Chicago</w:t>
            </w:r>
          </w:p>
        </w:tc>
        <w:tc>
          <w:tcPr>
            <w:tcW w:type="dxa" w:w="17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315</w:t>
            </w:r>
          </w:p>
        </w:tc>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$81,731</w:t>
            </w:r>
          </w:p>
        </w:tc>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$259.46</w:t>
            </w:r>
          </w:p>
        </w:tc>
        <w:tc>
          <w:tcPr>
            <w:tcW w:type="dxa" w:w="19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41%</w:t>
            </w:r>
          </w:p>
        </w:tc>
      </w:tr>
      <w:tr>
        <w:trPr>
          <w:tblHeader w:val="false"/>
        </w:trPr>
        <w:tc>
          <w:tcPr>
            <w:tcW w:type="dxa" w:w="1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Houston</w:t>
            </w:r>
          </w:p>
        </w:tc>
        <w:tc>
          <w:tcPr>
            <w:tcW w:type="dxa" w:w="17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301</w:t>
            </w:r>
          </w:p>
        </w:tc>
        <w:tc>
          <w:tcPr>
            <w:tcW w:type="dxa" w:w="1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$78,588</w:t>
            </w:r>
          </w:p>
        </w:tc>
        <w:tc>
          <w:tcPr>
            <w:tcW w:type="dxa" w:w="1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$261.09</w:t>
            </w:r>
          </w:p>
        </w:tc>
        <w:tc>
          <w:tcPr>
            <w:tcW w:type="dxa" w:w="19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39%</w:t>
            </w:r>
          </w:p>
        </w:tc>
      </w:tr>
      <w:tr>
        <w:trPr>
          <w:tblHeader w:val="false"/>
        </w:trPr>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Miami</w:t>
            </w:r>
          </w:p>
        </w:tc>
        <w:tc>
          <w:tcPr>
            <w:tcW w:type="dxa" w:w="17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280</w:t>
            </w:r>
          </w:p>
        </w:tc>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$71,488</w:t>
            </w:r>
          </w:p>
        </w:tc>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$255.31</w:t>
            </w:r>
          </w:p>
        </w:tc>
        <w:tc>
          <w:tcPr>
            <w:tcW w:type="dxa" w:w="19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38%</w:t>
            </w:r>
          </w:p>
        </w:tc>
      </w:tr>
    </w:tbl>
    <w:p>
      <w:pPr>
        <w:spacing w:after="120"/>
      </w:pPr>
    </w:p>
    <w:p>
      <w:pPr>
        <w:pStyle w:val="ListParagraph"/>
        <w:numPr>
          <w:ilvl w:val="0"/>
          <w:numId w:val="2"/>
        </w:numPr>
        <w:spacing w:after="80" w:line="276"/>
      </w:pPr>
      <w:r>
        <w:t xml:space="preserve">New York leads in card spend ($90.7K) and card usage (43%); Miami is lowest ($71.5K, 38%).</w:t>
      </w:r>
    </w:p>
    <w:p>
      <w:pPr>
        <w:pStyle w:val="ListParagraph"/>
        <w:numPr>
          <w:ilvl w:val="0"/>
          <w:numId w:val="2"/>
        </w:numPr>
        <w:spacing w:after="80" w:line="276"/>
      </w:pPr>
      <w:r>
        <w:t xml:space="preserve">Strongest city–season combinations: New York in Fall ($28.3K) and Los Angeles in Spring ($25.0K). Weakest: Miami in Fall ($13.5K) and Houston in Fall ($15.7K).</w:t>
      </w:r>
    </w:p>
    <w:p>
      <w:pPr>
        <w:pStyle w:val="Heading2"/>
        <w:spacing w:after="120" w:before="240"/>
      </w:pPr>
      <w:r>
        <w:t xml:space="preserve">4.4 Statistical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800"/>
        <w:gridCol w:w="1900"/>
        <w:gridCol w:w="1900"/>
      </w:tblGrid>
      <w:tr>
        <w:trPr>
          <w:tblHeader/>
        </w:trPr>
        <w:tc>
          <w:tcPr>
            <w:tcW w:type="dxa" w:w="3426"/>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left"/>
            </w:pPr>
            <w:r>
              <w:rPr>
                <w:b/>
                <w:bCs/>
                <w:color w:val="FFFFFF"/>
                <w:sz w:val="19"/>
                <w:szCs w:val="19"/>
              </w:rPr>
              <w:t xml:space="preserve">Test</w:t>
            </w:r>
          </w:p>
        </w:tc>
        <w:tc>
          <w:tcPr>
            <w:tcW w:type="dxa" w:w="18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ANOVA p</w:t>
            </w:r>
          </w:p>
        </w:tc>
        <w:tc>
          <w:tcPr>
            <w:tcW w:type="dxa" w:w="19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Kruskal-Wallis p</w:t>
            </w:r>
          </w:p>
        </w:tc>
        <w:tc>
          <w:tcPr>
            <w:tcW w:type="dxa" w:w="19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Significant (p &lt; 0.05)?</w:t>
            </w:r>
          </w:p>
        </w:tc>
      </w:tr>
      <w:tr>
        <w:trPr>
          <w:tblHeader w:val="false"/>
        </w:trPr>
        <w:tc>
          <w:tcPr>
            <w:tcW w:type="dxa" w:w="34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Card spend vs age group</w:t>
            </w:r>
          </w:p>
        </w:tc>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0.9717</w:t>
            </w:r>
          </w:p>
        </w:tc>
        <w:tc>
          <w:tcPr>
            <w:tcW w:type="dxa" w:w="19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0.9748</w:t>
            </w:r>
          </w:p>
        </w:tc>
        <w:tc>
          <w:tcPr>
            <w:tcW w:type="dxa" w:w="19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No</w:t>
            </w:r>
          </w:p>
        </w:tc>
      </w:tr>
      <w:tr>
        <w:trPr>
          <w:tblHeader w:val="false"/>
        </w:trPr>
        <w:tc>
          <w:tcPr>
            <w:tcW w:type="dxa" w:w="34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Card spend vs season</w:t>
            </w:r>
          </w:p>
        </w:tc>
        <w:tc>
          <w:tcPr>
            <w:tcW w:type="dxa" w:w="1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0.8431</w:t>
            </w:r>
          </w:p>
        </w:tc>
        <w:tc>
          <w:tcPr>
            <w:tcW w:type="dxa" w:w="19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0.8279</w:t>
            </w:r>
          </w:p>
        </w:tc>
        <w:tc>
          <w:tcPr>
            <w:tcW w:type="dxa" w:w="19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No</w:t>
            </w:r>
          </w:p>
        </w:tc>
      </w:tr>
      <w:tr>
        <w:trPr>
          <w:tblHeader w:val="false"/>
        </w:trPr>
        <w:tc>
          <w:tcPr>
            <w:tcW w:type="dxa" w:w="34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Card spend vs city</w:t>
            </w:r>
          </w:p>
        </w:tc>
        <w:tc>
          <w:tcPr>
            <w:tcW w:type="dxa" w:w="18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0.8881</w:t>
            </w:r>
          </w:p>
        </w:tc>
        <w:tc>
          <w:tcPr>
            <w:tcW w:type="dxa" w:w="19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0.8892</w:t>
            </w:r>
          </w:p>
        </w:tc>
        <w:tc>
          <w:tcPr>
            <w:tcW w:type="dxa" w:w="19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No</w:t>
            </w:r>
          </w:p>
        </w:tc>
      </w:tr>
      <w:tr>
        <w:trPr>
          <w:tblHeader w:val="false"/>
        </w:trPr>
        <w:tc>
          <w:tcPr>
            <w:tcW w:type="dxa" w:w="34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Card use vs age group (chi-square)</w:t>
            </w:r>
          </w:p>
        </w:tc>
        <w:tc>
          <w:tcPr>
            <w:tcW w:type="dxa" w:w="18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0.5306</w:t>
            </w:r>
          </w:p>
        </w:tc>
        <w:tc>
          <w:tcPr>
            <w:tcW w:type="dxa" w:w="19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w:t>
            </w:r>
          </w:p>
        </w:tc>
        <w:tc>
          <w:tcPr>
            <w:tcW w:type="dxa" w:w="19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No</w:t>
            </w:r>
          </w:p>
        </w:tc>
      </w:tr>
    </w:tbl>
    <w:p>
      <w:pPr>
        <w:spacing w:after="120"/>
      </w:pPr>
    </w:p>
    <w:p>
      <w:pPr>
        <w:spacing w:after="120" w:line="288"/>
      </w:pPr>
      <w:r>
        <w:rPr>
          <w:b/>
          <w:bCs/>
        </w:rPr>
        <w:t xml:space="preserve">Conclusion: </w:t>
      </w:r>
      <w:r>
        <w:t xml:space="preserve">age, season and location do not change how much customers spend per card purchase. The differences in totals come from how many card purchases each group makes. Card campaigns should therefore aim to increase card transaction volume in the hotspot groups (36–45 in Spring, New York in Fall, 18–25 in Winter) and raise card usage in Miami and Houston (38–39%).</w:t>
      </w:r>
    </w:p>
    <w:p>
      <w:r>
        <w:br w:type="page"/>
      </w:r>
    </w:p>
    <w:p>
      <w:pPr>
        <w:pStyle w:val="Heading1"/>
        <w:spacing w:after="160" w:before="320"/>
      </w:pPr>
      <w:r>
        <w:t xml:space="preserve">5. Task 3 – Customer clustering</w:t>
      </w:r>
    </w:p>
    <w:p>
      <w:pPr>
        <w:pStyle w:val="Heading2"/>
        <w:spacing w:after="120" w:before="240"/>
      </w:pPr>
      <w:r>
        <w:t xml:space="preserve">5.1 Choosing the number of clusters</w:t>
      </w:r>
    </w:p>
    <w:p>
      <w:pPr>
        <w:spacing w:after="120" w:line="288"/>
      </w:pPr>
      <w:r>
        <w:t xml:space="preserve">Eight features (age, purchase amount, previous purchases, purchases per year, rating, subscription, discount and promo-code flags) were standardised and K-Means was run for K = 2 to 8. The elbow curve has no sharp bend, so the silhouette score was used. Among practical cluster counts (3–5), K = 4 scores best (0.145 vs 0.120 for K = 3 and 0.119 for K = 5). K = 7–8 score slightly higher but are too many to act on. The four clusters are balanced (943–1,052 customers).</w:t>
      </w:r>
    </w:p>
    <w:p>
      <w:pPr>
        <w:spacing w:after="60" w:before="120"/>
        <w:jc w:val="center"/>
      </w:pPr>
      <w:r>
        <w:drawing>
          <wp:inline distT="0" distB="0" distL="0" distR="0">
            <wp:extent cx="5334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476375"/>
                    </a:xfrm>
                    <a:prstGeom prst="rect">
                      <a:avLst/>
                    </a:prstGeom>
                  </pic:spPr>
                </pic:pic>
              </a:graphicData>
            </a:graphic>
          </wp:inline>
        </w:drawing>
      </w:r>
    </w:p>
    <w:p>
      <w:pPr>
        <w:spacing w:after="240"/>
        <w:jc w:val="center"/>
      </w:pPr>
      <w:r>
        <w:rPr>
          <w:i/>
          <w:iCs/>
          <w:color w:val="52514E"/>
          <w:sz w:val="18"/>
          <w:szCs w:val="18"/>
        </w:rPr>
        <w:t xml:space="preserve">Figure 4. Elbow method and silhouette score</w:t>
      </w:r>
    </w:p>
    <w:p>
      <w:pPr>
        <w:spacing w:after="120" w:line="288"/>
      </w:pPr>
      <w:r>
        <w:t xml:space="preserve">The low silhouette value shows that customer behaviour is continuous rather than sharply separated, so segments should be read as tendencies.</w:t>
      </w:r>
    </w:p>
    <w:p>
      <w:pPr>
        <w:pStyle w:val="Heading2"/>
        <w:spacing w:after="120" w:before="240"/>
      </w:pPr>
      <w:r>
        <w:t xml:space="preserve">5.2 Clustering 1 – offer-response segments</w:t>
      </w:r>
    </w:p>
    <w:p>
      <w:pPr>
        <w:spacing w:after="120" w:line="288"/>
      </w:pPr>
      <w:r>
        <w:t xml:space="preserve">Random-Forest importance and centroid spread both show that discount use and promo-code use are the dominant factors (about 94% of combined importance). Each cluster is 0% or 100% on these flags, while age (≈41), order value ($252–$261), previous purchases (≈7), purchases per year (≈30) and rating (≈3.0) are almost identical.</w:t>
      </w:r>
    </w:p>
    <w:p>
      <w:pPr>
        <w:spacing w:after="60" w:before="120"/>
        <w:jc w:val="center"/>
      </w:pPr>
      <w:r>
        <w:drawing>
          <wp:inline distT="0" distB="0" distL="0" distR="0">
            <wp:extent cx="5715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333500"/>
                    </a:xfrm>
                    <a:prstGeom prst="rect">
                      <a:avLst/>
                    </a:prstGeom>
                  </pic:spPr>
                </pic:pic>
              </a:graphicData>
            </a:graphic>
          </wp:inline>
        </w:drawing>
      </w:r>
    </w:p>
    <w:p>
      <w:pPr>
        <w:spacing w:after="240"/>
        <w:jc w:val="center"/>
      </w:pPr>
      <w:r>
        <w:rPr>
          <w:i/>
          <w:iCs/>
          <w:color w:val="52514E"/>
          <w:sz w:val="18"/>
          <w:szCs w:val="18"/>
        </w:rPr>
        <w:t xml:space="preserve">Figure 5. Dominant factors for clustering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950"/>
        <w:gridCol w:w="1050"/>
        <w:gridCol w:w="1050"/>
        <w:gridCol w:w="1150"/>
        <w:gridCol w:w="1100"/>
        <w:gridCol w:w="1200"/>
      </w:tblGrid>
      <w:tr>
        <w:trPr>
          <w:tblHeader/>
        </w:trPr>
        <w:tc>
          <w:tcPr>
            <w:tcW w:type="dxa" w:w="2526"/>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left"/>
            </w:pPr>
            <w:r>
              <w:rPr>
                <w:b/>
                <w:bCs/>
                <w:color w:val="FFFFFF"/>
                <w:sz w:val="19"/>
                <w:szCs w:val="19"/>
              </w:rPr>
              <w:t xml:space="preserve">Segment</w:t>
            </w:r>
          </w:p>
        </w:tc>
        <w:tc>
          <w:tcPr>
            <w:tcW w:type="dxa" w:w="95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Discount</w:t>
            </w:r>
          </w:p>
        </w:tc>
        <w:tc>
          <w:tcPr>
            <w:tcW w:type="dxa" w:w="105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Promo code</w:t>
            </w:r>
          </w:p>
        </w:tc>
        <w:tc>
          <w:tcPr>
            <w:tcW w:type="dxa" w:w="105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Customers</w:t>
            </w:r>
          </w:p>
        </w:tc>
        <w:tc>
          <w:tcPr>
            <w:tcW w:type="dxa" w:w="115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Revenue share</w:t>
            </w:r>
          </w:p>
        </w:tc>
        <w:tc>
          <w:tcPr>
            <w:tcW w:type="dxa" w:w="11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Peak season</w:t>
            </w:r>
          </w:p>
        </w:tc>
        <w:tc>
          <w:tcPr>
            <w:tcW w:type="dxa" w:w="12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Top payment</w:t>
            </w:r>
          </w:p>
        </w:tc>
      </w:tr>
      <w:tr>
        <w:trPr>
          <w:tblHeader w:val="false"/>
        </w:trPr>
        <w:tc>
          <w:tcPr>
            <w:tcW w:type="dxa" w:w="25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0 · Full-Price Loyalists</w:t>
            </w:r>
          </w:p>
        </w:tc>
        <w:tc>
          <w:tcPr>
            <w:tcW w:type="dxa" w:w="9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No</w:t>
            </w:r>
          </w:p>
        </w:tc>
        <w:tc>
          <w:tcPr>
            <w:tcW w:type="dxa" w:w="10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No</w:t>
            </w:r>
          </w:p>
        </w:tc>
        <w:tc>
          <w:tcPr>
            <w:tcW w:type="dxa" w:w="10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1,052</w:t>
            </w:r>
          </w:p>
        </w:tc>
        <w:tc>
          <w:tcPr>
            <w:tcW w:type="dxa" w:w="11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27%</w:t>
            </w:r>
          </w:p>
        </w:tc>
        <w:tc>
          <w:tcPr>
            <w:tcW w:type="dxa" w:w="11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Spring</w:t>
            </w:r>
          </w:p>
        </w:tc>
        <w:tc>
          <w:tcPr>
            <w:tcW w:type="dxa" w:w="1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Credit Card</w:t>
            </w:r>
          </w:p>
        </w:tc>
      </w:tr>
      <w:tr>
        <w:trPr>
          <w:tblHeader w:val="false"/>
        </w:trPr>
        <w:tc>
          <w:tcPr>
            <w:tcW w:type="dxa" w:w="25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1 · Deal Maximisers</w:t>
            </w:r>
          </w:p>
        </w:tc>
        <w:tc>
          <w:tcPr>
            <w:tcW w:type="dxa" w:w="9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Yes</w:t>
            </w:r>
          </w:p>
        </w:tc>
        <w:tc>
          <w:tcPr>
            <w:tcW w:type="dxa" w:w="10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Yes</w:t>
            </w:r>
          </w:p>
        </w:tc>
        <w:tc>
          <w:tcPr>
            <w:tcW w:type="dxa" w:w="10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943</w:t>
            </w:r>
          </w:p>
        </w:tc>
        <w:tc>
          <w:tcPr>
            <w:tcW w:type="dxa" w:w="11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24%</w:t>
            </w:r>
          </w:p>
        </w:tc>
        <w:tc>
          <w:tcPr>
            <w:tcW w:type="dxa" w:w="11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Fall</w:t>
            </w:r>
          </w:p>
        </w:tc>
        <w:tc>
          <w:tcPr>
            <w:tcW w:type="dxa" w:w="12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UPI</w:t>
            </w:r>
          </w:p>
        </w:tc>
      </w:tr>
      <w:tr>
        <w:trPr>
          <w:tblHeader w:val="false"/>
        </w:trPr>
        <w:tc>
          <w:tcPr>
            <w:tcW w:type="dxa" w:w="25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2 · Promo-Code Responders</w:t>
            </w:r>
          </w:p>
        </w:tc>
        <w:tc>
          <w:tcPr>
            <w:tcW w:type="dxa" w:w="9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No</w:t>
            </w:r>
          </w:p>
        </w:tc>
        <w:tc>
          <w:tcPr>
            <w:tcW w:type="dxa" w:w="10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Yes</w:t>
            </w:r>
          </w:p>
        </w:tc>
        <w:tc>
          <w:tcPr>
            <w:tcW w:type="dxa" w:w="10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951</w:t>
            </w:r>
          </w:p>
        </w:tc>
        <w:tc>
          <w:tcPr>
            <w:tcW w:type="dxa" w:w="11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25%</w:t>
            </w:r>
          </w:p>
        </w:tc>
        <w:tc>
          <w:tcPr>
            <w:tcW w:type="dxa" w:w="11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Spring</w:t>
            </w:r>
          </w:p>
        </w:tc>
        <w:tc>
          <w:tcPr>
            <w:tcW w:type="dxa" w:w="1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PayPal</w:t>
            </w:r>
          </w:p>
        </w:tc>
      </w:tr>
      <w:tr>
        <w:trPr>
          <w:tblHeader w:val="false"/>
        </w:trPr>
        <w:tc>
          <w:tcPr>
            <w:tcW w:type="dxa" w:w="25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3 · Discount-Only Shoppers</w:t>
            </w:r>
          </w:p>
        </w:tc>
        <w:tc>
          <w:tcPr>
            <w:tcW w:type="dxa" w:w="9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Yes</w:t>
            </w:r>
          </w:p>
        </w:tc>
        <w:tc>
          <w:tcPr>
            <w:tcW w:type="dxa" w:w="10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No</w:t>
            </w:r>
          </w:p>
        </w:tc>
        <w:tc>
          <w:tcPr>
            <w:tcW w:type="dxa" w:w="10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954</w:t>
            </w:r>
          </w:p>
        </w:tc>
        <w:tc>
          <w:tcPr>
            <w:tcW w:type="dxa" w:w="11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24%</w:t>
            </w:r>
          </w:p>
        </w:tc>
        <w:tc>
          <w:tcPr>
            <w:tcW w:type="dxa" w:w="11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Fall</w:t>
            </w:r>
          </w:p>
        </w:tc>
        <w:tc>
          <w:tcPr>
            <w:tcW w:type="dxa" w:w="12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Credit Card</w:t>
            </w:r>
          </w:p>
        </w:tc>
      </w:tr>
    </w:tbl>
    <w:p>
      <w:pPr>
        <w:spacing w:after="120"/>
      </w:pPr>
    </w:p>
    <w:p>
      <w:pPr>
        <w:spacing w:after="120" w:line="288"/>
      </w:pPr>
      <w:r>
        <w:t xml:space="preserve">The two discount-using segments shop most in Fall and the non-discount segments in Spring, a small but useful timing signal.</w:t>
      </w:r>
    </w:p>
    <w:p>
      <w:pPr>
        <w:pStyle w:val="Heading2"/>
        <w:spacing w:after="120" w:before="240"/>
      </w:pPr>
      <w:r>
        <w:t xml:space="preserve">5.3 Clustering 2 – value segments</w:t>
      </w:r>
    </w:p>
    <w:p>
      <w:pPr>
        <w:spacing w:after="120" w:line="288"/>
      </w:pPr>
      <w:r>
        <w:t xml:space="preserve">To find segments based on customer value, K-Means (K = 4) was repeated using only value features: age, order value, previous purchases, purchases per year and rating. The dominant factors are purchase frequency, order value and rating; age and previous purchases do not separate customers.</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95675"/>
                    </a:xfrm>
                    <a:prstGeom prst="rect">
                      <a:avLst/>
                    </a:prstGeom>
                  </pic:spPr>
                </pic:pic>
              </a:graphicData>
            </a:graphic>
          </wp:inline>
        </w:drawing>
      </w:r>
    </w:p>
    <w:p>
      <w:pPr>
        <w:spacing w:after="240"/>
        <w:jc w:val="center"/>
      </w:pPr>
      <w:r>
        <w:rPr>
          <w:i/>
          <w:iCs/>
          <w:color w:val="52514E"/>
          <w:sz w:val="18"/>
          <w:szCs w:val="18"/>
        </w:rPr>
        <w:t xml:space="preserve">Figure 6. Customer segments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300"/>
        <w:gridCol w:w="1300"/>
        <w:gridCol w:w="1300"/>
        <w:gridCol w:w="1200"/>
        <w:gridCol w:w="1500"/>
      </w:tblGrid>
      <w:tr>
        <w:trPr>
          <w:tblHeader/>
        </w:trPr>
        <w:tc>
          <w:tcPr>
            <w:tcW w:type="dxa" w:w="2426"/>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left"/>
            </w:pPr>
            <w:r>
              <w:rPr>
                <w:b/>
                <w:bCs/>
                <w:color w:val="FFFFFF"/>
                <w:sz w:val="19"/>
                <w:szCs w:val="19"/>
              </w:rPr>
              <w:t xml:space="preserve">Value segment</w:t>
            </w:r>
          </w:p>
        </w:tc>
        <w:tc>
          <w:tcPr>
            <w:tcW w:type="dxa" w:w="13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Customers</w:t>
            </w:r>
          </w:p>
        </w:tc>
        <w:tc>
          <w:tcPr>
            <w:tcW w:type="dxa" w:w="13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Avg order</w:t>
            </w:r>
          </w:p>
        </w:tc>
        <w:tc>
          <w:tcPr>
            <w:tcW w:type="dxa" w:w="13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Buys / year</w:t>
            </w:r>
          </w:p>
        </w:tc>
        <w:tc>
          <w:tcPr>
            <w:tcW w:type="dxa" w:w="12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Rating</w:t>
            </w:r>
          </w:p>
        </w:tc>
        <w:tc>
          <w:tcPr>
            <w:tcW w:type="dxa" w:w="150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Revenue share</w:t>
            </w:r>
          </w:p>
        </w:tc>
      </w:tr>
      <w:tr>
        <w:trPr>
          <w:tblHeader w:val="false"/>
        </w:trPr>
        <w:tc>
          <w:tcPr>
            <w:tcW w:type="dxa" w:w="24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Frequent Regulars</w:t>
            </w:r>
          </w:p>
        </w:tc>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1,305</w:t>
            </w:r>
          </w:p>
        </w:tc>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$259</w:t>
            </w:r>
          </w:p>
        </w:tc>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52</w:t>
            </w:r>
          </w:p>
        </w:tc>
        <w:tc>
          <w:tcPr>
            <w:tcW w:type="dxa" w:w="1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3.04</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34%</w:t>
            </w:r>
          </w:p>
        </w:tc>
      </w:tr>
      <w:tr>
        <w:trPr>
          <w:tblHeader w:val="false"/>
        </w:trPr>
        <w:tc>
          <w:tcPr>
            <w:tcW w:type="dxa" w:w="24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Big Spenders at Risk</w:t>
            </w:r>
          </w:p>
        </w:tc>
        <w:tc>
          <w:tcPr>
            <w:tcW w:type="dxa" w:w="13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838</w:t>
            </w:r>
          </w:p>
        </w:tc>
        <w:tc>
          <w:tcPr>
            <w:tcW w:type="dxa" w:w="13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$395</w:t>
            </w:r>
          </w:p>
        </w:tc>
        <w:tc>
          <w:tcPr>
            <w:tcW w:type="dxa" w:w="13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19</w:t>
            </w:r>
          </w:p>
        </w:tc>
        <w:tc>
          <w:tcPr>
            <w:tcW w:type="dxa" w:w="12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2.32</w:t>
            </w:r>
          </w:p>
        </w:tc>
        <w:tc>
          <w:tcPr>
            <w:tcW w:type="dxa" w:w="15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33%</w:t>
            </w:r>
          </w:p>
        </w:tc>
      </w:tr>
      <w:tr>
        <w:trPr>
          <w:tblHeader w:val="false"/>
        </w:trPr>
        <w:tc>
          <w:tcPr>
            <w:tcW w:type="dxa" w:w="24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Happy Occasionals</w:t>
            </w:r>
          </w:p>
        </w:tc>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939</w:t>
            </w:r>
          </w:p>
        </w:tc>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$233</w:t>
            </w:r>
          </w:p>
        </w:tc>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19</w:t>
            </w:r>
          </w:p>
        </w:tc>
        <w:tc>
          <w:tcPr>
            <w:tcW w:type="dxa" w:w="1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4.59</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22%</w:t>
            </w:r>
          </w:p>
        </w:tc>
      </w:tr>
      <w:tr>
        <w:trPr>
          <w:tblHeader w:val="false"/>
        </w:trPr>
        <w:tc>
          <w:tcPr>
            <w:tcW w:type="dxa" w:w="24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Unhappy Bargain Buyers</w:t>
            </w:r>
          </w:p>
        </w:tc>
        <w:tc>
          <w:tcPr>
            <w:tcW w:type="dxa" w:w="13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818</w:t>
            </w:r>
          </w:p>
        </w:tc>
        <w:tc>
          <w:tcPr>
            <w:tcW w:type="dxa" w:w="13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$134</w:t>
            </w:r>
          </w:p>
        </w:tc>
        <w:tc>
          <w:tcPr>
            <w:tcW w:type="dxa" w:w="13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19</w:t>
            </w:r>
          </w:p>
        </w:tc>
        <w:tc>
          <w:tcPr>
            <w:tcW w:type="dxa" w:w="12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1.98</w:t>
            </w:r>
          </w:p>
        </w:tc>
        <w:tc>
          <w:tcPr>
            <w:tcW w:type="dxa" w:w="150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11%</w:t>
            </w:r>
          </w:p>
        </w:tc>
      </w:tr>
    </w:tbl>
    <w:p>
      <w:pPr>
        <w:spacing w:after="120"/>
      </w:pPr>
    </w:p>
    <w:p>
      <w:pPr>
        <w:spacing w:after="120" w:line="288"/>
      </w:pPr>
      <w:r>
        <w:t xml:space="preserve">A cross-tabulation shows each value segment contains all four offer-response groups in roughly equal numbers, so offer behaviour is independent of customer value. The two segmentations can therefore be combined.</w:t>
      </w:r>
    </w:p>
    <w:p>
      <w:pPr>
        <w:pStyle w:val="Heading1"/>
        <w:spacing w:after="160" w:before="320"/>
      </w:pPr>
      <w:r>
        <w:t xml:space="preserve">6. Targeted marketing campaigns</w:t>
      </w:r>
    </w:p>
    <w:p>
      <w:pPr>
        <w:pStyle w:val="Heading2"/>
        <w:spacing w:after="120" w:before="240"/>
      </w:pPr>
      <w:r>
        <w:t xml:space="preserve">6.1 By value segment (who to prioritise)</w:t>
      </w:r>
    </w:p>
    <w:p>
      <w:pPr>
        <w:pStyle w:val="ListParagraph"/>
        <w:numPr>
          <w:ilvl w:val="0"/>
          <w:numId w:val="2"/>
        </w:numPr>
        <w:spacing w:after="80" w:line="276"/>
      </w:pPr>
      <w:r>
        <w:rPr>
          <w:b/>
          <w:bCs/>
        </w:rPr>
        <w:t xml:space="preserve">Frequent Regulars (34% of revenue, weekly buyers): </w:t>
      </w:r>
      <w:r>
        <w:t xml:space="preserve">loyalty points and free express shipping, bundles to increase basket size, cross-sell from Accessories to Clothing. Avoid deep discounts.</w:t>
      </w:r>
    </w:p>
    <w:p>
      <w:pPr>
        <w:pStyle w:val="ListParagraph"/>
        <w:numPr>
          <w:ilvl w:val="0"/>
          <w:numId w:val="2"/>
        </w:numPr>
        <w:spacing w:after="80" w:line="276"/>
      </w:pPr>
      <w:r>
        <w:rPr>
          <w:b/>
          <w:bCs/>
        </w:rPr>
        <w:t xml:space="preserve">Big Spenders at Risk (33% of revenue, rating 2.3): </w:t>
      </w:r>
      <w:r>
        <w:t xml:space="preserve">post-purchase follow-up, quality guarantee and easy returns, a VIP programme with priority support and early access to new Electronics and Sports lines, and a win-back voucher after a low rating. This is the highest-priority segment.</w:t>
      </w:r>
    </w:p>
    <w:p>
      <w:pPr>
        <w:pStyle w:val="ListParagraph"/>
        <w:numPr>
          <w:ilvl w:val="0"/>
          <w:numId w:val="2"/>
        </w:numPr>
        <w:spacing w:after="80" w:line="276"/>
      </w:pPr>
      <w:r>
        <w:rPr>
          <w:b/>
          <w:bCs/>
        </w:rPr>
        <w:t xml:space="preserve">Happy Occasionals (22%, rating 4.6): </w:t>
      </w:r>
      <w:r>
        <w:t xml:space="preserve">monthly reminder emails, back-in-stock alerts, a “Give $10, get $10” referral programme, and requests for reviews and testimonials.</w:t>
      </w:r>
    </w:p>
    <w:p>
      <w:pPr>
        <w:pStyle w:val="ListParagraph"/>
        <w:numPr>
          <w:ilvl w:val="0"/>
          <w:numId w:val="2"/>
        </w:numPr>
        <w:spacing w:after="80" w:line="276"/>
      </w:pPr>
      <w:r>
        <w:rPr>
          <w:b/>
          <w:bCs/>
        </w:rPr>
        <w:t xml:space="preserve">Unhappy Bargain Buyers (11%, $134 per order): </w:t>
      </w:r>
      <w:r>
        <w:t xml:space="preserve">low-cost discounts on entry-level items, a short satisfaction survey with a coupon reward, and limited marketing spend.</w:t>
      </w:r>
    </w:p>
    <w:p>
      <w:pPr>
        <w:pStyle w:val="Heading2"/>
        <w:spacing w:after="120" w:before="240"/>
      </w:pPr>
      <w:r>
        <w:t xml:space="preserve">6.2 By offer segment (which offer to send)</w:t>
      </w:r>
    </w:p>
    <w:p>
      <w:pPr>
        <w:pStyle w:val="ListParagraph"/>
        <w:numPr>
          <w:ilvl w:val="0"/>
          <w:numId w:val="2"/>
        </w:numPr>
        <w:spacing w:after="80" w:line="276"/>
      </w:pPr>
      <w:r>
        <w:rPr>
          <w:b/>
          <w:bCs/>
        </w:rPr>
        <w:t xml:space="preserve">Full-Price Loyalists: </w:t>
      </w:r>
      <w:r>
        <w:t xml:space="preserve">no discounts; new arrivals, premium Clothing and loyalty perks. Spring launches, Los Angeles focus, credit card cashback.</w:t>
      </w:r>
    </w:p>
    <w:p>
      <w:pPr>
        <w:pStyle w:val="ListParagraph"/>
        <w:numPr>
          <w:ilvl w:val="0"/>
          <w:numId w:val="2"/>
        </w:numPr>
        <w:spacing w:after="80" w:line="276"/>
      </w:pPr>
      <w:r>
        <w:rPr>
          <w:b/>
          <w:bCs/>
        </w:rPr>
        <w:t xml:space="preserve">Deal Maximisers: </w:t>
      </w:r>
      <w:r>
        <w:t xml:space="preserve">“spend more, save more” tiers and Accessories + Shoes bundles, one offer per order. Fall sale, Chicago, UPI checkout offers.</w:t>
      </w:r>
    </w:p>
    <w:p>
      <w:pPr>
        <w:pStyle w:val="ListParagraph"/>
        <w:numPr>
          <w:ilvl w:val="0"/>
          <w:numId w:val="2"/>
        </w:numPr>
        <w:spacing w:after="80" w:line="276"/>
      </w:pPr>
      <w:r>
        <w:rPr>
          <w:b/>
          <w:bCs/>
        </w:rPr>
        <w:t xml:space="preserve">Promo-Code Responders: </w:t>
      </w:r>
      <w:r>
        <w:t xml:space="preserve">personalised codes by email/SMS with a 7-day expiry, tied to Electronics and Accessories. Spring, Los Angeles, PayPal offers.</w:t>
      </w:r>
    </w:p>
    <w:p>
      <w:pPr>
        <w:pStyle w:val="ListParagraph"/>
        <w:numPr>
          <w:ilvl w:val="0"/>
          <w:numId w:val="2"/>
        </w:numPr>
        <w:spacing w:after="80" w:line="276"/>
      </w:pPr>
      <w:r>
        <w:rPr>
          <w:b/>
          <w:bCs/>
        </w:rPr>
        <w:t xml:space="preserve">Discount-Only Shoppers: </w:t>
      </w:r>
      <w:r>
        <w:t xml:space="preserve">on-site sale banners, price-drop alerts on wish-listed items and seasonal clearance. Fall, New York, card cashback.</w:t>
      </w:r>
    </w:p>
    <w:p>
      <w:pPr>
        <w:pStyle w:val="Heading2"/>
        <w:spacing w:after="120" w:before="240"/>
      </w:pPr>
      <w:r>
        <w:t xml:space="preserve">6.3 Combined strategy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750"/>
        <w:gridCol w:w="1750"/>
        <w:gridCol w:w="1750"/>
        <w:gridCol w:w="1750"/>
      </w:tblGrid>
      <w:tr>
        <w:trPr>
          <w:tblHeader/>
        </w:trPr>
        <w:tc>
          <w:tcPr>
            <w:tcW w:type="dxa" w:w="2026"/>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left"/>
            </w:pPr>
            <w:r>
              <w:rPr>
                <w:b/>
                <w:bCs/>
                <w:color w:val="FFFFFF"/>
                <w:sz w:val="19"/>
                <w:szCs w:val="19"/>
              </w:rPr>
              <w:t xml:space="preserve">Value \ Offer</w:t>
            </w:r>
          </w:p>
        </w:tc>
        <w:tc>
          <w:tcPr>
            <w:tcW w:type="dxa" w:w="175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Full-price</w:t>
            </w:r>
          </w:p>
        </w:tc>
        <w:tc>
          <w:tcPr>
            <w:tcW w:type="dxa" w:w="175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Deal maximiser</w:t>
            </w:r>
          </w:p>
        </w:tc>
        <w:tc>
          <w:tcPr>
            <w:tcW w:type="dxa" w:w="175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Promo-code</w:t>
            </w:r>
          </w:p>
        </w:tc>
        <w:tc>
          <w:tcPr>
            <w:tcW w:type="dxa" w:w="1750"/>
            <w:tcBorders>
              <w:top w:val="single" w:color="D9D8D2" w:sz="4"/>
              <w:left w:val="single" w:color="D9D8D2" w:sz="4"/>
              <w:bottom w:val="single" w:color="D9D8D2" w:sz="4"/>
              <w:right w:val="single" w:color="D9D8D2" w:sz="4"/>
            </w:tcBorders>
            <w:shd w:fill="1B2A4A" w:color="auto" w:val="clear"/>
            <w:tcMar>
              <w:top w:type="dxa" w:w="60"/>
              <w:left w:type="dxa" w:w="100"/>
              <w:bottom w:type="dxa" w:w="60"/>
              <w:right w:type="dxa" w:w="100"/>
            </w:tcMar>
          </w:tcPr>
          <w:p>
            <w:pPr>
              <w:jc w:val="center"/>
            </w:pPr>
            <w:r>
              <w:rPr>
                <w:b/>
                <w:bCs/>
                <w:color w:val="FFFFFF"/>
                <w:sz w:val="19"/>
                <w:szCs w:val="19"/>
              </w:rPr>
              <w:t xml:space="preserve">Discount-only</w:t>
            </w:r>
          </w:p>
        </w:tc>
      </w:tr>
      <w:tr>
        <w:trPr>
          <w:tblHeader w:val="false"/>
        </w:trPr>
        <w:tc>
          <w:tcPr>
            <w:tcW w:type="dxa" w:w="20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Frequent Regulars</w:t>
            </w:r>
          </w:p>
        </w:tc>
        <w:tc>
          <w:tcPr>
            <w:tcW w:type="dxa" w:w="17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Loyalty points, no offers</w:t>
            </w:r>
          </w:p>
        </w:tc>
        <w:tc>
          <w:tcPr>
            <w:tcW w:type="dxa" w:w="17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Bundle tiers</w:t>
            </w:r>
          </w:p>
        </w:tc>
        <w:tc>
          <w:tcPr>
            <w:tcW w:type="dxa" w:w="17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Weekly personal codes</w:t>
            </w:r>
          </w:p>
        </w:tc>
        <w:tc>
          <w:tcPr>
            <w:tcW w:type="dxa" w:w="17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Member-only sales</w:t>
            </w:r>
          </w:p>
        </w:tc>
      </w:tr>
      <w:tr>
        <w:trPr>
          <w:tblHeader w:val="false"/>
        </w:trPr>
        <w:tc>
          <w:tcPr>
            <w:tcW w:type="dxa" w:w="20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Big Spenders at Risk</w:t>
            </w:r>
          </w:p>
        </w:tc>
        <w:tc>
          <w:tcPr>
            <w:tcW w:type="dxa" w:w="17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VIP service &amp; guarantee</w:t>
            </w:r>
          </w:p>
        </w:tc>
        <w:tc>
          <w:tcPr>
            <w:tcW w:type="dxa" w:w="17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Premium bundles</w:t>
            </w:r>
          </w:p>
        </w:tc>
        <w:tc>
          <w:tcPr>
            <w:tcW w:type="dxa" w:w="17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VIP code after bad review</w:t>
            </w:r>
          </w:p>
        </w:tc>
        <w:tc>
          <w:tcPr>
            <w:tcW w:type="dxa" w:w="17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Early sale access</w:t>
            </w:r>
          </w:p>
        </w:tc>
      </w:tr>
      <w:tr>
        <w:trPr>
          <w:tblHeader w:val="false"/>
        </w:trPr>
        <w:tc>
          <w:tcPr>
            <w:tcW w:type="dxa" w:w="2026"/>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b/>
                <w:bCs/>
                <w:color w:val="1C1C1A"/>
                <w:sz w:val="19"/>
                <w:szCs w:val="19"/>
              </w:rPr>
              <w:t xml:space="preserve">Happy Occasionals</w:t>
            </w:r>
          </w:p>
        </w:tc>
        <w:tc>
          <w:tcPr>
            <w:tcW w:type="dxa" w:w="17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Referral programme</w:t>
            </w:r>
          </w:p>
        </w:tc>
        <w:tc>
          <w:tcPr>
            <w:tcW w:type="dxa" w:w="17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Seasonal deals</w:t>
            </w:r>
          </w:p>
        </w:tc>
        <w:tc>
          <w:tcPr>
            <w:tcW w:type="dxa" w:w="17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Comeback codes</w:t>
            </w:r>
          </w:p>
        </w:tc>
        <w:tc>
          <w:tcPr>
            <w:tcW w:type="dxa" w:w="175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b w:val="false"/>
                <w:bCs w:val="false"/>
                <w:color w:val="1C1C1A"/>
                <w:sz w:val="19"/>
                <w:szCs w:val="19"/>
              </w:rPr>
              <w:t xml:space="preserve">Price-drop alerts</w:t>
            </w:r>
          </w:p>
        </w:tc>
      </w:tr>
      <w:tr>
        <w:trPr>
          <w:tblHeader w:val="false"/>
        </w:trPr>
        <w:tc>
          <w:tcPr>
            <w:tcW w:type="dxa" w:w="2026"/>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left"/>
            </w:pPr>
            <w:r>
              <w:rPr>
                <w:b/>
                <w:bCs/>
                <w:color w:val="1C1C1A"/>
                <w:sz w:val="19"/>
                <w:szCs w:val="19"/>
              </w:rPr>
              <w:t xml:space="preserve">Unhappy Bargain Buyers</w:t>
            </w:r>
          </w:p>
        </w:tc>
        <w:tc>
          <w:tcPr>
            <w:tcW w:type="dxa" w:w="17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Survey, fix issues</w:t>
            </w:r>
          </w:p>
        </w:tc>
        <w:tc>
          <w:tcPr>
            <w:tcW w:type="dxa" w:w="17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Entry-level bundles</w:t>
            </w:r>
          </w:p>
        </w:tc>
        <w:tc>
          <w:tcPr>
            <w:tcW w:type="dxa" w:w="17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Survey-reward codes</w:t>
            </w:r>
          </w:p>
        </w:tc>
        <w:tc>
          <w:tcPr>
            <w:tcW w:type="dxa" w:w="1750"/>
            <w:tcBorders>
              <w:top w:val="single" w:color="D9D8D2" w:sz="4"/>
              <w:left w:val="single" w:color="D9D8D2" w:sz="4"/>
              <w:bottom w:val="single" w:color="D9D8D2" w:sz="4"/>
              <w:right w:val="single" w:color="D9D8D2" w:sz="4"/>
            </w:tcBorders>
            <w:shd w:fill="F3F2EE" w:color="auto" w:val="clear"/>
            <w:tcMar>
              <w:top w:type="dxa" w:w="60"/>
              <w:left w:type="dxa" w:w="100"/>
              <w:bottom w:type="dxa" w:w="60"/>
              <w:right w:type="dxa" w:w="100"/>
            </w:tcMar>
          </w:tcPr>
          <w:p>
            <w:pPr>
              <w:jc w:val="center"/>
            </w:pPr>
            <w:r>
              <w:rPr>
                <w:b w:val="false"/>
                <w:bCs w:val="false"/>
                <w:color w:val="1C1C1A"/>
                <w:sz w:val="19"/>
                <w:szCs w:val="19"/>
              </w:rPr>
              <w:t xml:space="preserve">Clearance items</w:t>
            </w:r>
          </w:p>
        </w:tc>
      </w:tr>
    </w:tbl>
    <w:p>
      <w:pPr>
        <w:spacing w:after="120"/>
      </w:pPr>
    </w:p>
    <w:p>
      <w:pPr>
        <w:pStyle w:val="Heading1"/>
        <w:spacing w:after="160" w:before="320"/>
      </w:pPr>
      <w:r>
        <w:t xml:space="preserve">7. Conclusions, limitations and next steps</w:t>
      </w:r>
    </w:p>
    <w:p>
      <w:pPr>
        <w:pStyle w:val="Heading2"/>
        <w:spacing w:after="120" w:before="240"/>
      </w:pPr>
      <w:r>
        <w:t xml:space="preserve">7.1 Conclusions</w:t>
      </w:r>
    </w:p>
    <w:p>
      <w:pPr>
        <w:pStyle w:val="ListParagraph"/>
        <w:numPr>
          <w:ilvl w:val="0"/>
          <w:numId w:val="2"/>
        </w:numPr>
        <w:spacing w:after="80" w:line="276"/>
      </w:pPr>
      <w:r>
        <w:t xml:space="preserve">Discount Sports; use bundle discounts on Clothing; fix Home Decor quality instead of cutting prices.</w:t>
      </w:r>
    </w:p>
    <w:p>
      <w:pPr>
        <w:pStyle w:val="ListParagraph"/>
        <w:numPr>
          <w:ilvl w:val="0"/>
          <w:numId w:val="2"/>
        </w:numPr>
        <w:spacing w:after="80" w:line="276"/>
      </w:pPr>
      <w:r>
        <w:t xml:space="preserve">Card spend per purchase is the same across age, season and city; volume peaks with 36–45 year olds, in Spring and in New York.</w:t>
      </w:r>
    </w:p>
    <w:p>
      <w:pPr>
        <w:pStyle w:val="ListParagraph"/>
        <w:numPr>
          <w:ilvl w:val="0"/>
          <w:numId w:val="2"/>
        </w:numPr>
        <w:spacing w:after="80" w:line="276"/>
      </w:pPr>
      <w:r>
        <w:t xml:space="preserve">Customer value is driven by purchase frequency, order value and satisfaction; offer behaviour forms a separate, independent dimension.</w:t>
      </w:r>
    </w:p>
    <w:p>
      <w:pPr>
        <w:pStyle w:val="ListParagraph"/>
        <w:numPr>
          <w:ilvl w:val="0"/>
          <w:numId w:val="2"/>
        </w:numPr>
        <w:spacing w:after="80" w:line="276"/>
      </w:pPr>
      <w:r>
        <w:t xml:space="preserve">One third of revenue sits with dissatisfied Big Spenders, so retention is the most valuable action.</w:t>
      </w:r>
    </w:p>
    <w:p>
      <w:pPr>
        <w:pStyle w:val="Heading2"/>
        <w:spacing w:after="120" w:before="240"/>
      </w:pPr>
      <w:r>
        <w:t xml:space="preserve">7.2 Limitations</w:t>
      </w:r>
    </w:p>
    <w:p>
      <w:pPr>
        <w:pStyle w:val="ListParagraph"/>
        <w:numPr>
          <w:ilvl w:val="0"/>
          <w:numId w:val="2"/>
        </w:numPr>
        <w:spacing w:after="80" w:line="276"/>
      </w:pPr>
      <w:r>
        <w:t xml:space="preserve">Differences between categories, ages, seasons and cities are small; several are not statistically significant.</w:t>
      </w:r>
    </w:p>
    <w:p>
      <w:pPr>
        <w:pStyle w:val="ListParagraph"/>
        <w:numPr>
          <w:ilvl w:val="0"/>
          <w:numId w:val="2"/>
        </w:numPr>
        <w:spacing w:after="80" w:line="276"/>
      </w:pPr>
      <w:r>
        <w:t xml:space="preserve">Silhouette scores are low (0.15–0.17), so clusters overlap.</w:t>
      </w:r>
    </w:p>
    <w:p>
      <w:pPr>
        <w:pStyle w:val="ListParagraph"/>
        <w:numPr>
          <w:ilvl w:val="0"/>
          <w:numId w:val="2"/>
        </w:numPr>
        <w:spacing w:after="80" w:line="276"/>
      </w:pPr>
      <w:r>
        <w:t xml:space="preserve">Item and category labels are inconsistent in the dataset, limiting item-level analysis.</w:t>
      </w:r>
    </w:p>
    <w:p>
      <w:pPr>
        <w:pStyle w:val="ListParagraph"/>
        <w:numPr>
          <w:ilvl w:val="0"/>
          <w:numId w:val="2"/>
        </w:numPr>
        <w:spacing w:after="80" w:line="276"/>
      </w:pPr>
      <w:r>
        <w:t xml:space="preserve">There are no transaction dates, so trends over time and true recency cannot be measured.</w:t>
      </w:r>
    </w:p>
    <w:p>
      <w:pPr>
        <w:pStyle w:val="Heading2"/>
        <w:spacing w:after="120" w:before="240"/>
      </w:pPr>
      <w:r>
        <w:t xml:space="preserve">7.3 Next steps</w:t>
      </w:r>
    </w:p>
    <w:p>
      <w:pPr>
        <w:pStyle w:val="ListParagraph"/>
        <w:numPr>
          <w:ilvl w:val="0"/>
          <w:numId w:val="2"/>
        </w:numPr>
        <w:spacing w:after="80" w:line="276"/>
      </w:pPr>
      <w:r>
        <w:t xml:space="preserve">A/B-test each campaign against a control group and measure revenue per customer.</w:t>
      </w:r>
    </w:p>
    <w:p>
      <w:pPr>
        <w:pStyle w:val="ListParagraph"/>
        <w:numPr>
          <w:ilvl w:val="0"/>
          <w:numId w:val="2"/>
        </w:numPr>
        <w:spacing w:after="80" w:line="276"/>
      </w:pPr>
      <w:r>
        <w:t xml:space="preserve">Track segment size and revenue share quarterly, especially the Big Spenders at Risk.</w:t>
      </w:r>
    </w:p>
    <w:p>
      <w:pPr>
        <w:pStyle w:val="ListParagraph"/>
        <w:numPr>
          <w:ilvl w:val="0"/>
          <w:numId w:val="2"/>
        </w:numPr>
        <w:spacing w:after="80" w:line="276"/>
      </w:pPr>
      <w:r>
        <w:t xml:space="preserve">Collect reasons behind low ratings to guide product fixes in Home Decor.</w:t>
      </w:r>
    </w:p>
    <w:p>
      <w:pPr>
        <w:pStyle w:val="ListParagraph"/>
        <w:numPr>
          <w:ilvl w:val="0"/>
          <w:numId w:val="2"/>
        </w:numPr>
        <w:spacing w:after="80" w:line="276"/>
      </w:pPr>
      <w:r>
        <w:t xml:space="preserve">Add transaction dates and re-cluster with recency, frequency and monetary (RFM) features.</w:t>
      </w:r>
    </w:p>
    <w:p>
      <w:pPr>
        <w:pStyle w:val="Heading1"/>
        <w:spacing w:after="160" w:before="320"/>
      </w:pPr>
      <w:r>
        <w:t xml:space="preserve">Appendix – Submission files</w:t>
      </w:r>
    </w:p>
    <w:p>
      <w:pPr>
        <w:pStyle w:val="ListParagraph"/>
        <w:numPr>
          <w:ilvl w:val="0"/>
          <w:numId w:val="2"/>
        </w:numPr>
        <w:spacing w:after="80" w:line="276"/>
      </w:pPr>
      <w:r>
        <w:t xml:space="preserve">Customer_Segmentation_Presentation.pptx – presentation with speaker notes</w:t>
      </w:r>
    </w:p>
    <w:p>
      <w:pPr>
        <w:pStyle w:val="ListParagraph"/>
        <w:numPr>
          <w:ilvl w:val="0"/>
          <w:numId w:val="2"/>
        </w:numPr>
        <w:spacing w:after="80" w:line="276"/>
      </w:pPr>
      <w:r>
        <w:t xml:space="preserve">Customer_Segmentation_Report.docx – this report</w:t>
      </w:r>
    </w:p>
    <w:p>
      <w:pPr>
        <w:pStyle w:val="ListParagraph"/>
        <w:numPr>
          <w:ilvl w:val="0"/>
          <w:numId w:val="2"/>
        </w:numPr>
        <w:spacing w:after="80" w:line="276"/>
      </w:pPr>
      <w:r>
        <w:t xml:space="preserve">dashboard_1 to dashboard_4 (.png) – dashboard screenshots, including the five-category and five-city comparisons</w:t>
      </w:r>
    </w:p>
    <w:p>
      <w:pPr>
        <w:pStyle w:val="ListParagraph"/>
        <w:numPr>
          <w:ilvl w:val="0"/>
          <w:numId w:val="2"/>
        </w:numPr>
        <w:spacing w:after="80" w:line="276"/>
      </w:pPr>
      <w:r>
        <w:t xml:space="preserve">customer_clustering.ows – Orange workflow for K-Means clustering (optional)</w:t>
      </w:r>
    </w:p>
    <w:p>
      <w:pPr>
        <w:pStyle w:val="ListParagraph"/>
        <w:numPr>
          <w:ilvl w:val="0"/>
          <w:numId w:val="2"/>
        </w:numPr>
        <w:spacing w:after="80" w:line="276"/>
      </w:pPr>
      <w:r>
        <w:t xml:space="preserve">customer_segmentation.ipynb – Google Colab notebook with all code and outputs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514E"/>
        <w:sz w:val="16"/>
        <w:szCs w:val="16"/>
      </w:rPr>
      <w:t xml:space="preserve">CDACL-002 Customer Segmentation · Page </w:t>
    </w:r>
    <w:r>
      <w:rPr>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1B2A4A"/>
      <w:sz w:val="32"/>
      <w:szCs w:val="32"/>
    </w:rPr>
  </w:style>
  <w:style w:type="paragraph" w:styleId="Heading2">
    <w:name w:val="Heading 2"/>
    <w:basedOn w:val="Normal"/>
    <w:next w:val="Normal"/>
    <w:qFormat/>
    <w:pPr>
      <w:outlineLvl w:val="1"/>
    </w:pPr>
    <w:rPr>
      <w:rFonts w:ascii="Cambria" w:cs="Cambria" w:eastAsia="Cambria" w:hAnsi="Cambria"/>
      <w:b/>
      <w:bCs/>
      <w:color w:val="2A78D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9760185057cc1af76ab970c0cb972525a0e12f.png"/><Relationship Id="rId9" Type="http://schemas.openxmlformats.org/officeDocument/2006/relationships/image" Target="media/1ec539da1cfe1013f8578201c7c436b6e29c7c3b.png"/><Relationship Id="rId10" Type="http://schemas.openxmlformats.org/officeDocument/2006/relationships/image" Target="media/c0192d8a85f1dd8039651c53a935f0c7cda8d8b0.png"/><Relationship Id="rId11" Type="http://schemas.openxmlformats.org/officeDocument/2006/relationships/image" Target="media/4fd5f79f2e186b832f7f2d18472cb1b71418e492.png"/><Relationship Id="rId12" Type="http://schemas.openxmlformats.org/officeDocument/2006/relationships/image" Target="media/268e24fe306761080feed3469213d17bc7033eed.png"/><Relationship Id="rId13" Type="http://schemas.openxmlformats.org/officeDocument/2006/relationships/image" Target="media/2d07afff5f3884f71fdac4b2ef2668720a24e2f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Segmentation – Insights Report</dc:title>
  <dc:creator>Team 5</dc:creator>
  <cp:lastModifiedBy>Un-named</cp:lastModifiedBy>
  <cp:revision>1</cp:revision>
  <dcterms:created xsi:type="dcterms:W3CDTF">2026-10-19T15:51:29.425Z</dcterms:created>
  <dcterms:modified xsi:type="dcterms:W3CDTF">2026-10-19T15:51:29.426Z</dcterms:modified>
</cp:coreProperties>
</file>

<file path=docProps/custom.xml><?xml version="1.0" encoding="utf-8"?>
<Properties xmlns="http://schemas.openxmlformats.org/officeDocument/2006/custom-properties" xmlns:vt="http://schemas.openxmlformats.org/officeDocument/2006/docPropsVTypes"/>
</file>