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 Generation Report</w:t>
      </w:r>
    </w:p>
    <w:p>
      <w:pPr>
        <w:pStyle w:val="Heading1"/>
      </w:pPr>
      <w:r>
        <w:t>Price Predictions</w:t>
      </w:r>
    </w:p>
    <w:p>
      <w:r>
        <w:drawing>
          <wp:inline xmlns:a="http://schemas.openxmlformats.org/drawingml/2006/main" xmlns:pic="http://schemas.openxmlformats.org/drawingml/2006/picture">
            <wp:extent cx="5486400" cy="195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</w:t>
      </w:r>
    </w:p>
    <w:p>
      <w:r>
        <w:drawing>
          <wp:inline xmlns:a="http://schemas.openxmlformats.org/drawingml/2006/main" xmlns:pic="http://schemas.openxmlformats.org/drawingml/2006/picture">
            <wp:extent cx="5486400" cy="6696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6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Risk Metrics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95% VaR: -0.0270</w:t>
            </w:r>
          </w:p>
        </w:tc>
        <w:tc>
          <w:tcPr>
            <w:tcW w:type="dxa" w:w="2880"/>
          </w:tcPr>
          <w:p>
            <w:r>
              <w:t>95% CVaR: -0.0409</w:t>
            </w:r>
          </w:p>
        </w:tc>
        <w:tc>
          <w:tcPr>
            <w:tcW w:type="dxa" w:w="2880"/>
          </w:tcPr>
          <w:p>
            <w:r>
              <w:t>Max Drawdown: -0.3852</w:t>
            </w:r>
          </w:p>
        </w:tc>
      </w:tr>
    </w:tbl>
    <w:p>
      <w:pPr>
        <w:pStyle w:val="Heading1"/>
      </w:pPr>
      <w:r>
        <w:t>Trading Performance</w:t>
      </w:r>
    </w:p>
    <w:p>
      <w:r>
        <w:t>Initial Capital: $100,000.00</w:t>
      </w:r>
    </w:p>
    <w:p>
      <w:r>
        <w:t>Final Value: $91,513.67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