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EE8E0F">
      <w:pPr>
        <w:jc w:val="center"/>
      </w:pPr>
      <w:r>
        <w:rPr>
          <w:rFonts w:ascii="Times New Roman" w:hAnsi="Times New Roman"/>
          <w:b/>
          <w:color w:val="E60000"/>
          <w:sz w:val="64"/>
        </w:rPr>
        <w:t>W</w:t>
      </w:r>
      <w:r>
        <w:rPr>
          <w:rFonts w:ascii="Times New Roman" w:hAnsi="Times New Roman"/>
          <w:b/>
          <w:color w:val="1E1E1E"/>
          <w:sz w:val="64"/>
        </w:rPr>
        <w:t xml:space="preserve">oxsen </w:t>
      </w:r>
      <w:r>
        <w:rPr>
          <w:rFonts w:ascii="Times New Roman" w:hAnsi="Times New Roman"/>
          <w:b/>
          <w:color w:val="E60000"/>
          <w:sz w:val="64"/>
        </w:rPr>
        <w:t>U</w:t>
      </w:r>
      <w:r>
        <w:rPr>
          <w:rFonts w:ascii="Times New Roman" w:hAnsi="Times New Roman"/>
          <w:b/>
          <w:color w:val="1E1E1E"/>
          <w:sz w:val="64"/>
        </w:rPr>
        <w:t>niversity</w:t>
      </w:r>
    </w:p>
    <w:p w14:paraId="1622AEE0">
      <w:pPr>
        <w:jc w:val="center"/>
      </w:pPr>
      <w:r>
        <w:rPr>
          <w:rFonts w:ascii="Times New Roman" w:hAnsi="Times New Roman"/>
          <w:b w:val="0"/>
          <w:sz w:val="32"/>
        </w:rPr>
        <w:t>School of Technology</w:t>
      </w:r>
    </w:p>
    <w:p w14:paraId="1D8E2BAD">
      <w:pPr>
        <w:jc w:val="center"/>
        <w:rPr>
          <w:rFonts w:hint="default"/>
          <w:lang w:val="en-US"/>
        </w:rPr>
      </w:pPr>
      <w:r>
        <w:br w:type="textWrapping"/>
      </w:r>
      <w:r>
        <w:rPr>
          <w:rFonts w:ascii="Times New Roman" w:hAnsi="Times New Roman"/>
          <w:b/>
          <w:sz w:val="48"/>
        </w:rPr>
        <w:t>Applied Time Series</w:t>
      </w:r>
    </w:p>
    <w:p w14:paraId="2325C0C5">
      <w:pPr>
        <w:jc w:val="center"/>
      </w:pPr>
      <w:r>
        <w:rPr>
          <w:rFonts w:ascii="Times New Roman" w:hAnsi="Times New Roman"/>
          <w:b w:val="0"/>
          <w:sz w:val="28"/>
        </w:rPr>
        <w:t>Project on</w:t>
      </w:r>
    </w:p>
    <w:p w14:paraId="72678255">
      <w:pPr>
        <w:jc w:val="center"/>
      </w:pPr>
      <w:r>
        <w:t>A Hybrid Realized GARCH-LSTM Framework for Financial Volatility Forecasting Using Multivariate Time Series</w:t>
      </w:r>
    </w:p>
    <w:p w14:paraId="3865C9A3"/>
    <w:p w14:paraId="4B5CD6E7">
      <w:pPr>
        <w:jc w:val="center"/>
      </w:pPr>
      <w:r>
        <w:rPr>
          <w:rFonts w:ascii="Times New Roman" w:hAnsi="Times New Roman"/>
          <w:b/>
          <w:sz w:val="28"/>
        </w:rPr>
        <w:t>Prepared by:</w:t>
      </w:r>
    </w:p>
    <w:p w14:paraId="1099C0C0"/>
    <w:p w14:paraId="43E91856">
      <w:pPr>
        <w:jc w:val="center"/>
      </w:pPr>
      <w:r>
        <w:rPr>
          <w:rFonts w:ascii="Times New Roman" w:hAnsi="Times New Roman"/>
          <w:b/>
          <w:color w:val="000000"/>
          <w:sz w:val="24"/>
        </w:rPr>
        <w:t xml:space="preserve">Karthikeya Challa — </w:t>
      </w:r>
      <w:r>
        <w:rPr>
          <w:rFonts w:ascii="Times New Roman" w:hAnsi="Times New Roman"/>
          <w:b/>
          <w:color w:val="E63232"/>
          <w:sz w:val="24"/>
        </w:rPr>
        <w:t>23WU0104013</w:t>
      </w:r>
    </w:p>
    <w:p w14:paraId="4D66E806">
      <w:pPr>
        <w:jc w:val="center"/>
      </w:pPr>
      <w:r>
        <w:rPr>
          <w:rFonts w:ascii="Times New Roman" w:hAnsi="Times New Roman"/>
          <w:b/>
          <w:color w:val="000000"/>
          <w:sz w:val="24"/>
        </w:rPr>
        <w:t xml:space="preserve">Y. Pranay Sathvik — </w:t>
      </w:r>
      <w:r>
        <w:rPr>
          <w:rFonts w:ascii="Times New Roman" w:hAnsi="Times New Roman"/>
          <w:b/>
          <w:color w:val="E63232"/>
          <w:sz w:val="24"/>
        </w:rPr>
        <w:t>23WU0101197</w:t>
      </w:r>
    </w:p>
    <w:p w14:paraId="163B7123">
      <w:pPr>
        <w:jc w:val="center"/>
      </w:pPr>
      <w:r>
        <w:rPr>
          <w:rFonts w:ascii="Times New Roman" w:hAnsi="Times New Roman"/>
          <w:b/>
          <w:color w:val="000000"/>
          <w:sz w:val="24"/>
        </w:rPr>
        <w:t xml:space="preserve">K. Dhruv Charan — </w:t>
      </w:r>
      <w:r>
        <w:rPr>
          <w:rFonts w:ascii="Times New Roman" w:hAnsi="Times New Roman"/>
          <w:b/>
          <w:color w:val="E63232"/>
          <w:sz w:val="24"/>
        </w:rPr>
        <w:t>23WU0104036</w:t>
      </w:r>
    </w:p>
    <w:p w14:paraId="661323A1">
      <w:pPr>
        <w:jc w:val="center"/>
      </w:pPr>
      <w:r>
        <w:rPr>
          <w:rFonts w:ascii="Times New Roman" w:hAnsi="Times New Roman"/>
          <w:b/>
          <w:color w:val="000000"/>
          <w:sz w:val="24"/>
        </w:rPr>
        <w:t xml:space="preserve">K. Sai Tanmay — </w:t>
      </w:r>
      <w:r>
        <w:rPr>
          <w:rFonts w:ascii="Times New Roman" w:hAnsi="Times New Roman"/>
          <w:b/>
          <w:color w:val="E63232"/>
          <w:sz w:val="24"/>
        </w:rPr>
        <w:t>23WU0104038</w:t>
      </w:r>
    </w:p>
    <w:p w14:paraId="0143C484">
      <w:pPr>
        <w:jc w:val="center"/>
      </w:pPr>
      <w:r>
        <w:rPr>
          <w:rFonts w:ascii="Times New Roman" w:hAnsi="Times New Roman"/>
          <w:b/>
          <w:color w:val="000000"/>
          <w:sz w:val="24"/>
        </w:rPr>
        <w:t xml:space="preserve">P. Hari haran roa — </w:t>
      </w:r>
      <w:r>
        <w:rPr>
          <w:rFonts w:ascii="Times New Roman" w:hAnsi="Times New Roman"/>
          <w:b/>
          <w:color w:val="E63232"/>
          <w:sz w:val="24"/>
        </w:rPr>
        <w:t>23WU0101138</w:t>
      </w:r>
    </w:p>
    <w:p w14:paraId="2AF477EF">
      <w:r>
        <w:br w:type="textWrapping"/>
      </w:r>
      <w:r>
        <w:br w:type="textWrapping"/>
      </w:r>
      <w:r>
        <w:br w:type="textWrapping"/>
      </w:r>
    </w:p>
    <w:p w14:paraId="472550EE">
      <w:pPr>
        <w:jc w:val="center"/>
      </w:pPr>
      <w:r>
        <w:rPr>
          <w:rFonts w:ascii="Times New Roman" w:hAnsi="Times New Roman"/>
          <w:b/>
          <w:sz w:val="24"/>
        </w:rPr>
        <w:t>Submitted to:</w:t>
      </w:r>
    </w:p>
    <w:p w14:paraId="2903778D">
      <w:pPr>
        <w:jc w:val="center"/>
      </w:pPr>
      <w:r>
        <w:rPr>
          <w:rFonts w:ascii="Times New Roman" w:hAnsi="Times New Roman"/>
          <w:b w:val="0"/>
          <w:sz w:val="28"/>
        </w:rPr>
        <w:t>Dr. Sindhumitha</w:t>
      </w:r>
    </w:p>
    <w:p w14:paraId="63BFD12B">
      <w:pPr>
        <w:jc w:val="center"/>
      </w:pPr>
      <w:r>
        <w:rPr>
          <w:rFonts w:ascii="Times New Roman" w:hAnsi="Times New Roman"/>
          <w:b w:val="0"/>
          <w:sz w:val="24"/>
        </w:rPr>
        <w:t>Assistant Professor, School of Technology, Woxsen University</w:t>
      </w:r>
    </w:p>
    <w:p w14:paraId="35C977B3">
      <w:r>
        <w:br w:type="textWrapping"/>
      </w:r>
      <w:bookmarkStart w:id="0" w:name="_GoBack"/>
      <w:r>
        <w:rPr>
          <w:rFonts w:ascii="Times New Roman" w:hAnsi="Times New Roman"/>
          <w:b/>
          <w:sz w:val="24"/>
        </w:rPr>
        <w:t>Date of Submission: March 2026</w:t>
      </w:r>
      <w:bookmarkEnd w:id="0"/>
    </w:p>
    <w:p w14:paraId="352CE94C">
      <w:r>
        <w:br w:type="page"/>
      </w:r>
    </w:p>
    <w:p w14:paraId="156BA457">
      <w:pPr>
        <w:jc w:val="left"/>
      </w:pPr>
      <w:r>
        <w:rPr>
          <w:rFonts w:ascii="Times New Roman" w:hAnsi="Times New Roman"/>
          <w:b/>
          <w:color w:val="000000"/>
          <w:sz w:val="32"/>
        </w:rPr>
        <w:t>1. Title of the project</w:t>
      </w:r>
    </w:p>
    <w:p w14:paraId="3607E89D">
      <w:pPr>
        <w:spacing w:line="360" w:lineRule="auto"/>
        <w:jc w:val="both"/>
      </w:pPr>
      <w:r>
        <w:t>A Hybrid Realized GARCH-LSTM Framework for Financial Volatility Forecasting Using Multivariate Time Series</w:t>
      </w:r>
    </w:p>
    <w:p w14:paraId="2369D467">
      <w:pPr>
        <w:jc w:val="left"/>
      </w:pPr>
      <w:r>
        <w:rPr>
          <w:rFonts w:ascii="Times New Roman" w:hAnsi="Times New Roman"/>
          <w:b/>
          <w:color w:val="000000"/>
          <w:sz w:val="32"/>
        </w:rPr>
        <w:t>2. Abstract</w:t>
      </w:r>
    </w:p>
    <w:p w14:paraId="5E6284C5">
      <w:pPr>
        <w:spacing w:line="360" w:lineRule="auto"/>
        <w:jc w:val="both"/>
      </w:pPr>
      <w:r>
        <w:t>Modeling and predicting financial market volatility is instrumental for risk management and algorithmic trading. Given the highly noisy, heteroskedastic, and non-linear properties of financial time-series, standard linear econometric techniques struggle to continuously map localized anomalies. This project proposes a hybrid, end-to-end forecasting pipeline that fuses classical Autoregressive Conditional Heteroskedasticity (ARCH/GARCH/Realized GARCH) frameworks with state-of-the-art Long Short-Term Memory (LSTM) Deep Learning structures. Testing against historical OHLCV data fetched dynamically through the YFinance API, our implementation establishes a baseline with GARCH constraints, while capturing non-linear residuals dynamically using deep neural optimization. The experimental results present a groundbreaking 94.5% hit rate and drastically lowered maximum drawdown percentages, significantly outperforming independent classical algorithms. The major contribution lies in mitigating Look-Ahead Bias through chronological testing and achieving operational Explainable AI (XAI) mapping on raw stock patterns.</w:t>
      </w:r>
    </w:p>
    <w:p w14:paraId="2D94A222">
      <w:pPr>
        <w:jc w:val="left"/>
      </w:pPr>
      <w:r>
        <w:rPr>
          <w:rFonts w:ascii="Times New Roman" w:hAnsi="Times New Roman"/>
          <w:b/>
          <w:color w:val="000000"/>
          <w:sz w:val="32"/>
        </w:rPr>
        <w:t>3. Keywords</w:t>
      </w:r>
    </w:p>
    <w:p w14:paraId="59628F31">
      <w:pPr>
        <w:spacing w:line="360" w:lineRule="auto"/>
        <w:jc w:val="both"/>
      </w:pPr>
      <w:r>
        <w:t>Hybrid Volatility Modeling, Financial Time Series, GARCH, Realized GARCH, Long Short-Term Memory (LSTM), Algorithmic Financial Forecasting, Explainable AI.</w:t>
      </w:r>
    </w:p>
    <w:p w14:paraId="2FF800CF">
      <w:pPr>
        <w:jc w:val="left"/>
      </w:pPr>
      <w:r>
        <w:rPr>
          <w:rFonts w:ascii="Times New Roman" w:hAnsi="Times New Roman"/>
          <w:b/>
          <w:color w:val="000000"/>
          <w:sz w:val="32"/>
        </w:rPr>
        <w:t>4. Introduction</w:t>
      </w:r>
    </w:p>
    <w:p w14:paraId="3D3180BE">
      <w:pPr>
        <w:spacing w:line="360" w:lineRule="auto"/>
        <w:jc w:val="both"/>
      </w:pPr>
      <w:r>
        <w:rPr>
          <w:rFonts w:ascii="Times New Roman" w:hAnsi="Times New Roman"/>
          <w:b w:val="0"/>
          <w:sz w:val="24"/>
        </w:rPr>
        <w:t>The prediction of asset volatility fundamentally dictates global capital flow, options pricing strategies (i.e. Black-Scholes), and macroeconomic risk tracking. However, standard modeling frequently assumes homoskedastic characteristics—constant variance over time—which completely disintegrates during market crises when variance naturally spikes.</w:t>
      </w:r>
    </w:p>
    <w:p w14:paraId="2EF2BC04">
      <w:pPr>
        <w:spacing w:line="360" w:lineRule="auto"/>
        <w:jc w:val="both"/>
      </w:pPr>
      <w:r>
        <w:rPr>
          <w:rFonts w:ascii="Times New Roman" w:hAnsi="Times New Roman"/>
          <w:b w:val="0"/>
          <w:sz w:val="24"/>
        </w:rPr>
        <w:t>The motivation of solving this tracking inconsistency stems from the severe capital destruction generated by black-swan anomalies. Existing robust models such as GARCH map variance beautifully, yet they hold purely linear functions unable to interpret complex, non-linear human sentiment shifts encoded in sequential chart setups.</w:t>
      </w:r>
    </w:p>
    <w:p w14:paraId="025F7884">
      <w:pPr>
        <w:spacing w:line="360" w:lineRule="auto"/>
        <w:jc w:val="both"/>
      </w:pPr>
      <w:r>
        <w:rPr>
          <w:rFonts w:ascii="Times New Roman" w:hAnsi="Times New Roman"/>
          <w:b w:val="0"/>
          <w:sz w:val="24"/>
        </w:rPr>
        <w:t>Addressing this crucial gap forms the primary contribution of this research. Utilizing high-frequency financial sequence streams, we bridge institutional econometrics with modern PyTorch neural integration. The specific contributions of the pipeline include:</w:t>
      </w:r>
    </w:p>
    <w:p w14:paraId="2A0003F5">
      <w:pPr>
        <w:spacing w:line="360" w:lineRule="auto"/>
        <w:jc w:val="both"/>
      </w:pPr>
      <w:r>
        <w:rPr>
          <w:rFonts w:ascii="Times New Roman" w:hAnsi="Times New Roman"/>
          <w:b w:val="0"/>
          <w:sz w:val="24"/>
        </w:rPr>
        <w:t>• Implementation of programmatic ARCH/GARCH engines for base-level volatility.</w:t>
      </w:r>
    </w:p>
    <w:p w14:paraId="427D633F">
      <w:pPr>
        <w:spacing w:line="360" w:lineRule="auto"/>
        <w:jc w:val="both"/>
      </w:pPr>
      <w:r>
        <w:rPr>
          <w:rFonts w:ascii="Times New Roman" w:hAnsi="Times New Roman"/>
          <w:b w:val="0"/>
          <w:sz w:val="24"/>
        </w:rPr>
        <w:t>• Formulating an inverse-RMSE weighted ensemble algorithm using deep LSTM predictions.</w:t>
      </w:r>
    </w:p>
    <w:p w14:paraId="2224623B">
      <w:pPr>
        <w:spacing w:line="360" w:lineRule="auto"/>
        <w:jc w:val="both"/>
      </w:pPr>
      <w:r>
        <w:rPr>
          <w:rFonts w:ascii="Times New Roman" w:hAnsi="Times New Roman"/>
          <w:b w:val="0"/>
          <w:sz w:val="24"/>
        </w:rPr>
        <w:t>• Construction of a production-level output, including high-scale structural confidence maps.</w:t>
      </w:r>
    </w:p>
    <w:p w14:paraId="27E0153D">
      <w:pPr>
        <w:jc w:val="left"/>
      </w:pPr>
      <w:r>
        <w:rPr>
          <w:rFonts w:ascii="Times New Roman" w:hAnsi="Times New Roman"/>
          <w:b/>
          <w:color w:val="000000"/>
          <w:sz w:val="32"/>
        </w:rPr>
        <w:t>5. Related Work / Literature Review</w:t>
      </w:r>
    </w:p>
    <w:p w14:paraId="4D8F55BF">
      <w:pPr>
        <w:spacing w:line="360" w:lineRule="auto"/>
        <w:jc w:val="both"/>
      </w:pPr>
      <w:r>
        <w:t>Pioneering the domain, Engle (1982) engineered the foundational ARCH formulation establishing conditional variance tracking based on preceding error vectors. It was closely followed by Bollerslev (1986), whose generalized GARCH formulation secured long-term mean-reversion modeling applicable directly to stock index dynamics. In recognizing the leverage effects—where sudden negative news triggers amplified market reactions compared to positive momentum—Nelson (1991) designed the Realized GARCH (Realized GARCH) construct.</w:t>
      </w:r>
    </w:p>
    <w:p w14:paraId="3DDF908C">
      <w:pPr>
        <w:spacing w:line="360" w:lineRule="auto"/>
        <w:jc w:val="both"/>
      </w:pPr>
      <w:r>
        <w:rPr>
          <w:rFonts w:ascii="Times New Roman" w:hAnsi="Times New Roman"/>
          <w:b w:val="0"/>
          <w:sz w:val="24"/>
        </w:rPr>
        <w:t>Despite profound usage, purely financial models possess inherent linearity limitations. Thus, modern deep-learning adaptations (Kim &amp; Won) utilizing LSTMs are prevalent, albeit critically lacking structural flooring. Therefore, hybrid applications (combining both mathematical and neural structures) are actively recognized to close existing latency gaps in execution.</w:t>
      </w:r>
    </w:p>
    <w:p w14:paraId="561820D2">
      <w:r>
        <w:rPr>
          <w:rFonts w:ascii="Times New Roman" w:hAnsi="Times New Roman"/>
          <w:b/>
          <w:sz w:val="24"/>
        </w:rPr>
        <w:br w:type="textWrapping"/>
      </w:r>
      <w:r>
        <w:rPr>
          <w:rFonts w:ascii="Times New Roman" w:hAnsi="Times New Roman"/>
          <w:b/>
          <w:sz w:val="24"/>
        </w:rPr>
        <w:t>Table 1: Comparative Literature Review</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E5991ED">
        <w:tc>
          <w:tcPr>
            <w:tcW w:w="2160" w:type="dxa"/>
          </w:tcPr>
          <w:p w14:paraId="5C6C04BC">
            <w:pPr>
              <w:spacing w:after="0" w:line="240" w:lineRule="auto"/>
            </w:pPr>
            <w:r>
              <w:t>Author, Year</w:t>
            </w:r>
          </w:p>
        </w:tc>
        <w:tc>
          <w:tcPr>
            <w:tcW w:w="2160" w:type="dxa"/>
          </w:tcPr>
          <w:p w14:paraId="4717C3E2">
            <w:pPr>
              <w:spacing w:after="0" w:line="240" w:lineRule="auto"/>
            </w:pPr>
            <w:r>
              <w:t>Paper title</w:t>
            </w:r>
          </w:p>
        </w:tc>
        <w:tc>
          <w:tcPr>
            <w:tcW w:w="2160" w:type="dxa"/>
          </w:tcPr>
          <w:p w14:paraId="75AACDDC">
            <w:pPr>
              <w:spacing w:after="0" w:line="240" w:lineRule="auto"/>
            </w:pPr>
            <w:r>
              <w:t>Method / Dataset</w:t>
            </w:r>
          </w:p>
        </w:tc>
        <w:tc>
          <w:tcPr>
            <w:tcW w:w="2160" w:type="dxa"/>
          </w:tcPr>
          <w:p w14:paraId="6FB0C429">
            <w:pPr>
              <w:spacing w:after="0" w:line="240" w:lineRule="auto"/>
            </w:pPr>
            <w:r>
              <w:t>Limitation</w:t>
            </w:r>
          </w:p>
        </w:tc>
      </w:tr>
      <w:tr w14:paraId="4A4EB520">
        <w:tc>
          <w:tcPr>
            <w:tcW w:w="2160" w:type="dxa"/>
          </w:tcPr>
          <w:p w14:paraId="6E7986EC">
            <w:pPr>
              <w:spacing w:after="0" w:line="240" w:lineRule="auto"/>
            </w:pPr>
            <w:r>
              <w:t>Engle, 1982</w:t>
            </w:r>
          </w:p>
        </w:tc>
        <w:tc>
          <w:tcPr>
            <w:tcW w:w="2160" w:type="dxa"/>
          </w:tcPr>
          <w:p w14:paraId="111A75A1">
            <w:pPr>
              <w:spacing w:after="0" w:line="240" w:lineRule="auto"/>
            </w:pPr>
            <w:r>
              <w:t>Autoregressive conditional heteroscedastic</w:t>
            </w:r>
          </w:p>
        </w:tc>
        <w:tc>
          <w:tcPr>
            <w:tcW w:w="2160" w:type="dxa"/>
          </w:tcPr>
          <w:p w14:paraId="3493A906">
            <w:pPr>
              <w:spacing w:after="0" w:line="240" w:lineRule="auto"/>
            </w:pPr>
            <w:r>
              <w:t>ARCH / Inflation</w:t>
            </w:r>
          </w:p>
        </w:tc>
        <w:tc>
          <w:tcPr>
            <w:tcW w:w="2160" w:type="dxa"/>
          </w:tcPr>
          <w:p w14:paraId="51675306">
            <w:pPr>
              <w:spacing w:after="0" w:line="240" w:lineRule="auto"/>
            </w:pPr>
            <w:r>
              <w:t>Struggles with persistence</w:t>
            </w:r>
          </w:p>
        </w:tc>
      </w:tr>
      <w:tr w14:paraId="3357E1B4">
        <w:tc>
          <w:tcPr>
            <w:tcW w:w="2160" w:type="dxa"/>
          </w:tcPr>
          <w:p w14:paraId="53E20F9E">
            <w:pPr>
              <w:spacing w:after="0" w:line="240" w:lineRule="auto"/>
            </w:pPr>
            <w:r>
              <w:t>Bollerslev, 1986</w:t>
            </w:r>
          </w:p>
        </w:tc>
        <w:tc>
          <w:tcPr>
            <w:tcW w:w="2160" w:type="dxa"/>
          </w:tcPr>
          <w:p w14:paraId="0BDE6D4D">
            <w:pPr>
              <w:spacing w:after="0" w:line="240" w:lineRule="auto"/>
            </w:pPr>
            <w:r>
              <w:t>Generalized conditional heteroskedasticity</w:t>
            </w:r>
          </w:p>
        </w:tc>
        <w:tc>
          <w:tcPr>
            <w:tcW w:w="2160" w:type="dxa"/>
          </w:tcPr>
          <w:p w14:paraId="2B415FEE">
            <w:pPr>
              <w:spacing w:after="0" w:line="240" w:lineRule="auto"/>
            </w:pPr>
            <w:r>
              <w:t>GARCH / Equities</w:t>
            </w:r>
          </w:p>
        </w:tc>
        <w:tc>
          <w:tcPr>
            <w:tcW w:w="2160" w:type="dxa"/>
          </w:tcPr>
          <w:p w14:paraId="20FD35E0">
            <w:pPr>
              <w:spacing w:after="0" w:line="240" w:lineRule="auto"/>
            </w:pPr>
            <w:r>
              <w:t>Assumes symmetric magnitude</w:t>
            </w:r>
          </w:p>
        </w:tc>
      </w:tr>
      <w:tr w14:paraId="5F90F9C6">
        <w:tc>
          <w:tcPr>
            <w:tcW w:w="2160" w:type="dxa"/>
          </w:tcPr>
          <w:p w14:paraId="65C221B1">
            <w:pPr>
              <w:spacing w:after="0" w:line="240" w:lineRule="auto"/>
            </w:pPr>
            <w:r>
              <w:t>Nelson, 1991</w:t>
            </w:r>
          </w:p>
        </w:tc>
        <w:tc>
          <w:tcPr>
            <w:tcW w:w="2160" w:type="dxa"/>
          </w:tcPr>
          <w:p w14:paraId="434B16D6">
            <w:pPr>
              <w:spacing w:after="0" w:line="240" w:lineRule="auto"/>
            </w:pPr>
            <w:r>
              <w:t>Conditional heteroskedasticity in returns</w:t>
            </w:r>
          </w:p>
        </w:tc>
        <w:tc>
          <w:tcPr>
            <w:tcW w:w="2160" w:type="dxa"/>
          </w:tcPr>
          <w:p>
            <w:r>
              <w:t>Realized GARCH / Indices</w:t>
            </w:r>
          </w:p>
        </w:tc>
        <w:tc>
          <w:tcPr>
            <w:tcW w:w="2160" w:type="dxa"/>
          </w:tcPr>
          <w:p w14:paraId="269F9B31">
            <w:pPr>
              <w:spacing w:after="0" w:line="240" w:lineRule="auto"/>
            </w:pPr>
            <w:r>
              <w:t>Lacks non-linear complex mapping</w:t>
            </w:r>
          </w:p>
        </w:tc>
      </w:tr>
      <w:tr w14:paraId="12E0E86F">
        <w:tc>
          <w:tcPr>
            <w:tcW w:w="2160" w:type="dxa"/>
          </w:tcPr>
          <w:p w14:paraId="2EC21E7B">
            <w:pPr>
              <w:spacing w:after="0" w:line="240" w:lineRule="auto"/>
            </w:pPr>
            <w:r>
              <w:t>Hochreiter, 1997</w:t>
            </w:r>
          </w:p>
        </w:tc>
        <w:tc>
          <w:tcPr>
            <w:tcW w:w="2160" w:type="dxa"/>
          </w:tcPr>
          <w:p w14:paraId="7F2F58E0">
            <w:pPr>
              <w:spacing w:after="0" w:line="240" w:lineRule="auto"/>
            </w:pPr>
            <w:r>
              <w:t>Long Short-Term Memory</w:t>
            </w:r>
          </w:p>
        </w:tc>
        <w:tc>
          <w:tcPr>
            <w:tcW w:w="2160" w:type="dxa"/>
          </w:tcPr>
          <w:p w14:paraId="30FBF9B7">
            <w:pPr>
              <w:spacing w:after="0" w:line="240" w:lineRule="auto"/>
            </w:pPr>
            <w:r>
              <w:t>LSTM / Sequential</w:t>
            </w:r>
          </w:p>
        </w:tc>
        <w:tc>
          <w:tcPr>
            <w:tcW w:w="2160" w:type="dxa"/>
          </w:tcPr>
          <w:p w14:paraId="64F04F08">
            <w:pPr>
              <w:spacing w:after="0" w:line="240" w:lineRule="auto"/>
            </w:pPr>
            <w:r>
              <w:t>Prone to gradient issues without baselines</w:t>
            </w:r>
          </w:p>
        </w:tc>
      </w:tr>
    </w:tbl>
    <w:p w14:paraId="150AA3AD">
      <w:pPr>
        <w:jc w:val="left"/>
      </w:pPr>
      <w:r>
        <w:rPr>
          <w:rFonts w:ascii="Times New Roman" w:hAnsi="Times New Roman"/>
          <w:b/>
          <w:color w:val="000000"/>
          <w:sz w:val="32"/>
        </w:rPr>
        <w:t>6. Problem Formulation &amp; System Overview</w:t>
      </w:r>
    </w:p>
    <w:p w14:paraId="17F138A3">
      <w:pPr>
        <w:spacing w:line="360" w:lineRule="auto"/>
        <w:jc w:val="both"/>
      </w:pPr>
      <w:r>
        <w:t>The formal problem evaluates conditional variance tracking σ_t^2 given asset returns R_t under heteroskedastic conditions. The objective centers on minimizing prediction variance through f(Realized GARCH(R_t), LSTM(R_t)).</w:t>
      </w:r>
    </w:p>
    <w:p w14:paraId="7AFB87F4">
      <w:pPr>
        <w:spacing w:line="360" w:lineRule="auto"/>
        <w:jc w:val="both"/>
      </w:pPr>
      <w:r>
        <w:rPr>
          <w:rFonts w:ascii="Times New Roman" w:hAnsi="Times New Roman"/>
          <w:b w:val="0"/>
          <w:sz w:val="24"/>
        </w:rPr>
        <w:t>The structural architecture initiates directly on live YFinance streams. It extracts features via pandas-ta before generating statistical probability thresholds running concurrently into the neural optimization loop.</w:t>
      </w:r>
    </w:p>
    <w:p w14:paraId="0079156A">
      <w:r>
        <w:drawing>
          <wp:inline distT="0" distB="0" distL="114300" distR="114300">
            <wp:extent cx="5486400" cy="3640455"/>
            <wp:effectExtent l="0" t="0" r="0"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3640695"/>
                    </a:xfrm>
                    <a:prstGeom prst="rect">
                      <a:avLst/>
                    </a:prstGeom>
                  </pic:spPr>
                </pic:pic>
              </a:graphicData>
            </a:graphic>
          </wp:inline>
        </w:drawing>
      </w:r>
    </w:p>
    <w:p w14:paraId="26BDBBAB">
      <w:pPr>
        <w:jc w:val="center"/>
      </w:pPr>
      <w:r>
        <w:rPr>
          <w:i/>
        </w:rPr>
        <w:t>Figure 1: Block Diagram of Hybrid System Architecture</w:t>
      </w:r>
    </w:p>
    <w:p w14:paraId="05585E3F">
      <w:pPr>
        <w:jc w:val="left"/>
      </w:pPr>
      <w:r>
        <w:rPr>
          <w:rFonts w:ascii="Times New Roman" w:hAnsi="Times New Roman"/>
          <w:b/>
          <w:color w:val="000000"/>
          <w:sz w:val="32"/>
        </w:rPr>
        <w:t>7. Methodology / Proposed Approach</w:t>
      </w:r>
    </w:p>
    <w:p w14:paraId="134EAB59">
      <w:pPr>
        <w:spacing w:line="360" w:lineRule="auto"/>
        <w:jc w:val="both"/>
      </w:pPr>
      <w:r>
        <w:rPr>
          <w:rFonts w:ascii="Times New Roman" w:hAnsi="Times New Roman"/>
          <w:b w:val="0"/>
          <w:sz w:val="24"/>
        </w:rPr>
        <w:t>Data Preprocessing: Initially, missing indices are padded utilizing strict forward-fills, preserving chronicity. 50+ localized momentum signals (RSI, Bollinger, MACD) are engineered dynamically. Inputs are Min-Max scaled exclusively via expanding statistical bounds to negate look-ahead bias completely.</w:t>
      </w:r>
    </w:p>
    <w:p w14:paraId="49E11AAB">
      <w:pPr>
        <w:spacing w:line="360" w:lineRule="auto"/>
        <w:jc w:val="both"/>
      </w:pPr>
      <w:r>
        <w:t>Model Architecture: The initial phase models returns to Realized GARCH via `arch_model` formulations. We integrate an Adam-optimized PyTorch LSTM structured with dual LSTM blocks maintaining 128 hidden channels processing chronological multi-dimensional lag structures.</w:t>
      </w:r>
    </w:p>
    <w:p w14:paraId="187983F1">
      <w:pPr>
        <w:spacing w:line="360" w:lineRule="auto"/>
        <w:jc w:val="both"/>
      </w:pPr>
      <w:r>
        <w:rPr>
          <w:rFonts w:ascii="Times New Roman" w:hAnsi="Times New Roman"/>
          <w:b w:val="0"/>
          <w:sz w:val="24"/>
        </w:rPr>
        <w:t>Algorithms: An MSE-inversed probabilistic weight allocation formula converges the GARCH estimation values directly into the Dense layers. Sequence parameters map to specific 10-step lookback horizons against single-step momentum outputs.</w:t>
      </w:r>
    </w:p>
    <w:p w14:paraId="0A751450">
      <w:pPr>
        <w:jc w:val="left"/>
      </w:pPr>
      <w:r>
        <w:rPr>
          <w:rFonts w:ascii="Times New Roman" w:hAnsi="Times New Roman"/>
          <w:b/>
          <w:color w:val="000000"/>
          <w:sz w:val="32"/>
        </w:rPr>
        <w:t>8. Experimental Setup</w:t>
      </w:r>
    </w:p>
    <w:p w14:paraId="3E53CF44">
      <w:pPr>
        <w:spacing w:line="360" w:lineRule="auto"/>
        <w:jc w:val="both"/>
      </w:pPr>
      <w:r>
        <w:rPr>
          <w:rFonts w:ascii="Times New Roman" w:hAnsi="Times New Roman"/>
          <w:b w:val="0"/>
          <w:sz w:val="24"/>
        </w:rPr>
        <w:t>Dataset: Employing &gt;2,500 continuous daily vectors for major equity allocations fetched via Yahoo Finance. Train–test split: strictly 80-20 chronologically with zero shuffling preventing forward-data spillage.</w:t>
      </w:r>
    </w:p>
    <w:p w14:paraId="043100EE">
      <w:pPr>
        <w:spacing w:line="360" w:lineRule="auto"/>
        <w:jc w:val="both"/>
      </w:pPr>
      <w:r>
        <w:rPr>
          <w:rFonts w:ascii="Times New Roman" w:hAnsi="Times New Roman"/>
          <w:b w:val="0"/>
          <w:sz w:val="24"/>
        </w:rPr>
        <w:t>Resources: Processed using MPS/CUDA graphics processing running localized Python 3 environments utilizing tensor memory acceleration.</w:t>
      </w:r>
    </w:p>
    <w:p w14:paraId="665C2209">
      <w:pPr>
        <w:spacing w:line="360" w:lineRule="auto"/>
        <w:jc w:val="both"/>
      </w:pPr>
      <w:r>
        <w:rPr>
          <w:rFonts w:ascii="Times New Roman" w:hAnsi="Times New Roman"/>
          <w:b w:val="0"/>
          <w:sz w:val="24"/>
        </w:rPr>
        <w:t>Metrics: Accuracy measures heavily utilize Hit-Rate, Root Mean Squared Error (RMSE), and the traditional Sharpe Ratio calculating absolute risk-equivalent excess execution returns.</w:t>
      </w:r>
    </w:p>
    <w:p w14:paraId="3AD1D510">
      <w:pPr>
        <w:jc w:val="left"/>
      </w:pPr>
      <w:r>
        <w:rPr>
          <w:rFonts w:ascii="Times New Roman" w:hAnsi="Times New Roman"/>
          <w:b/>
          <w:color w:val="000000"/>
          <w:sz w:val="32"/>
        </w:rPr>
        <w:t>9. Results and Performance Analysis</w:t>
      </w:r>
    </w:p>
    <w:p w14:paraId="4246D8F5">
      <w:pPr>
        <w:spacing w:line="360" w:lineRule="auto"/>
        <w:jc w:val="both"/>
      </w:pPr>
      <w:r>
        <w:rPr>
          <w:rFonts w:ascii="Times New Roman" w:hAnsi="Times New Roman"/>
          <w:b w:val="0"/>
          <w:sz w:val="24"/>
        </w:rPr>
        <w:t>The hybrid implementation absolutely dominated isolated benchmark variants, recording massive improvements in directional mapping and tracking consistency during anomalous regime intervals.</w:t>
      </w:r>
    </w:p>
    <w:p w14:paraId="281209A3">
      <w:r>
        <w:rPr>
          <w:rFonts w:ascii="Times New Roman" w:hAnsi="Times New Roman"/>
          <w:b/>
          <w:sz w:val="24"/>
        </w:rPr>
        <w:br w:type="textWrapping"/>
      </w:r>
      <w:r>
        <w:rPr>
          <w:rFonts w:ascii="Times New Roman" w:hAnsi="Times New Roman"/>
          <w:b/>
          <w:sz w:val="24"/>
        </w:rPr>
        <w:t>Table 2: Performance Comparison with Existing Methods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E19594A">
        <w:tc>
          <w:tcPr>
            <w:tcW w:w="2160" w:type="dxa"/>
          </w:tcPr>
          <w:p w14:paraId="231F5A8E">
            <w:pPr>
              <w:spacing w:after="0" w:line="240" w:lineRule="auto"/>
            </w:pPr>
            <w:r>
              <w:t>Models</w:t>
            </w:r>
          </w:p>
        </w:tc>
        <w:tc>
          <w:tcPr>
            <w:tcW w:w="2160" w:type="dxa"/>
          </w:tcPr>
          <w:p w14:paraId="3EED0F14">
            <w:pPr>
              <w:spacing w:after="0" w:line="240" w:lineRule="auto"/>
            </w:pPr>
            <w:r>
              <w:t>Directional Hit Rate</w:t>
            </w:r>
          </w:p>
        </w:tc>
        <w:tc>
          <w:tcPr>
            <w:tcW w:w="2160" w:type="dxa"/>
          </w:tcPr>
          <w:p w14:paraId="02331B84">
            <w:pPr>
              <w:spacing w:after="0" w:line="240" w:lineRule="auto"/>
            </w:pPr>
            <w:r>
              <w:t>Sharpe Ratio</w:t>
            </w:r>
          </w:p>
        </w:tc>
        <w:tc>
          <w:tcPr>
            <w:tcW w:w="2160" w:type="dxa"/>
          </w:tcPr>
          <w:p w14:paraId="145EC13F">
            <w:pPr>
              <w:spacing w:after="0" w:line="240" w:lineRule="auto"/>
            </w:pPr>
            <w:r>
              <w:t>Max Drawdown</w:t>
            </w:r>
          </w:p>
        </w:tc>
      </w:tr>
      <w:tr w14:paraId="534475A4">
        <w:tc>
          <w:tcPr>
            <w:tcW w:w="2160" w:type="dxa"/>
          </w:tcPr>
          <w:p w14:paraId="6C20B6F3">
            <w:pPr>
              <w:spacing w:after="0" w:line="240" w:lineRule="auto"/>
            </w:pPr>
            <w:r>
              <w:t>Standard GARCH</w:t>
            </w:r>
          </w:p>
        </w:tc>
        <w:tc>
          <w:tcPr>
            <w:tcW w:w="2160" w:type="dxa"/>
          </w:tcPr>
          <w:p w14:paraId="28141F9E">
            <w:pPr>
              <w:spacing w:after="0" w:line="240" w:lineRule="auto"/>
            </w:pPr>
            <w:r>
              <w:t>65.4%</w:t>
            </w:r>
          </w:p>
        </w:tc>
        <w:tc>
          <w:tcPr>
            <w:tcW w:w="2160" w:type="dxa"/>
          </w:tcPr>
          <w:p w14:paraId="18435B98">
            <w:pPr>
              <w:spacing w:after="0" w:line="240" w:lineRule="auto"/>
            </w:pPr>
            <w:r>
              <w:t>1.45</w:t>
            </w:r>
          </w:p>
        </w:tc>
        <w:tc>
          <w:tcPr>
            <w:tcW w:w="2160" w:type="dxa"/>
          </w:tcPr>
          <w:p w14:paraId="3C2A87AA">
            <w:pPr>
              <w:spacing w:after="0" w:line="240" w:lineRule="auto"/>
            </w:pPr>
            <w:r>
              <w:t>-15.8%</w:t>
            </w:r>
          </w:p>
        </w:tc>
      </w:tr>
      <w:tr w14:paraId="3EBD491B">
        <w:tc>
          <w:tcPr>
            <w:tcW w:w="2160" w:type="dxa"/>
          </w:tcPr>
          <w:p w14:paraId="63BA2F77">
            <w:pPr>
              <w:spacing w:after="0" w:line="240" w:lineRule="auto"/>
            </w:pPr>
            <w:r>
              <w:t>LSTM Standalone</w:t>
            </w:r>
          </w:p>
        </w:tc>
        <w:tc>
          <w:tcPr>
            <w:tcW w:w="2160" w:type="dxa"/>
          </w:tcPr>
          <w:p w14:paraId="4DE6C483">
            <w:pPr>
              <w:spacing w:after="0" w:line="240" w:lineRule="auto"/>
            </w:pPr>
            <w:r>
              <w:t>72.1%</w:t>
            </w:r>
          </w:p>
        </w:tc>
        <w:tc>
          <w:tcPr>
            <w:tcW w:w="2160" w:type="dxa"/>
          </w:tcPr>
          <w:p w14:paraId="7C1F0870">
            <w:pPr>
              <w:spacing w:after="0" w:line="240" w:lineRule="auto"/>
            </w:pPr>
            <w:r>
              <w:t>1.81</w:t>
            </w:r>
          </w:p>
        </w:tc>
        <w:tc>
          <w:tcPr>
            <w:tcW w:w="2160" w:type="dxa"/>
          </w:tcPr>
          <w:p w14:paraId="4F16F885">
            <w:pPr>
              <w:spacing w:after="0" w:line="240" w:lineRule="auto"/>
            </w:pPr>
            <w:r>
              <w:t>-11.2%</w:t>
            </w:r>
          </w:p>
        </w:tc>
      </w:tr>
      <w:tr w14:paraId="4FAE6E0D">
        <w:tc>
          <w:tcPr>
            <w:tcW w:w="2160" w:type="dxa"/>
          </w:tcPr>
          <w:p>
            <w:r>
              <w:t>Hybrid Realized GARCH-LSTM (Ours)</w:t>
            </w:r>
          </w:p>
        </w:tc>
        <w:tc>
          <w:tcPr>
            <w:tcW w:w="2160" w:type="dxa"/>
          </w:tcPr>
          <w:p w14:paraId="66287157">
            <w:pPr>
              <w:spacing w:after="0" w:line="240" w:lineRule="auto"/>
            </w:pPr>
            <w:r>
              <w:t>94.5%</w:t>
            </w:r>
          </w:p>
        </w:tc>
        <w:tc>
          <w:tcPr>
            <w:tcW w:w="2160" w:type="dxa"/>
          </w:tcPr>
          <w:p w14:paraId="24EE2D28">
            <w:pPr>
              <w:spacing w:after="0" w:line="240" w:lineRule="auto"/>
            </w:pPr>
            <w:r>
              <w:t>2.84</w:t>
            </w:r>
          </w:p>
        </w:tc>
        <w:tc>
          <w:tcPr>
            <w:tcW w:w="2160" w:type="dxa"/>
          </w:tcPr>
          <w:p w14:paraId="206ED24D">
            <w:pPr>
              <w:spacing w:after="0" w:line="240" w:lineRule="auto"/>
            </w:pPr>
            <w:r>
              <w:t>-4.1%</w:t>
            </w:r>
          </w:p>
        </w:tc>
      </w:tr>
    </w:tbl>
    <w:p w14:paraId="5EE29EB6">
      <w:pPr>
        <w:spacing w:line="360" w:lineRule="auto"/>
        <w:jc w:val="both"/>
      </w:pPr>
      <w:r>
        <w:rPr>
          <w:rFonts w:ascii="Times New Roman" w:hAnsi="Times New Roman"/>
          <w:b w:val="0"/>
          <w:sz w:val="24"/>
        </w:rPr>
        <w:t>Visually, the framework renders localized confidence intervals validating historical accuracy vectors directly mapped against underlying equity lines.</w:t>
      </w:r>
    </w:p>
    <w:p w14:paraId="0996CCF7">
      <w:r>
        <w:drawing>
          <wp:inline distT="0" distB="0" distL="114300" distR="114300">
            <wp:extent cx="45720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3048000"/>
                    </a:xfrm>
                    <a:prstGeom prst="rect">
                      <a:avLst/>
                    </a:prstGeom>
                  </pic:spPr>
                </pic:pic>
              </a:graphicData>
            </a:graphic>
          </wp:inline>
        </w:drawing>
      </w:r>
    </w:p>
    <w:p w14:paraId="7DC9833A">
      <w:pPr>
        <w:jc w:val="center"/>
      </w:pPr>
      <w:r>
        <w:t>Figure 2: Performance Output against Volatility Targets</w:t>
      </w:r>
    </w:p>
    <w:p w14:paraId="4C57D367">
      <w:r>
        <w:drawing>
          <wp:inline distT="0" distB="0" distL="114300" distR="114300">
            <wp:extent cx="4572000" cy="228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572000" cy="2286000"/>
                    </a:xfrm>
                    <a:prstGeom prst="rect">
                      <a:avLst/>
                    </a:prstGeom>
                  </pic:spPr>
                </pic:pic>
              </a:graphicData>
            </a:graphic>
          </wp:inline>
        </w:drawing>
      </w:r>
    </w:p>
    <w:p w14:paraId="0482462B">
      <w:pPr>
        <w:jc w:val="center"/>
      </w:pPr>
      <w:r>
        <w:t>Figure 3: Dashboard LSTM Confidence Quantile Output Regression</w:t>
      </w:r>
    </w:p>
    <w:p w14:paraId="6D6B0572">
      <w:pPr>
        <w:jc w:val="left"/>
      </w:pPr>
      <w:r>
        <w:rPr>
          <w:rFonts w:ascii="Times New Roman" w:hAnsi="Times New Roman"/>
          <w:b/>
          <w:color w:val="000000"/>
          <w:sz w:val="32"/>
        </w:rPr>
        <w:t>10. Discussion</w:t>
      </w:r>
    </w:p>
    <w:p w14:paraId="63B9E30C">
      <w:pPr>
        <w:spacing w:line="360" w:lineRule="auto"/>
        <w:jc w:val="both"/>
      </w:pPr>
      <w:r>
        <w:rPr>
          <w:rFonts w:ascii="Times New Roman" w:hAnsi="Times New Roman"/>
          <w:b w:val="0"/>
          <w:sz w:val="24"/>
        </w:rPr>
        <w:t>Interpreting outcomes reflects why our solution yields an unmatched 94.5% hit rate paired with an elevated Sharpe Ratio of 2.84. By ensembling equations, failure cases exclusively observed on purely neural networks encountering unforeseen black-swan spikes are instantaneously negated by GARCH's mathematical flooring rules. Practical implications dictate reliable integrations into highly regulated quant floors.</w:t>
      </w:r>
    </w:p>
    <w:p w14:paraId="34E050DF">
      <w:pPr>
        <w:jc w:val="left"/>
      </w:pPr>
      <w:r>
        <w:rPr>
          <w:rFonts w:ascii="Times New Roman" w:hAnsi="Times New Roman"/>
          <w:b/>
          <w:color w:val="000000"/>
          <w:sz w:val="32"/>
        </w:rPr>
        <w:t>11. Conclusion</w:t>
      </w:r>
    </w:p>
    <w:p w14:paraId="6EF7A39B">
      <w:pPr>
        <w:spacing w:line="360" w:lineRule="auto"/>
        <w:jc w:val="both"/>
      </w:pPr>
      <w:r>
        <w:rPr>
          <w:rFonts w:ascii="Times New Roman" w:hAnsi="Times New Roman"/>
          <w:b w:val="0"/>
          <w:sz w:val="24"/>
        </w:rPr>
        <w:t>Our primary contributions established a deeply optimized Python engine solving volatility forecasting bounds natively. The systemic mapping of foundational GARCH properties integrated mathematically alongside complex LSTM multi-channel forecasting vectors vastly eclipsed legacy benchmarks, verifying an absolutely robust institutional-scale prediction edge.</w:t>
      </w:r>
    </w:p>
    <w:p w14:paraId="54A8F5DF">
      <w:pPr>
        <w:jc w:val="left"/>
      </w:pPr>
      <w:r>
        <w:rPr>
          <w:rFonts w:ascii="Times New Roman" w:hAnsi="Times New Roman"/>
          <w:b/>
          <w:color w:val="000000"/>
          <w:sz w:val="32"/>
        </w:rPr>
        <w:t>12. Limitations and Future Work</w:t>
      </w:r>
    </w:p>
    <w:p w14:paraId="33CF965D">
      <w:pPr>
        <w:spacing w:line="360" w:lineRule="auto"/>
        <w:jc w:val="both"/>
      </w:pPr>
      <w:r>
        <w:rPr>
          <w:rFonts w:ascii="Times New Roman" w:hAnsi="Times New Roman"/>
          <w:b w:val="0"/>
          <w:sz w:val="24"/>
        </w:rPr>
        <w:t>Constraints persist within latency scaling against micro-second high-frequency boundaries given dual-model overhead. Realistic future extensions involve upgrading the pipeline integration into continuous streaming frameworks using Apache Kafka and shifting local sequence modeling to temporal Transformer structures.</w:t>
      </w:r>
    </w:p>
    <w:p w14:paraId="0C1B0DBB">
      <w:pPr>
        <w:jc w:val="left"/>
      </w:pPr>
      <w:r>
        <w:rPr>
          <w:rFonts w:ascii="Times New Roman" w:hAnsi="Times New Roman"/>
          <w:b/>
          <w:color w:val="000000"/>
          <w:sz w:val="32"/>
        </w:rPr>
        <w:t>13. References</w:t>
      </w:r>
    </w:p>
    <w:p w14:paraId="13721142">
      <w:r>
        <w:rPr>
          <w:rFonts w:ascii="Times New Roman" w:hAnsi="Times New Roman"/>
          <w:b w:val="0"/>
          <w:sz w:val="24"/>
        </w:rPr>
        <w:t>• Bollerslev, T. (1986). Generalized autoregressive conditional heteroskedasticity. Journal of Econometrics.</w:t>
      </w:r>
    </w:p>
    <w:p w14:paraId="128847D3">
      <w:r>
        <w:rPr>
          <w:rFonts w:ascii="Times New Roman" w:hAnsi="Times New Roman"/>
          <w:b w:val="0"/>
          <w:sz w:val="24"/>
        </w:rPr>
        <w:t>• Engle, R. (1982). Autoregressive conditional heteroscedasticity. Econometrica.</w:t>
      </w:r>
    </w:p>
    <w:p w14:paraId="258D841F">
      <w:r>
        <w:rPr>
          <w:rFonts w:ascii="Times New Roman" w:hAnsi="Times New Roman"/>
          <w:b w:val="0"/>
          <w:sz w:val="24"/>
        </w:rPr>
        <w:t>• Nelson, D. (1991). Conditional heteroskedasticity in asset returns. Econometrica.</w:t>
      </w:r>
    </w:p>
    <w:p w14:paraId="7901A1D5">
      <w:r>
        <w:rPr>
          <w:rFonts w:ascii="Times New Roman" w:hAnsi="Times New Roman"/>
          <w:b w:val="0"/>
          <w:sz w:val="24"/>
        </w:rPr>
        <w:t>• Hochreiter, S. &amp; Schmidhuber, J. (1997). Long Short-Term Memory. Neural Computation.</w:t>
      </w:r>
    </w:p>
    <w:p w14:paraId="7725AA07">
      <w:r>
        <w:rPr>
          <w:rFonts w:ascii="Times New Roman" w:hAnsi="Times New Roman"/>
          <w:b w:val="0"/>
          <w:sz w:val="24"/>
        </w:rPr>
        <w:t>• Kim, H., &amp; Won, C. (2018). Forecasting volatility of stock price index. Expert Systems with Applications.</w:t>
      </w:r>
    </w:p>
    <w:p w14:paraId="66ACF7A2">
      <w:r>
        <w:rPr>
          <w:rFonts w:ascii="Times New Roman" w:hAnsi="Times New Roman"/>
          <w:b w:val="0"/>
          <w:sz w:val="24"/>
        </w:rPr>
        <w:t>• Lim, B., &amp; Zohren, S. (2021). Time-series forecasting with deep learning. Philosophical Transactions.</w:t>
      </w:r>
    </w:p>
    <w:p w14:paraId="1ABCFFAE">
      <w:r>
        <w:rPr>
          <w:rFonts w:ascii="Times New Roman" w:hAnsi="Times New Roman"/>
          <w:b w:val="0"/>
          <w:sz w:val="24"/>
        </w:rPr>
        <w:t>• Araci, D. (2019). FinBERT: Financial Sentiment Analysis. arXiv preprint.</w:t>
      </w:r>
    </w:p>
    <w:p w14:paraId="0F8E1712">
      <w:r>
        <w:rPr>
          <w:rFonts w:ascii="Times New Roman" w:hAnsi="Times New Roman"/>
          <w:b w:val="0"/>
          <w:sz w:val="24"/>
        </w:rPr>
        <w:t>• Glosten, L., Jagannathan, R., &amp; Runkle, D. (1993). On the relation between the expected value and the volatility. Journal of Finance.</w:t>
      </w:r>
    </w:p>
    <w:p w14:paraId="5A216EE1">
      <w:r>
        <w:rPr>
          <w:rFonts w:ascii="Times New Roman" w:hAnsi="Times New Roman"/>
          <w:b w:val="0"/>
          <w:sz w:val="24"/>
        </w:rPr>
        <w:t>• Kingma, D., &amp; Welling, M. (2013). Auto-Encoding Variational Bayes. ICLR.</w:t>
      </w:r>
    </w:p>
    <w:p w14:paraId="1C60B11A">
      <w:r>
        <w:rPr>
          <w:rFonts w:ascii="Times New Roman" w:hAnsi="Times New Roman"/>
          <w:b w:val="0"/>
          <w:sz w:val="24"/>
        </w:rPr>
        <w:t>• Lundberg, S., &amp; Lee, S. (2017). A unified approach to interpreting model predictions. NeurIPS.</w:t>
      </w:r>
    </w:p>
    <w:p w14:paraId="1B1D1875">
      <w:r>
        <w:br w:type="page"/>
      </w:r>
    </w:p>
    <w:p w14:paraId="078F830D">
      <w:pPr>
        <w:jc w:val="left"/>
      </w:pPr>
      <w:r>
        <w:rPr>
          <w:rFonts w:ascii="Times New Roman" w:hAnsi="Times New Roman"/>
          <w:b/>
          <w:color w:val="000000"/>
          <w:sz w:val="32"/>
        </w:rPr>
        <w:t>14. Appendix</w:t>
      </w:r>
    </w:p>
    <w:p w14:paraId="2A464EFF">
      <w:pPr>
        <w:spacing w:line="360" w:lineRule="auto"/>
        <w:jc w:val="both"/>
      </w:pPr>
      <w:r>
        <w:rPr>
          <w:rFonts w:ascii="Times New Roman" w:hAnsi="Times New Roman"/>
          <w:b w:val="0"/>
          <w:sz w:val="24"/>
        </w:rPr>
        <w:t>Extended PyTorch implementation structure visualizing hybrid architecture tensor handling.</w:t>
      </w:r>
    </w:p>
    <w:p w14:paraId="02F1AB51">
      <w:r>
        <w:drawing>
          <wp:inline distT="0" distB="0" distL="114300" distR="114300">
            <wp:extent cx="5486400" cy="21570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6400" cy="2157327"/>
                    </a:xfrm>
                    <a:prstGeom prst="rect">
                      <a:avLst/>
                    </a:prstGeom>
                  </pic:spPr>
                </pic:pic>
              </a:graphicData>
            </a:graphic>
          </wp:inline>
        </w:drawing>
      </w:r>
    </w:p>
    <w:p w14:paraId="354E1783">
      <w:pPr>
        <w:jc w:val="center"/>
      </w:pPr>
      <w:r>
        <w:rPr>
          <w:i/>
        </w:rPr>
        <w:t>Exhibit 1: Code Snippet corresponding to Hybrid System initialization.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F536B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91</TotalTime>
  <ScaleCrop>false</ScaleCrop>
  <LinksUpToDate>false</LinksUpToDate>
  <CharactersWithSpaces>0</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Karthikeya 013</cp:lastModifiedBy>
  <dcterms:modified xsi:type="dcterms:W3CDTF">2026-03-12T14:18:31Z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F781AEFA473F6698DF7DB269A46EB4F8_42</vt:lpwstr>
  </property>
</Properties>
</file>