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Procedures &amp; Results — Securitization Document Review</w:t>
      </w:r>
    </w:p>
    <w:p>
      <w:pPr>
        <w:spacing w:after="200"/>
      </w:pPr>
      <w:r>
        <w:rPr>
          <w:i/>
          <w:iCs/>
          <w:sz w:val="22"/>
          <w:szCs w:val="22"/>
        </w:rPr>
        <w:t xml:space="preserve">Practice Work Sample — Securitization Document Intelligence &amp; Investor Analytics Toolkit</w:t>
      </w:r>
    </w:p>
    <w:p>
      <w:pPr>
        <w:spacing w:after="60" w:before="120"/>
      </w:pPr>
      <w:r>
        <w:rPr>
          <w:b/>
          <w:bCs/>
        </w:rPr>
        <w:t xml:space="preserve">Nature of this document</w:t>
      </w:r>
    </w:p>
    <w:p>
      <w:pPr>
        <w:spacing w:after="100"/>
      </w:pPr>
      <w:r>
        <w:t xml:space="preserve">This is a procedures-and-results work paper of the kind an analyst assembles to support an Agreed-Upon Procedures (AUP) engagement — it is not a signed AUP report. A signed AUP report (e.g., an Independent Accountant's Report on Applying Agreed-Upon Procedures under AICPA AT-C 215 / IAASB ISRS 4400) is issued by an accounting firm to specified parties under real engagement authority, which this personal project does not have and does not simulate. Every procedure and result below was generated by running this project's own extraction, scoring, and cash flow code against real SEC filings — none of the findings are hand-written.</w:t>
      </w:r>
    </w:p>
    <w:p>
      <w:pPr>
        <w:spacing w:after="60" w:before="120"/>
      </w:pPr>
      <w:r>
        <w:rPr>
          <w:b/>
          <w:bCs/>
        </w:rPr>
        <w:t xml:space="preserve">Scope</w:t>
      </w:r>
    </w:p>
    <w:p>
      <w:pPr>
        <w:spacing w:after="100"/>
      </w:pPr>
      <w:r>
        <w:t xml:space="preserve">Two real, public SEC EDGAR filings: VW Auto Lease Trust 2025-B (Form 424B5, ABS) and Benchmark 2024-V7 Mortgage Trust (Form 424B2, CMBS). Procedures performed: (1) document abstraction accuracy vs. manually verified ground truth, (2) cash flow waterfall recomputation (WAL, approximate pre-tax yield), and, for the CMBS deal, (3) a pool-concentration threshold test.</w:t>
      </w:r>
    </w:p>
    <w:p>
      <w:pPr>
        <w:pStyle w:val="Heading2"/>
        <w:spacing w:after="100" w:before="200"/>
      </w:pPr>
      <w:r>
        <w:t xml:space="preserve">Summary of Results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800"/>
      </w:tblGrid>
      <w:tr>
        <w:tc>
          <w:tcPr>
            <w:tcW w:type="dxa" w:w="3200"/>
            <w:shd w:fill="D9D9D9" w:val="clear"/>
          </w:tcPr>
          <w:p>
            <w:r>
              <w:rPr>
                <w:b/>
                <w:bCs/>
                <w:sz w:val="20"/>
                <w:szCs w:val="20"/>
              </w:rPr>
              <w:t xml:space="preserve">Deal</w:t>
            </w:r>
          </w:p>
        </w:tc>
        <w:tc>
          <w:tcPr>
            <w:tcW w:type="dxa" w:w="1600"/>
            <w:shd w:fill="D9D9D9" w:val="clear"/>
          </w:tcPr>
          <w:p>
            <w:r>
              <w:rPr>
                <w:b/>
                <w:bCs/>
                <w:sz w:val="20"/>
                <w:szCs w:val="20"/>
              </w:rPr>
              <w:t xml:space="preserve">Fields Scored</w:t>
            </w:r>
          </w:p>
        </w:tc>
        <w:tc>
          <w:tcPr>
            <w:tcW w:type="dxa" w:w="1600"/>
            <w:shd w:fill="D9D9D9" w:val="clear"/>
          </w:tcPr>
          <w:p>
            <w:r>
              <w:rPr>
                <w:b/>
                <w:bCs/>
                <w:sz w:val="20"/>
                <w:szCs w:val="20"/>
              </w:rPr>
              <w:t xml:space="preserve">Fields Agreed</w:t>
            </w:r>
          </w:p>
        </w:tc>
        <w:tc>
          <w:tcPr>
            <w:tcW w:type="dxa" w:w="1800"/>
            <w:shd w:fill="D9D9D9" w:val="clear"/>
          </w:tcPr>
          <w:p>
            <w:r>
              <w:rPr>
                <w:b/>
                <w:bCs/>
                <w:sz w:val="20"/>
                <w:szCs w:val="20"/>
              </w:rPr>
              <w:t xml:space="preserve">Field-Level Accuracy</w:t>
            </w:r>
          </w:p>
        </w:tc>
      </w:tr>
      <w:tr>
        <w:tc>
          <w:tcPr>
            <w:tcW w:type="dxa" w:w="3200"/>
          </w:tcPr>
          <w:p>
            <w:r>
              <w:rPr>
                <w:b w:val="false"/>
                <w:bCs w:val="false"/>
                <w:sz w:val="20"/>
                <w:szCs w:val="20"/>
              </w:rPr>
              <w:t xml:space="preserve">VW Auto Lease Trust 2025-B (ABS)</w:t>
            </w:r>
          </w:p>
        </w:tc>
        <w:tc>
          <w:tcPr>
            <w:tcW w:type="dxa" w:w="1600"/>
          </w:tcPr>
          <w:p>
            <w:r>
              <w:rPr>
                <w:b w:val="false"/>
                <w:bCs w:val="false"/>
                <w:sz w:val="20"/>
                <w:szCs w:val="20"/>
              </w:rPr>
              <w:t xml:space="preserve">31</w:t>
            </w:r>
          </w:p>
        </w:tc>
        <w:tc>
          <w:tcPr>
            <w:tcW w:type="dxa" w:w="1600"/>
          </w:tcPr>
          <w:p>
            <w:r>
              <w:rPr>
                <w:b w:val="false"/>
                <w:bCs w:val="false"/>
                <w:sz w:val="20"/>
                <w:szCs w:val="20"/>
              </w:rPr>
              <w:t xml:space="preserve">28</w:t>
            </w:r>
          </w:p>
        </w:tc>
        <w:tc>
          <w:tcPr>
            <w:tcW w:type="dxa" w:w="1800"/>
          </w:tcPr>
          <w:p>
            <w:r>
              <w:rPr>
                <w:b w:val="false"/>
                <w:bCs w:val="false"/>
                <w:sz w:val="20"/>
                <w:szCs w:val="20"/>
              </w:rPr>
              <w:t xml:space="preserve">90.3%</w:t>
            </w:r>
          </w:p>
        </w:tc>
      </w:tr>
      <w:tr>
        <w:tc>
          <w:tcPr>
            <w:tcW w:type="dxa" w:w="3200"/>
          </w:tcPr>
          <w:p>
            <w:r>
              <w:rPr>
                <w:b w:val="false"/>
                <w:bCs w:val="false"/>
                <w:sz w:val="20"/>
                <w:szCs w:val="20"/>
              </w:rPr>
              <w:t xml:space="preserve">Benchmark 2024-V7 (CMBS)</w:t>
            </w:r>
          </w:p>
        </w:tc>
        <w:tc>
          <w:tcPr>
            <w:tcW w:type="dxa" w:w="1600"/>
          </w:tcPr>
          <w:p>
            <w:r>
              <w:rPr>
                <w:b w:val="false"/>
                <w:bCs w:val="false"/>
                <w:sz w:val="20"/>
                <w:szCs w:val="20"/>
              </w:rPr>
              <w:t xml:space="preserve">31</w:t>
            </w:r>
          </w:p>
        </w:tc>
        <w:tc>
          <w:tcPr>
            <w:tcW w:type="dxa" w:w="1600"/>
          </w:tcPr>
          <w:p>
            <w:r>
              <w:rPr>
                <w:b w:val="false"/>
                <w:bCs w:val="false"/>
                <w:sz w:val="20"/>
                <w:szCs w:val="20"/>
              </w:rPr>
              <w:t xml:space="preserve">22</w:t>
            </w:r>
          </w:p>
        </w:tc>
        <w:tc>
          <w:tcPr>
            <w:tcW w:type="dxa" w:w="1800"/>
          </w:tcPr>
          <w:p>
            <w:r>
              <w:rPr>
                <w:b w:val="false"/>
                <w:bCs w:val="false"/>
                <w:sz w:val="20"/>
                <w:szCs w:val="20"/>
              </w:rPr>
              <w:t xml:space="preserve">71%</w:t>
            </w:r>
          </w:p>
        </w:tc>
      </w:tr>
    </w:tbl>
    <w:p>
      <w:pPr>
        <w:spacing w:after="150"/>
      </w:pPr>
    </w:p>
    <w:p>
      <w:pPr>
        <w:pStyle w:val="Heading1"/>
        <w:spacing w:after="100" w:before="200"/>
      </w:pPr>
      <w:r>
        <w:t xml:space="preserve">VW Auto Lease Trust 2025-B (ABS)</w:t>
      </w:r>
    </w:p>
    <w:p>
      <w:pPr>
        <w:spacing w:after="100"/>
      </w:pPr>
      <w:r>
        <w:rPr>
          <w:i/>
          <w:iCs/>
          <w:sz w:val="20"/>
          <w:szCs w:val="20"/>
        </w:rPr>
        <w:t xml:space="preserve">Source document: vw_alt_2025b_424b5_excerpt.txt</w:t>
      </w:r>
    </w:p>
    <w:p>
      <w:pPr>
        <w:spacing w:after="60" w:before="120"/>
      </w:pPr>
      <w:r>
        <w:rPr>
          <w:b/>
          <w:bCs/>
        </w:rPr>
        <w:t xml:space="preserve">Procedure 1</w:t>
      </w:r>
    </w:p>
    <w:p>
      <w:pPr>
        <w:spacing w:after="100"/>
      </w:pPr>
      <w:r>
        <w:t xml:space="preserve">Abstracted tranche terms, payment dates, servicer/trustee, and collateral description from VW Auto Lease Trust 2025-B (ABS) (vw_alt_2025b_424b5_excerpt.txt) and compared each field to independently, manually verified values from the source filing.</w:t>
      </w:r>
    </w:p>
    <w:p>
      <w:pPr>
        <w:spacing w:after="60" w:before="120"/>
      </w:pPr>
      <w:r>
        <w:rPr>
          <w:b/>
          <w:bCs/>
        </w:rPr>
        <w:t xml:space="preserve">Result</w:t>
      </w:r>
    </w:p>
    <w:p>
      <w:pPr>
        <w:spacing w:after="100"/>
      </w:pPr>
      <w:r>
        <w:t xml:space="preserve">28 of 31 fields (90.3%) agreed with the manually verified values. 3 exception(s) noted below.</w:t>
      </w:r>
    </w:p>
    <w:p>
      <w:pPr>
        <w:spacing w:after="60" w:before="120"/>
      </w:pPr>
      <w:r>
        <w:rPr>
          <w:b/>
          <w:bCs/>
        </w:rPr>
        <w:t xml:space="preserve">Exceptions Noted (3)</w:t>
      </w:r>
    </w:p>
    <w:p>
      <w:pPr>
        <w:pStyle w:val="ListParagraph"/>
        <w:numPr>
          <w:ilvl w:val="0"/>
          <w:numId w:val="1"/>
        </w:numPr>
        <w:spacing w:after="40"/>
      </w:pPr>
      <w:r>
        <w:t xml:space="preserve">deal_name_series: extracted 'None' vs. stated 'VALET 2025-B'</w:t>
      </w:r>
    </w:p>
    <w:p>
      <w:pPr>
        <w:pStyle w:val="ListParagraph"/>
        <w:numPr>
          <w:ilvl w:val="0"/>
          <w:numId w:val="1"/>
        </w:numPr>
        <w:spacing w:after="40"/>
      </w:pPr>
      <w:r>
        <w:t xml:space="preserve">trustee_name: extracted 'Citibank, N.A.' vs. stated 'Citibank, N.A. (Indenture Trustee)'</w:t>
      </w:r>
    </w:p>
    <w:p>
      <w:pPr>
        <w:pStyle w:val="ListParagraph"/>
        <w:numPr>
          <w:ilvl w:val="0"/>
          <w:numId w:val="1"/>
        </w:numPr>
        <w:spacing w:after="40"/>
      </w:pPr>
      <w:r>
        <w:t xml:space="preserve">collateral_type: extracted 'Retail closed-end automobile leases (Volkswagen and Audi vehicles)' vs. stated 'Retail closed-end automobile leases (VW/Audi)'</w:t>
      </w:r>
    </w:p>
    <w:p>
      <w:pPr>
        <w:spacing w:after="60" w:before="120"/>
      </w:pPr>
      <w:r>
        <w:rPr>
          <w:b/>
          <w:bCs/>
        </w:rPr>
        <w:t xml:space="preserve">Procedure 2</w:t>
      </w:r>
    </w:p>
    <w:p>
      <w:pPr>
        <w:spacing w:after="100"/>
      </w:pPr>
      <w:r>
        <w:t xml:space="preserve">Recomputed the sequential-pay cash flow waterfall for VW Auto Lease Trust 2025-B (ABS) under illustrative scenario assumptions (15% CPR, 0% annual default rate, 5.5% collateral WAC, 48-month term -- chosen for this exercise, not figures stated in the offering document) and recalculated declining balance, weighted average life (WAL), and approximate pre-tax yield to maturity for each class.</w:t>
      </w:r>
    </w:p>
    <w:p>
      <w:pPr>
        <w:spacing w:after="60" w:before="120"/>
      </w:pPr>
      <w:r>
        <w:rPr>
          <w:b/>
          <w:bCs/>
        </w:rPr>
        <w:t xml:space="preserve">Result</w:t>
      </w:r>
    </w:p>
    <w:p>
      <w:pPr>
        <w:spacing w:after="100"/>
      </w:pPr>
      <w:r>
        <w:t xml:space="preserve">Class A-1: WAL 0.23 yrs, approx. pre-tax YTM 0.0424; Class A-2-A: WAL 0.98 yrs, approx. pre-tax YTM 0.0404; Class A-2-B: WAL 0.98 yrs, approx. pre-tax YTM 0.0443; Class A-3: WAL 2.21 yrs, approx. pre-tax YTM 0.0408; Class A-4: WAL 2.98 yrs, approx. pre-tax YTM 0.0004</w:t>
      </w:r>
    </w:p>
    <w:p>
      <w:pPr>
        <w:spacing w:after="100"/>
      </w:pPr>
      <w:r>
        <w:rPr>
          <w:i/>
          <w:iCs/>
        </w:rPr>
        <w:t xml:space="preserve">No exceptions noted for this procedure.</w:t>
      </w:r>
    </w:p>
    <w:p>
      <w:pPr>
        <w:pStyle w:val="Heading1"/>
        <w:spacing w:after="100" w:before="200"/>
      </w:pPr>
      <w:r>
        <w:t xml:space="preserve">Benchmark 2024-V7 (CMBS)</w:t>
      </w:r>
    </w:p>
    <w:p>
      <w:pPr>
        <w:spacing w:after="100"/>
      </w:pPr>
      <w:r>
        <w:rPr>
          <w:i/>
          <w:iCs/>
          <w:sz w:val="20"/>
          <w:szCs w:val="20"/>
        </w:rPr>
        <w:t xml:space="preserve">Source document: benchmark_2024_v7_424b2_excerpt.txt</w:t>
      </w:r>
    </w:p>
    <w:p>
      <w:pPr>
        <w:spacing w:after="60" w:before="120"/>
      </w:pPr>
      <w:r>
        <w:rPr>
          <w:b/>
          <w:bCs/>
        </w:rPr>
        <w:t xml:space="preserve">Procedure 1</w:t>
      </w:r>
    </w:p>
    <w:p>
      <w:pPr>
        <w:spacing w:after="100"/>
      </w:pPr>
      <w:r>
        <w:t xml:space="preserve">Abstracted tranche terms, payment dates, servicer/trustee, and collateral description from Benchmark 2024-V7 (CMBS) (benchmark_2024_v7_424b2_excerpt.txt) and compared each field to independently, manually verified values from the source filing.</w:t>
      </w:r>
    </w:p>
    <w:p>
      <w:pPr>
        <w:spacing w:after="60" w:before="120"/>
      </w:pPr>
      <w:r>
        <w:rPr>
          <w:b/>
          <w:bCs/>
        </w:rPr>
        <w:t xml:space="preserve">Result</w:t>
      </w:r>
    </w:p>
    <w:p>
      <w:pPr>
        <w:spacing w:after="100"/>
      </w:pPr>
      <w:r>
        <w:t xml:space="preserve">22 of 31 fields (71.0%) agreed with the manually verified values. 9 exception(s) noted below.</w:t>
      </w:r>
    </w:p>
    <w:p>
      <w:pPr>
        <w:spacing w:after="60" w:before="120"/>
      </w:pPr>
      <w:r>
        <w:rPr>
          <w:b/>
          <w:bCs/>
        </w:rPr>
        <w:t xml:space="preserve">Exceptions Noted (9)</w:t>
      </w:r>
    </w:p>
    <w:p>
      <w:pPr>
        <w:pStyle w:val="ListParagraph"/>
        <w:numPr>
          <w:ilvl w:val="0"/>
          <w:numId w:val="1"/>
        </w:numPr>
        <w:spacing w:after="40"/>
      </w:pPr>
      <w:r>
        <w:t xml:space="preserve">deal_name_series: extracted 'None' vs. stated 'Benchmark 2024-V7'</w:t>
      </w:r>
    </w:p>
    <w:p>
      <w:pPr>
        <w:pStyle w:val="ListParagraph"/>
        <w:numPr>
          <w:ilvl w:val="0"/>
          <w:numId w:val="1"/>
        </w:numPr>
        <w:spacing w:after="40"/>
      </w:pPr>
      <w:r>
        <w:t xml:space="preserve">trustee_name: extracted 'Computershare Trust Company, National Association.' vs. stated 'Computershare Trust Company, National Association'</w:t>
      </w:r>
    </w:p>
    <w:p>
      <w:pPr>
        <w:pStyle w:val="ListParagraph"/>
        <w:numPr>
          <w:ilvl w:val="0"/>
          <w:numId w:val="1"/>
        </w:numPr>
        <w:spacing w:after="40"/>
      </w:pPr>
      <w:r>
        <w:t xml:space="preserve">collateral_type: extracted 'Fixed rate commercial mortgage loans secured by first liens on commercial and' vs. stated 'Fixed rate commercial mortgage loans secured by first liens on commercial and multifamily properties'</w:t>
      </w:r>
    </w:p>
    <w:p>
      <w:pPr>
        <w:pStyle w:val="ListParagraph"/>
        <w:numPr>
          <w:ilvl w:val="0"/>
          <w:numId w:val="1"/>
        </w:numPr>
        <w:spacing w:after="40"/>
      </w:pPr>
      <w:r>
        <w:t xml:space="preserve">Class A-3 coupon_type: extracted 'fixed' vs. stated 'floating'</w:t>
      </w:r>
    </w:p>
    <w:p>
      <w:pPr>
        <w:pStyle w:val="ListParagraph"/>
        <w:numPr>
          <w:ilvl w:val="0"/>
          <w:numId w:val="1"/>
        </w:numPr>
        <w:spacing w:after="40"/>
      </w:pPr>
      <w:r>
        <w:t xml:space="preserve">Class A-3 coupon_rate: extracted 'None' vs. stated '0.0622757'</w:t>
      </w:r>
    </w:p>
    <w:p>
      <w:pPr>
        <w:pStyle w:val="ListParagraph"/>
        <w:numPr>
          <w:ilvl w:val="0"/>
          <w:numId w:val="1"/>
        </w:numPr>
        <w:spacing w:after="40"/>
      </w:pPr>
      <w:r>
        <w:t xml:space="preserve">Class A-S coupon_type: extracted 'fixed' vs. stated 'floating'</w:t>
      </w:r>
    </w:p>
    <w:p>
      <w:pPr>
        <w:pStyle w:val="ListParagraph"/>
        <w:numPr>
          <w:ilvl w:val="0"/>
          <w:numId w:val="1"/>
        </w:numPr>
        <w:spacing w:after="40"/>
      </w:pPr>
      <w:r>
        <w:t xml:space="preserve">Class A-S coupon_rate: extracted 'None' vs. stated '0.0653304'</w:t>
      </w:r>
    </w:p>
    <w:p>
      <w:pPr>
        <w:pStyle w:val="ListParagraph"/>
        <w:numPr>
          <w:ilvl w:val="0"/>
          <w:numId w:val="1"/>
        </w:numPr>
        <w:spacing w:after="40"/>
      </w:pPr>
      <w:r>
        <w:t xml:space="preserve">Class B coupon_type: extracted 'fixed' vs. stated 'floating'</w:t>
      </w:r>
    </w:p>
    <w:p>
      <w:pPr>
        <w:pStyle w:val="ListParagraph"/>
        <w:numPr>
          <w:ilvl w:val="0"/>
          <w:numId w:val="1"/>
        </w:numPr>
        <w:spacing w:after="40"/>
      </w:pPr>
      <w:r>
        <w:t xml:space="preserve">Class B coupon_rate: extracted 'None' vs. stated '0.0707994'</w:t>
      </w:r>
    </w:p>
    <w:p>
      <w:pPr>
        <w:spacing w:after="60" w:before="120"/>
      </w:pPr>
      <w:r>
        <w:rPr>
          <w:b/>
          <w:bCs/>
        </w:rPr>
        <w:t xml:space="preserve">Procedure 2</w:t>
      </w:r>
    </w:p>
    <w:p>
      <w:pPr>
        <w:spacing w:after="100"/>
      </w:pPr>
      <w:r>
        <w:t xml:space="preserve">Recomputed the sequential-pay cash flow waterfall for Benchmark 2024-V7 (CMBS) under illustrative scenario assumptions (8% CPR, 1% annual default rate, 6.2% collateral WAC, 60-month term -- chosen for this exercise, not figures stated in the offering document) and recalculated declining balance, weighted average life (WAL), and approximate pre-tax yield to maturity for each class.</w:t>
      </w:r>
    </w:p>
    <w:p>
      <w:pPr>
        <w:spacing w:after="60" w:before="120"/>
      </w:pPr>
      <w:r>
        <w:rPr>
          <w:b/>
          <w:bCs/>
        </w:rPr>
        <w:t xml:space="preserve">Result</w:t>
      </w:r>
    </w:p>
    <w:p>
      <w:pPr>
        <w:spacing w:after="100"/>
      </w:pPr>
      <w:r>
        <w:t xml:space="preserve">Class A-1: WAL 0.08 yrs, approx. pre-tax YTM 0.0578; Class A-2: WAL 0.15 yrs, approx. pre-tax YTM 0.0593; Class A-3: WAL 1.80 yrs, approx. pre-tax YTM 0.0641; Class A-S: WAL 3.66 yrs, approx. pre-tax YTM 0.0673; Class B: WAL 4.00 yrs, approx. pre-tax YTM -0.0186</w:t>
      </w:r>
    </w:p>
    <w:p>
      <w:pPr>
        <w:spacing w:after="60" w:before="120"/>
      </w:pPr>
      <w:r>
        <w:rPr>
          <w:b/>
          <w:bCs/>
        </w:rPr>
        <w:t xml:space="preserve">Exceptions Noted (1)</w:t>
      </w:r>
    </w:p>
    <w:p>
      <w:pPr>
        <w:pStyle w:val="ListParagraph"/>
        <w:numPr>
          <w:ilvl w:val="0"/>
          <w:numId w:val="1"/>
        </w:numPr>
        <w:spacing w:after="40"/>
      </w:pPr>
      <w:r>
        <w:t xml:space="preserve">Class B: computed approx. pre-tax YTM is negative (-0.0186) under the stated scenario assumptions -- consistent with this class receiving interest but minimal principal within the 60-month term at this deal's subordination level; not a computation error, flagged for reviewer awareness.</w:t>
      </w:r>
    </w:p>
    <w:p>
      <w:pPr>
        <w:spacing w:after="60" w:before="120"/>
      </w:pPr>
      <w:r>
        <w:rPr>
          <w:b/>
          <w:bCs/>
        </w:rPr>
        <w:t xml:space="preserve">Procedure 3</w:t>
      </w:r>
    </w:p>
    <w:p>
      <w:pPr>
        <w:spacing w:after="100"/>
      </w:pPr>
      <w:r>
        <w:t xml:space="preserve">Ran the 20% pool-concentration test (the same test implemented in the project's StratificationQA.bas VBA macro) against an ILLUSTRATIVE, SYNTHETIC property-type mix for Benchmark 2024-V7 (CMBS) -- not the deal's actual collateral tape. The real loan-level collateral tape for a CMBS deal is a separate, large data file that is not included in the prospectus summary excerpt used elsewhere in this work paper and was not independently sourced for this exercise. This procedure demonstrates the concentration-test mechanics on realistic-shaped synthetic data; it is not a finding about this specific deal's actual property-type concentration and must not be read or cited as one.</w:t>
      </w:r>
    </w:p>
    <w:p>
      <w:pPr>
        <w:spacing w:after="60" w:before="120"/>
      </w:pPr>
      <w:r>
        <w:rPr>
          <w:b/>
          <w:bCs/>
        </w:rPr>
        <w:t xml:space="preserve">Result</w:t>
      </w:r>
    </w:p>
    <w:p>
      <w:pPr>
        <w:spacing w:after="100"/>
      </w:pPr>
      <w:r>
        <w:t xml:space="preserve">(synthetic data) Multifamily: 36.50% ($300,000,000) [HIGH]; Office: 30.42% ($250,000,000) [HIGH]; Industrial: 21.90% ($180,000,000) [HIGH]; Retail: 11.18% ($91,890,000) [MED]</w:t>
      </w:r>
    </w:p>
    <w:p>
      <w:pPr>
        <w:spacing w:after="60" w:before="120"/>
      </w:pPr>
      <w:r>
        <w:rPr>
          <w:b/>
          <w:bCs/>
        </w:rPr>
        <w:t xml:space="preserve">Exceptions Noted (3)</w:t>
      </w:r>
    </w:p>
    <w:p>
      <w:pPr>
        <w:pStyle w:val="ListParagraph"/>
        <w:numPr>
          <w:ilvl w:val="0"/>
          <w:numId w:val="1"/>
        </w:numPr>
        <w:spacing w:after="40"/>
      </w:pPr>
      <w:r>
        <w:t xml:space="preserve">Multifamily bucket at 36.50% of pool exceeds the 20% concentration threshold.</w:t>
      </w:r>
    </w:p>
    <w:p>
      <w:pPr>
        <w:pStyle w:val="ListParagraph"/>
        <w:numPr>
          <w:ilvl w:val="0"/>
          <w:numId w:val="1"/>
        </w:numPr>
        <w:spacing w:after="40"/>
      </w:pPr>
      <w:r>
        <w:t xml:space="preserve">Office bucket at 30.42% of pool exceeds the 20% concentration threshold.</w:t>
      </w:r>
    </w:p>
    <w:p>
      <w:pPr>
        <w:pStyle w:val="ListParagraph"/>
        <w:numPr>
          <w:ilvl w:val="0"/>
          <w:numId w:val="1"/>
        </w:numPr>
        <w:spacing w:after="40"/>
      </w:pPr>
      <w:r>
        <w:t xml:space="preserve">Industrial bucket at 21.90% of pool exceeds the 20% concentration threshold.</w:t>
      </w:r>
    </w:p>
    <w:p>
      <w:pPr>
        <w:pStyle w:val="Heading2"/>
        <w:spacing w:after="100" w:before="200"/>
      </w:pPr>
      <w:r>
        <w:t xml:space="preserve">Limitations</w:t>
      </w:r>
    </w:p>
    <w:p>
      <w:pPr>
        <w:pStyle w:val="ListParagraph"/>
        <w:numPr>
          <w:ilvl w:val="0"/>
          <w:numId w:val="1"/>
        </w:numPr>
        <w:spacing w:after="40"/>
      </w:pPr>
      <w:r>
        <w:t xml:space="preserve">These procedures were performed solely for the purpose of this practice exercise; they do not constitute an audit or review under any professional standard, and no opinion is expressed on the offering documents as a whole.</w:t>
      </w:r>
    </w:p>
    <w:p>
      <w:pPr>
        <w:pStyle w:val="ListParagraph"/>
        <w:numPr>
          <w:ilvl w:val="0"/>
          <w:numId w:val="1"/>
        </w:numPr>
        <w:spacing w:after="40"/>
      </w:pPr>
      <w:r>
        <w:t xml:space="preserve">The document-abstraction procedure is scoped to the fields defined in this project's schema and to the summary-of-terms excerpt used, not the full offering document.</w:t>
      </w:r>
    </w:p>
    <w:p>
      <w:pPr>
        <w:pStyle w:val="ListParagraph"/>
        <w:numPr>
          <w:ilvl w:val="0"/>
          <w:numId w:val="1"/>
        </w:numPr>
        <w:spacing w:after="40"/>
      </w:pPr>
      <w:r>
        <w:t xml:space="preserve">Cash flow recomputation used illustrative scenario assumptions chosen for this exercise (stated in each Procedure above), not assumptions stated in the offering documents themselves.</w:t>
      </w:r>
    </w:p>
    <w:p>
      <w:pPr>
        <w:pStyle w:val="ListParagraph"/>
        <w:numPr>
          <w:ilvl w:val="0"/>
          <w:numId w:val="1"/>
        </w:numPr>
        <w:spacing w:after="40"/>
      </w:pPr>
      <w:r>
        <w:t xml:space="preserve">The CMBS pool-concentration procedure was run against an illustrative, synthetic property-type mix, not the deal's actual loan-level collateral tape, and is not a finding about this specific deal.</w:t>
      </w:r>
    </w:p>
    <w:p>
      <w:pPr>
        <w:pStyle w:val="ListParagraph"/>
        <w:numPr>
          <w:ilvl w:val="0"/>
          <w:numId w:val="1"/>
        </w:numPr>
        <w:spacing w:after="40"/>
      </w:pPr>
      <w:r>
        <w:t xml:space="preserve">Sufficiency of these procedures for any particular purpose is the responsibility of the party specifying them; none is expressed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2026-09-21T10:48:21.972Z</dcterms:created>
  <dcterms:modified xsi:type="dcterms:W3CDTF">2026-09-21T10:48:21.982Z</dcterms:modified>
</cp:coreProperties>
</file>

<file path=docProps/custom.xml><?xml version="1.0" encoding="utf-8"?>
<Properties xmlns="http://schemas.openxmlformats.org/officeDocument/2006/custom-properties" xmlns:vt="http://schemas.openxmlformats.org/officeDocument/2006/docPropsVTypes"/>
</file>