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Executive Summary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Care Transition Efficiency &amp; Placement Outcome Analytics — UAC Program</w:t>
      </w:r>
    </w:p>
    <w:p>
      <w:pPr>
        <w:spacing w:after="160"/>
        <w:jc w:val="both"/>
      </w:pPr>
      <w:r>
        <w:t xml:space="preserve">This analysis examined three years of daily operational data (January 2023 – December 2025) from the Unaccompanied Alien Children (UAC) Program to assess how efficiently children move through the care pipeline — from CBP custody, into HHS care, to sponsor placement — rather than simply how many children are in the system at any given time.</w:t>
      </w:r>
    </w:p>
    <w:p>
      <w:pPr>
        <w:pStyle w:val="Heading1"/>
        <w:spacing w:after="150" w:before="3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Cumulative backlog cleared: Over the full period, transfers out of CBP custody exceeded new intake by over 25,000 children, meaning the system has, in aggregate, kept pace with and outpaced arrivals.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But short-term congestion persists: On roughly 1 in 5 days (20.7%), more children entered CBP custody than were transferred out — indicating recurring localized bottlenecks even within a favorable long-run trend.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Discharge effectiveness has fallen sharply: Successful sponsor placements relative to active HHS caseload dropped from 0.033 in 2023 to 0.011 in 2025 — roughly a two-thirds decline — even after accounting for the shrinking caseload.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Weekend processing is a relative strength: Average daily discharges are higher on weekends than weekdays, showing placement processing does not stall over weekends.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Discharge volumes are volatile day-to-day: An Outcome Stability Score of 0.275 indicates inconsistent daily discharge performance, complicating staffing and sponsor-vetting planning.</w:t>
      </w:r>
    </w:p>
    <w:p>
      <w:pPr>
        <w:pStyle w:val="Heading1"/>
        <w:spacing w:after="150" w:before="300"/>
      </w:pPr>
      <w:r>
        <w:t xml:space="preserve">KPI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Transfer Efficiency Ratio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Healthy CBP-to-HHS transfer pace relative to custody load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Discharge Effectiveness Index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0.029 (2023–25 avg)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Declined ~65% since 2023 — key concern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Pipeline Throughput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1.36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Exits outpace entries system-wide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Backlog Accumulation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-25,304 (cumulative)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Historical backlog fully cleared in aggregate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Outcome Stability Score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0.275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Discharge volumes fluctuate considerably day to day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Recommendations for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investigation into the causes of declining discharge effectiveness in 2025 — this is the most urgent and clearest deteriorating trend identified.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 process-efficiency KPIs (as above) alongside existing capacity counts in routine reporting, since capacity counts alone conceal this trend.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current weekend staffing levels for discharge/placement functions, as this is performing comparatively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 early-warning monitoring for daily backlog days to catch localized congestion before it compounds.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60"/>
        <w:jc w:val="both"/>
      </w:pPr>
      <w:r>
        <w:t xml:space="preserve">The UAC care pipeline shows a favorable long-run trend in clearing historical backlog, but this aggregate strength masks a sharp and specific decline in discharge effectiveness that warrants direct operational attention. Shifting from capacity monitoring to process-efficiency monitoring, as demonstrated in this analysis, surfaces actionable signals that pure headcount tracking does not.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2026-07-20T07:27:53.759Z</dcterms:created>
  <dcterms:modified xsi:type="dcterms:W3CDTF">2026-07-20T07:27:53.761Z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