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6"/>
          <w:szCs w:val="36"/>
        </w:rPr>
        <w:t xml:space="preserve">Care Transition Efficiency &amp; Placement Outcome Analytics</w:t>
      </w:r>
    </w:p>
    <w:p>
      <w:pPr>
        <w:spacing w:after="100"/>
        <w:jc w:val="center"/>
      </w:pPr>
      <w:r>
        <w:rPr>
          <w:i/>
          <w:iCs/>
          <w:sz w:val="24"/>
          <w:szCs w:val="24"/>
        </w:rPr>
        <w:t xml:space="preserve">A Process Efficiency Analysis of the UAC Care Pipeline (CBP Custody → HHS Care → Sponsor Placement)</w:t>
      </w:r>
    </w:p>
    <w:p>
      <w:pPr>
        <w:spacing w:after="400"/>
        <w:jc w:val="center"/>
      </w:pPr>
      <w:r>
        <w:rPr>
          <w:color w:val="555555"/>
          <w:sz w:val="20"/>
          <w:szCs w:val="20"/>
        </w:rPr>
        <w:t xml:space="preserve">Business Analytics Summer Internship Project | Unified Mentor</w:t>
      </w:r>
    </w:p>
    <w:p>
      <w:pPr>
        <w:pStyle w:val="Heading1"/>
        <w:spacing w:after="150" w:before="300"/>
      </w:pPr>
      <w:r>
        <w:t xml:space="preserve">Abstract</w:t>
      </w:r>
    </w:p>
    <w:p>
      <w:pPr>
        <w:spacing w:after="160"/>
        <w:jc w:val="both"/>
      </w:pPr>
      <w:r>
        <w:t xml:space="preserve">The Unaccompanied Alien Children (UAC) Program operates a multi-stage care and reunification pipeline that moves children from Customs and Border Protection (CBP) custody into Department of Health and Human Services (HHS) care and, ultimately, to a vetted sponsor. While public reporting tracks aggregate custody counts, it does not measure how efficiently the pipeline itself is functioning. This study analyzes 720 daily operational records spanning January 2023 to December 2025 to construct five process-efficiency indicators: Transfer Efficiency Ratio, Discharge Effectiveness Index, Pipeline Throughput, Backlog Accumulation Rate, and Outcome Stability Score. The analysis finds that although the pipeline has cleared its historical backlog on a cumulative basis, discharge effectiveness has declined by roughly two-thirds since 2023, and about one in five days still shows more children entering CBP custody than are transferred out, indicating localized rather than systemic congestion. The findings support a shift from capacity-based monitoring to process-based monitoring of the UAC pipeline.</w:t>
      </w:r>
    </w:p>
    <w:p>
      <w:pPr>
        <w:pStyle w:val="Heading1"/>
        <w:spacing w:after="150" w:before="300"/>
      </w:pPr>
      <w:r>
        <w:t xml:space="preserve">1. Background and Context</w:t>
      </w:r>
    </w:p>
    <w:p>
      <w:pPr>
        <w:spacing w:after="160"/>
        <w:jc w:val="both"/>
      </w:pPr>
      <w:r>
        <w:t xml:space="preserve">The UAC Program is not simply a healthcare system; it is a multi-stage care and reunification pipeline. Children move through four broad stages: apprehension and CBP custody, transfer to HHS care, medical screening and case management, and discharge/reunification with a vetted sponsor. From a policy and humanitarian standpoint, the speed, continuity, and reliability of this pipeline are as important as its overall capacity. A child who is medically screened and placed with an appropriate sponsor quickly experiences a fundamentally different outcome than one who lingers in the system due to process bottlenecks, even if aggregate custody numbers look similar in both cases.</w:t>
      </w:r>
    </w:p>
    <w:p>
      <w:pPr>
        <w:pStyle w:val="Heading1"/>
        <w:spacing w:after="150" w:before="300"/>
      </w:pPr>
      <w:r>
        <w:t xml:space="preserve">2. Problem Statement</w:t>
      </w:r>
    </w:p>
    <w:p>
      <w:pPr>
        <w:spacing w:after="160"/>
        <w:jc w:val="both"/>
      </w:pPr>
      <w:r>
        <w:t xml:space="preserve">Aggregate counts of children in custody are monitored on an ongoing basis, but process efficiency metrics are largely absent from public reporting. This creates a blind spot around several operationally important questions:</w:t>
      </w:r>
    </w:p>
    <w:p>
      <w:pPr>
        <w:pStyle w:val="ListParagraph"/>
        <w:numPr>
          <w:ilvl w:val="0"/>
          <w:numId w:val="1"/>
        </w:numPr>
        <w:spacing w:after="80"/>
      </w:pPr>
      <w:r>
        <w:t xml:space="preserve">How efficiently are children transferred from CBP to HHS?</w:t>
      </w:r>
    </w:p>
    <w:p>
      <w:pPr>
        <w:pStyle w:val="ListParagraph"/>
        <w:numPr>
          <w:ilvl w:val="0"/>
          <w:numId w:val="1"/>
        </w:numPr>
        <w:spacing w:after="80"/>
      </w:pPr>
      <w:r>
        <w:t xml:space="preserve">Are discharges keeping pace with inflows?</w:t>
      </w:r>
    </w:p>
    <w:p>
      <w:pPr>
        <w:pStyle w:val="ListParagraph"/>
        <w:numPr>
          <w:ilvl w:val="0"/>
          <w:numId w:val="1"/>
        </w:numPr>
        <w:spacing w:after="80"/>
      </w:pPr>
      <w:r>
        <w:t xml:space="preserve">When and where do care backlogs accumulate?</w:t>
      </w:r>
    </w:p>
    <w:p>
      <w:pPr>
        <w:pStyle w:val="ListParagraph"/>
        <w:numPr>
          <w:ilvl w:val="0"/>
          <w:numId w:val="1"/>
        </w:numPr>
        <w:spacing w:after="80"/>
      </w:pPr>
      <w:r>
        <w:t xml:space="preserve">Are placement outcomes improving or deteriorating over time?</w:t>
      </w:r>
    </w:p>
    <w:p>
      <w:pPr>
        <w:spacing w:after="160"/>
        <w:jc w:val="both"/>
      </w:pPr>
      <w:r>
        <w:t xml:space="preserve">Without structured transition analytics, these bottlenecks remain hidden inside otherwise stable-looking custody totals.</w:t>
      </w:r>
    </w:p>
    <w:p>
      <w:pPr>
        <w:pStyle w:val="Heading1"/>
        <w:spacing w:after="150" w:before="300"/>
      </w:pPr>
      <w:r>
        <w:t xml:space="preserve">3. Objectives</w:t>
      </w:r>
    </w:p>
    <w:p>
      <w:pPr>
        <w:pStyle w:val="Heading2"/>
        <w:spacing w:after="120" w:before="250"/>
      </w:pPr>
      <w:r>
        <w:t xml:space="preserve">3.1 Primary Objectives</w:t>
      </w:r>
    </w:p>
    <w:p>
      <w:pPr>
        <w:pStyle w:val="ListParagraph"/>
        <w:numPr>
          <w:ilvl w:val="0"/>
          <w:numId w:val="1"/>
        </w:numPr>
        <w:spacing w:after="80"/>
      </w:pPr>
      <w:r>
        <w:t xml:space="preserve">Measure the efficiency of CBP → HHS transitions.</w:t>
      </w:r>
    </w:p>
    <w:p>
      <w:pPr>
        <w:pStyle w:val="ListParagraph"/>
        <w:numPr>
          <w:ilvl w:val="0"/>
          <w:numId w:val="1"/>
        </w:numPr>
        <w:spacing w:after="80"/>
      </w:pPr>
      <w:r>
        <w:t xml:space="preserve">Evaluate discharge and sponsor placement outcomes.</w:t>
      </w:r>
    </w:p>
    <w:p>
      <w:pPr>
        <w:pStyle w:val="ListParagraph"/>
        <w:numPr>
          <w:ilvl w:val="0"/>
          <w:numId w:val="1"/>
        </w:numPr>
        <w:spacing w:after="80"/>
      </w:pPr>
      <w:r>
        <w:t xml:space="preserve">Identify delays and process bottlenecks in the pipeline.</w:t>
      </w:r>
    </w:p>
    <w:p>
      <w:pPr>
        <w:pStyle w:val="Heading2"/>
        <w:spacing w:after="120" w:before="250"/>
      </w:pPr>
      <w:r>
        <w:t xml:space="preserve">3.2 Secondary Objectives</w:t>
      </w:r>
    </w:p>
    <w:p>
      <w:pPr>
        <w:pStyle w:val="ListParagraph"/>
        <w:numPr>
          <w:ilvl w:val="0"/>
          <w:numId w:val="1"/>
        </w:numPr>
        <w:spacing w:after="80"/>
      </w:pPr>
      <w:r>
        <w:t xml:space="preserve">Support faster reunification of children with vetted sponsors.</w:t>
      </w:r>
    </w:p>
    <w:p>
      <w:pPr>
        <w:pStyle w:val="ListParagraph"/>
        <w:numPr>
          <w:ilvl w:val="0"/>
          <w:numId w:val="1"/>
        </w:numPr>
        <w:spacing w:after="80"/>
      </w:pPr>
      <w:r>
        <w:t xml:space="preserve">Improve case management workflows.</w:t>
      </w:r>
    </w:p>
    <w:p>
      <w:pPr>
        <w:pStyle w:val="ListParagraph"/>
        <w:numPr>
          <w:ilvl w:val="0"/>
          <w:numId w:val="1"/>
        </w:numPr>
        <w:spacing w:after="80"/>
      </w:pPr>
      <w:r>
        <w:t xml:space="preserve">Inform policy-level process reforms.</w:t>
      </w:r>
    </w:p>
    <w:p>
      <w:pPr>
        <w:pStyle w:val="Heading1"/>
        <w:spacing w:after="150" w:before="300"/>
      </w:pPr>
      <w:r>
        <w:t xml:space="preserve">4. Dataset Description</w:t>
      </w:r>
    </w:p>
    <w:p>
      <w:pPr>
        <w:spacing w:after="160"/>
        <w:jc w:val="both"/>
      </w:pPr>
      <w:r>
        <w:t xml:space="preserve">The dataset consists of daily operational records covering the period January 12, 2023 to December 21, 2025 (720 valid daily observations after removing blank trailing rows in the source file). Each record captures six operational fields: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F5496" w:val="clear"/>
          </w:tcPr>
          <w:p>
            <w:r>
              <w:rPr>
                <w:b/>
                <w:bCs/>
                <w:color w:val="FFFFFF"/>
                <w:sz w:val="20"/>
                <w:szCs w:val="20"/>
              </w:rPr>
              <w:t xml:space="preserve">Column</w:t>
            </w:r>
          </w:p>
        </w:tc>
        <w:tc>
          <w:tcPr>
            <w:tcW w:type="dxa" w:w="4500"/>
            <w:shd w:fill="2F5496" w:val="clear"/>
          </w:tcPr>
          <w:p>
            <w:r>
              <w:rPr>
                <w:b/>
                <w:bCs/>
                <w:color w:val="FFFFFF"/>
                <w:sz w:val="20"/>
                <w:szCs w:val="20"/>
              </w:rPr>
              <w:t xml:space="preserve">Description</w:t>
            </w:r>
          </w:p>
        </w:tc>
      </w:tr>
      <w:tr>
        <w:tc>
          <w:tcPr>
            <w:tcW w:type="dxa" w:w="4500"/>
          </w:tcPr>
          <w:p>
            <w:r>
              <w:rPr>
                <w:sz w:val="20"/>
                <w:szCs w:val="20"/>
              </w:rPr>
              <w:t xml:space="preserve">Date</w:t>
            </w:r>
          </w:p>
        </w:tc>
        <w:tc>
          <w:tcPr>
            <w:tcW w:type="dxa" w:w="4500"/>
          </w:tcPr>
          <w:p>
            <w:r>
              <w:rPr>
                <w:sz w:val="20"/>
                <w:szCs w:val="20"/>
              </w:rPr>
              <w:t xml:space="preserve">Reporting date</w:t>
            </w:r>
          </w:p>
        </w:tc>
      </w:tr>
      <w:tr>
        <w:tc>
          <w:tcPr>
            <w:tcW w:type="dxa" w:w="4500"/>
          </w:tcPr>
          <w:p>
            <w:r>
              <w:rPr>
                <w:sz w:val="20"/>
                <w:szCs w:val="20"/>
              </w:rPr>
              <w:t xml:space="preserve">Children apprehended and placed in CBP custody</w:t>
            </w:r>
          </w:p>
        </w:tc>
        <w:tc>
          <w:tcPr>
            <w:tcW w:type="dxa" w:w="4500"/>
          </w:tcPr>
          <w:p>
            <w:r>
              <w:rPr>
                <w:sz w:val="20"/>
                <w:szCs w:val="20"/>
              </w:rPr>
              <w:t xml:space="preserve">Daily intake volume</w:t>
            </w:r>
          </w:p>
        </w:tc>
      </w:tr>
      <w:tr>
        <w:tc>
          <w:tcPr>
            <w:tcW w:type="dxa" w:w="4500"/>
          </w:tcPr>
          <w:p>
            <w:r>
              <w:rPr>
                <w:sz w:val="20"/>
                <w:szCs w:val="20"/>
              </w:rPr>
              <w:t xml:space="preserve">Children in CBP custody</w:t>
            </w:r>
          </w:p>
        </w:tc>
        <w:tc>
          <w:tcPr>
            <w:tcW w:type="dxa" w:w="4500"/>
          </w:tcPr>
          <w:p>
            <w:r>
              <w:rPr>
                <w:sz w:val="20"/>
                <w:szCs w:val="20"/>
              </w:rPr>
              <w:t xml:space="preserve">Active CBP care load</w:t>
            </w:r>
          </w:p>
        </w:tc>
      </w:tr>
      <w:tr>
        <w:tc>
          <w:tcPr>
            <w:tcW w:type="dxa" w:w="4500"/>
          </w:tcPr>
          <w:p>
            <w:r>
              <w:rPr>
                <w:sz w:val="20"/>
                <w:szCs w:val="20"/>
              </w:rPr>
              <w:t xml:space="preserve">Children transferred out of CBP custody</w:t>
            </w:r>
          </w:p>
        </w:tc>
        <w:tc>
          <w:tcPr>
            <w:tcW w:type="dxa" w:w="4500"/>
          </w:tcPr>
          <w:p>
            <w:r>
              <w:rPr>
                <w:sz w:val="20"/>
                <w:szCs w:val="20"/>
              </w:rPr>
              <w:t xml:space="preserve">Flow into the HHS system</w:t>
            </w:r>
          </w:p>
        </w:tc>
      </w:tr>
      <w:tr>
        <w:tc>
          <w:tcPr>
            <w:tcW w:type="dxa" w:w="4500"/>
          </w:tcPr>
          <w:p>
            <w:r>
              <w:rPr>
                <w:sz w:val="20"/>
                <w:szCs w:val="20"/>
              </w:rPr>
              <w:t xml:space="preserve">Children in HHS Care</w:t>
            </w:r>
          </w:p>
        </w:tc>
        <w:tc>
          <w:tcPr>
            <w:tcW w:type="dxa" w:w="4500"/>
          </w:tcPr>
          <w:p>
            <w:r>
              <w:rPr>
                <w:sz w:val="20"/>
                <w:szCs w:val="20"/>
              </w:rPr>
              <w:t xml:space="preserve">Active HHS care load</w:t>
            </w:r>
          </w:p>
        </w:tc>
      </w:tr>
      <w:tr>
        <w:tc>
          <w:tcPr>
            <w:tcW w:type="dxa" w:w="4500"/>
          </w:tcPr>
          <w:p>
            <w:r>
              <w:rPr>
                <w:sz w:val="20"/>
                <w:szCs w:val="20"/>
              </w:rPr>
              <w:t xml:space="preserve">Children discharged from HHS Care</w:t>
            </w:r>
          </w:p>
        </w:tc>
        <w:tc>
          <w:tcPr>
            <w:tcW w:type="dxa" w:w="4500"/>
          </w:tcPr>
          <w:p>
            <w:r>
              <w:rPr>
                <w:sz w:val="20"/>
                <w:szCs w:val="20"/>
              </w:rPr>
              <w:t xml:space="preserve">Successful sponsor placements</w:t>
            </w:r>
          </w:p>
        </w:tc>
      </w:tr>
    </w:tbl>
    <w:p>
      <w:pPr>
        <w:spacing w:after="160"/>
      </w:pPr>
    </w:p>
    <w:p>
      <w:pPr>
        <w:spacing w:after="160"/>
        <w:jc w:val="both"/>
      </w:pPr>
      <w:r>
        <w:t xml:space="preserve">Data cleaning involved removing 450 fully blank trailing rows, converting the comma-formatted HHS Care field to numeric, and parsing dates into a standard format. Derived fields — day of week, weekend flag, and calendar month — were added to support temporal analysis. No missing values remained in the 720 valid records after cleaning.</w:t>
      </w:r>
    </w:p>
    <w:p>
      <w:pPr>
        <w:pStyle w:val="Heading1"/>
        <w:spacing w:after="150" w:before="300"/>
      </w:pPr>
      <w:r>
        <w:t xml:space="preserve">5. Methodology</w:t>
      </w:r>
    </w:p>
    <w:p>
      <w:pPr>
        <w:pStyle w:val="Heading2"/>
        <w:spacing w:after="120" w:before="250"/>
      </w:pPr>
      <w:r>
        <w:t xml:space="preserve">5.1 Care Pipeline Modeling</w:t>
      </w:r>
    </w:p>
    <w:p>
      <w:pPr>
        <w:spacing w:after="160"/>
        <w:jc w:val="both"/>
      </w:pPr>
      <w:r>
        <w:t xml:space="preserve">The system was modeled as a two-stage flow pipeline: CBP custody → HHS care → sponsor placement. Daily movements between stages were tracked using the transfer and discharge fields as the connective flows between stages.</w:t>
      </w:r>
    </w:p>
    <w:p>
      <w:pPr>
        <w:pStyle w:val="Heading2"/>
        <w:spacing w:after="120" w:before="250"/>
      </w:pPr>
      <w:r>
        <w:t xml:space="preserve">5.2 Transition Efficiency Metrics</w:t>
      </w:r>
    </w:p>
    <w:p>
      <w:pPr>
        <w:spacing w:after="160"/>
        <w:jc w:val="both"/>
      </w:pPr>
      <w:r>
        <w:t xml:space="preserve">Five KPIs were derived directly from the daily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F5496" w:val="clear"/>
          </w:tcPr>
          <w:p>
            <w:r>
              <w:rPr>
                <w:b/>
                <w:bCs/>
                <w:color w:val="FFFFFF"/>
                <w:sz w:val="20"/>
                <w:szCs w:val="20"/>
              </w:rPr>
              <w:t xml:space="preserve">KPI</w:t>
            </w:r>
          </w:p>
        </w:tc>
        <w:tc>
          <w:tcPr>
            <w:tcW w:type="dxa" w:w="3000"/>
            <w:shd w:fill="2F5496" w:val="clear"/>
          </w:tcPr>
          <w:p>
            <w:r>
              <w:rPr>
                <w:b/>
                <w:bCs/>
                <w:color w:val="FFFFFF"/>
                <w:sz w:val="20"/>
                <w:szCs w:val="20"/>
              </w:rPr>
              <w:t xml:space="preserve">Formula</w:t>
            </w:r>
          </w:p>
        </w:tc>
        <w:tc>
          <w:tcPr>
            <w:tcW w:type="dxa" w:w="3000"/>
            <w:shd w:fill="2F5496" w:val="clear"/>
          </w:tcPr>
          <w:p>
            <w:r>
              <w:rPr>
                <w:b/>
                <w:bCs/>
                <w:color w:val="FFFFFF"/>
                <w:sz w:val="20"/>
                <w:szCs w:val="20"/>
              </w:rPr>
              <w:t xml:space="preserve">Value (Jan 2023 – Dec 2025)</w:t>
            </w:r>
          </w:p>
        </w:tc>
      </w:tr>
      <w:tr>
        <w:tc>
          <w:tcPr>
            <w:tcW w:type="dxa" w:w="3000"/>
          </w:tcPr>
          <w:p>
            <w:r>
              <w:rPr>
                <w:sz w:val="20"/>
                <w:szCs w:val="20"/>
              </w:rPr>
              <w:t xml:space="preserve">Transfer Efficiency Ratio</w:t>
            </w:r>
          </w:p>
        </w:tc>
        <w:tc>
          <w:tcPr>
            <w:tcW w:type="dxa" w:w="3000"/>
          </w:tcPr>
          <w:p>
            <w:r>
              <w:rPr>
                <w:sz w:val="20"/>
                <w:szCs w:val="20"/>
              </w:rPr>
              <w:t xml:space="preserve">Transfers ÷ CBP Custody</w:t>
            </w:r>
          </w:p>
        </w:tc>
        <w:tc>
          <w:tcPr>
            <w:tcW w:type="dxa" w:w="3000"/>
          </w:tcPr>
          <w:p>
            <w:r>
              <w:rPr>
                <w:sz w:val="20"/>
                <w:szCs w:val="20"/>
              </w:rPr>
              <w:t xml:space="preserve">0.750</w:t>
            </w:r>
          </w:p>
        </w:tc>
      </w:tr>
      <w:tr>
        <w:tc>
          <w:tcPr>
            <w:tcW w:type="dxa" w:w="3000"/>
          </w:tcPr>
          <w:p>
            <w:r>
              <w:rPr>
                <w:sz w:val="20"/>
                <w:szCs w:val="20"/>
              </w:rPr>
              <w:t xml:space="preserve">Discharge Effectiveness Index</w:t>
            </w:r>
          </w:p>
        </w:tc>
        <w:tc>
          <w:tcPr>
            <w:tcW w:type="dxa" w:w="3000"/>
          </w:tcPr>
          <w:p>
            <w:r>
              <w:rPr>
                <w:sz w:val="20"/>
                <w:szCs w:val="20"/>
              </w:rPr>
              <w:t xml:space="preserve">Discharges ÷ HHS Care</w:t>
            </w:r>
          </w:p>
        </w:tc>
        <w:tc>
          <w:tcPr>
            <w:tcW w:type="dxa" w:w="3000"/>
          </w:tcPr>
          <w:p>
            <w:r>
              <w:rPr>
                <w:sz w:val="20"/>
                <w:szCs w:val="20"/>
              </w:rPr>
              <w:t xml:space="preserve">0.029</w:t>
            </w:r>
          </w:p>
        </w:tc>
      </w:tr>
      <w:tr>
        <w:tc>
          <w:tcPr>
            <w:tcW w:type="dxa" w:w="3000"/>
          </w:tcPr>
          <w:p>
            <w:r>
              <w:rPr>
                <w:sz w:val="20"/>
                <w:szCs w:val="20"/>
              </w:rPr>
              <w:t xml:space="preserve">Pipeline Throughput</w:t>
            </w:r>
          </w:p>
        </w:tc>
        <w:tc>
          <w:tcPr>
            <w:tcW w:type="dxa" w:w="3000"/>
          </w:tcPr>
          <w:p>
            <w:r>
              <w:rPr>
                <w:sz w:val="20"/>
                <w:szCs w:val="20"/>
              </w:rPr>
              <w:t xml:space="preserve">Total exits ÷ Total entries</w:t>
            </w:r>
          </w:p>
        </w:tc>
        <w:tc>
          <w:tcPr>
            <w:tcW w:type="dxa" w:w="3000"/>
          </w:tcPr>
          <w:p>
            <w:r>
              <w:rPr>
                <w:sz w:val="20"/>
                <w:szCs w:val="20"/>
              </w:rPr>
              <w:t xml:space="preserve">1.360</w:t>
            </w:r>
          </w:p>
        </w:tc>
      </w:tr>
      <w:tr>
        <w:tc>
          <w:tcPr>
            <w:tcW w:type="dxa" w:w="3000"/>
          </w:tcPr>
          <w:p>
            <w:r>
              <w:rPr>
                <w:sz w:val="20"/>
                <w:szCs w:val="20"/>
              </w:rPr>
              <w:t xml:space="preserve">Backlog Accumulation Rate</w:t>
            </w:r>
          </w:p>
        </w:tc>
        <w:tc>
          <w:tcPr>
            <w:tcW w:type="dxa" w:w="3000"/>
          </w:tcPr>
          <w:p>
            <w:r>
              <w:rPr>
                <w:sz w:val="20"/>
                <w:szCs w:val="20"/>
              </w:rPr>
              <w:t xml:space="preserve">CBP Intake − Transfers (cumulative)</w:t>
            </w:r>
          </w:p>
        </w:tc>
        <w:tc>
          <w:tcPr>
            <w:tcW w:type="dxa" w:w="3000"/>
          </w:tcPr>
          <w:p>
            <w:r>
              <w:rPr>
                <w:sz w:val="20"/>
                <w:szCs w:val="20"/>
              </w:rPr>
              <w:t xml:space="preserve">-25,304</w:t>
            </w:r>
          </w:p>
        </w:tc>
      </w:tr>
      <w:tr>
        <w:tc>
          <w:tcPr>
            <w:tcW w:type="dxa" w:w="3000"/>
          </w:tcPr>
          <w:p>
            <w:r>
              <w:rPr>
                <w:sz w:val="20"/>
                <w:szCs w:val="20"/>
              </w:rPr>
              <w:t xml:space="preserve">Outcome Stability Score</w:t>
            </w:r>
          </w:p>
        </w:tc>
        <w:tc>
          <w:tcPr>
            <w:tcW w:type="dxa" w:w="3000"/>
          </w:tcPr>
          <w:p>
            <w:r>
              <w:rPr>
                <w:sz w:val="20"/>
                <w:szCs w:val="20"/>
              </w:rPr>
              <w:t xml:space="preserve">1 − (StdDev ÷ Mean of daily discharges)</w:t>
            </w:r>
          </w:p>
        </w:tc>
        <w:tc>
          <w:tcPr>
            <w:tcW w:type="dxa" w:w="3000"/>
          </w:tcPr>
          <w:p>
            <w:r>
              <w:rPr>
                <w:sz w:val="20"/>
                <w:szCs w:val="20"/>
              </w:rPr>
              <w:t xml:space="preserve">0.275</w:t>
            </w:r>
          </w:p>
        </w:tc>
      </w:tr>
    </w:tbl>
    <w:p>
      <w:pPr>
        <w:spacing w:after="160"/>
      </w:pPr>
    </w:p>
    <w:p>
      <w:pPr>
        <w:pStyle w:val="Heading2"/>
        <w:spacing w:after="120" w:before="250"/>
      </w:pPr>
      <w:r>
        <w:t xml:space="preserve">5.3 Backlog and Delay Identification</w:t>
      </w:r>
    </w:p>
    <w:p>
      <w:pPr>
        <w:spacing w:after="160"/>
        <w:jc w:val="both"/>
      </w:pPr>
      <w:r>
        <w:t xml:space="preserve">Daily backlog was calculated as CBP intake minus transfers out. A positive value on a given day indicates that more children entered custody than were moved into HHS care that day; a negative value indicates the opposite. This was aggregated by month to identify sustained periods of imbalance rather than single-day noise.</w:t>
      </w:r>
    </w:p>
    <w:p>
      <w:pPr>
        <w:pStyle w:val="Heading2"/>
        <w:spacing w:after="120" w:before="250"/>
      </w:pPr>
      <w:r>
        <w:t xml:space="preserve">5.4 Temporal and Pattern Analysis</w:t>
      </w:r>
    </w:p>
    <w:p>
      <w:pPr>
        <w:spacing w:after="160"/>
        <w:jc w:val="both"/>
      </w:pPr>
      <w:r>
        <w:t xml:space="preserve">Weekday versus weekend behavior was compared using the derived weekend flag, and month-over-month aggregates were built to trace the trajectory of intake, transfers, discharges, and HHS caseload across the three-year window.</w:t>
      </w:r>
    </w:p>
    <w:p>
      <w:pPr>
        <w:pStyle w:val="Heading2"/>
        <w:spacing w:after="120" w:before="250"/>
      </w:pPr>
      <w:r>
        <w:t xml:space="preserve">5.5 Outcome Stability Analysis</w:t>
      </w:r>
    </w:p>
    <w:p>
      <w:pPr>
        <w:spacing w:after="160"/>
        <w:jc w:val="both"/>
      </w:pPr>
      <w:r>
        <w:t xml:space="preserve">Variability in daily discharge volumes was assessed using the coefficient of variation (standard deviation relative to the mean), converted into an Outcome Stability Score for ease of interpretation, where values closer to 1 indicate more consistent day-to-day discharge performance.</w:t>
      </w:r>
    </w:p>
    <w:p>
      <w:pPr>
        <w:pStyle w:val="Heading1"/>
        <w:spacing w:after="150" w:before="300"/>
      </w:pPr>
      <w:r>
        <w:t xml:space="preserve">6. Findings</w:t>
      </w:r>
    </w:p>
    <w:p>
      <w:pPr>
        <w:pStyle w:val="Heading2"/>
        <w:spacing w:after="120" w:before="250"/>
      </w:pPr>
      <w:r>
        <w:t xml:space="preserve">6.1 Overall Pipeline Efficiency</w:t>
      </w:r>
    </w:p>
    <w:p>
      <w:pPr>
        <w:spacing w:after="160"/>
        <w:jc w:val="both"/>
      </w:pPr>
      <w:r>
        <w:t xml:space="preserve">Across the full three-year window, the pipeline transferred children out of CBP custody at a rate of 0.75 relative to average custody load, and overall throughput (1.36) indicates that, cumulatively, exits from the pipeline have outpaced entries. On a cumulative basis, transfers exceeded intake by 25,304 children over the period, meaning the CBP-side backlog has been fully cleared and then some when viewed in aggregate.</w:t>
      </w:r>
    </w:p>
    <w:p>
      <w:pPr>
        <w:pStyle w:val="Heading2"/>
        <w:spacing w:after="120" w:before="250"/>
      </w:pPr>
      <w:r>
        <w:t xml:space="preserve">6.2 Backlog Is Localized, Not Systemic</w:t>
      </w:r>
    </w:p>
    <w:p>
      <w:pPr>
        <w:spacing w:after="160"/>
        <w:jc w:val="both"/>
      </w:pPr>
      <w:r>
        <w:t xml:space="preserve">Despite the favorable cumulative picture, 149 of the 720 days analyzed (20.7%) showed daily intake exceeding daily transfers — meaning short-term congestion still occurs regularly even though it does not accumulate into a long-run systemic backlog. Every calendar month in the dataset had net transfers exceeding net intake, but the size of that surplus varied enormously: the strongest months (February–June 2024) cleared over 1,500 more children than entered custody, while the most recent months (mid-to-late 2025) cleared only single or low double digits net, indicating the system's buffer capacity has shrunk considerably.</w:t>
      </w:r>
    </w:p>
    <w:p>
      <w:pPr>
        <w:pStyle w:val="Heading2"/>
        <w:spacing w:after="120" w:before="250"/>
      </w:pPr>
      <w:r>
        <w:t xml:space="preserve">6.3 Discharge Effectiveness Has Declined Sharply</w:t>
      </w:r>
    </w:p>
    <w:p>
      <w:pPr>
        <w:spacing w:after="160"/>
        <w:jc w:val="both"/>
      </w:pPr>
      <w:r>
        <w:t xml:space="preserve">Discharge Effectiveness Index, measured as discharges relative to active HHS caseload, fell from 0.033 in 2023 to 0.029 in 2024 and to 0.011 in 2025 — roughly a two-thirds decline over three years. Since HHS caseload itself has also shrunk substantially (from an average of about 7,900 children in the first 90 days of data to about 2,200 in the most recent 90 days), the declining ratio indicates discharges have slowed even faster than the caseload has shrunk, rather than simply reflecting a smaller system.</w:t>
      </w:r>
    </w:p>
    <w:p>
      <w:pPr>
        <w:pStyle w:val="Heading2"/>
        <w:spacing w:after="120" w:before="250"/>
      </w:pPr>
      <w:r>
        <w:t xml:space="preserve">6.4 Weekday vs. Weekend Patterns</w:t>
      </w:r>
    </w:p>
    <w:p>
      <w:pPr>
        <w:spacing w:after="160"/>
        <w:jc w:val="both"/>
      </w:pPr>
      <w:r>
        <w:t xml:space="preserve">Contrary to a common assumption that case-processing slows on weekends, the data shows average daily discharges are higher on weekends (206) than weekdays (166), while transfer volumes are roughly comparable across both (130 vs. 128). This suggests HHS discharge/placement processing does not meaningfully pause on weekends, even though CBP custody levels are marginally lower on weekends.</w:t>
      </w:r>
    </w:p>
    <w:p>
      <w:pPr>
        <w:pStyle w:val="Heading2"/>
        <w:spacing w:after="120" w:before="250"/>
      </w:pPr>
      <w:r>
        <w:t xml:space="preserve">6.5 Outcome Stability</w:t>
      </w:r>
    </w:p>
    <w:p>
      <w:pPr>
        <w:spacing w:after="160"/>
        <w:jc w:val="both"/>
      </w:pPr>
      <w:r>
        <w:t xml:space="preserve">The Outcome Stability Score of 0.275 indicates substantial day-to-day variability in discharge volumes relative to the mean — daily discharge counts are inconsistent rather than steady, which complicates staffing and sponsor-vetting planning on the HHS side.</w:t>
      </w:r>
    </w:p>
    <w:p>
      <w:pPr>
        <w:pStyle w:val="Heading1"/>
        <w:spacing w:after="150" w:before="300"/>
      </w:pPr>
      <w:r>
        <w:t xml:space="preserve">7. Discussion and Recommendations</w:t>
      </w:r>
    </w:p>
    <w:p>
      <w:pPr>
        <w:pStyle w:val="ListParagraph"/>
        <w:numPr>
          <w:ilvl w:val="0"/>
          <w:numId w:val="1"/>
        </w:numPr>
        <w:spacing w:after="80"/>
      </w:pPr>
      <w:r>
        <w:t xml:space="preserve">Shift monitoring focus from aggregate custody counts to the process ratios above, since the aggregate picture (cumulative backlog cleared) masks a declining discharge-effectiveness trend that is operationally more urgent.</w:t>
      </w:r>
    </w:p>
    <w:p>
      <w:pPr>
        <w:pStyle w:val="ListParagraph"/>
        <w:numPr>
          <w:ilvl w:val="0"/>
          <w:numId w:val="1"/>
        </w:numPr>
        <w:spacing w:after="80"/>
      </w:pPr>
      <w:r>
        <w:t xml:space="preserve">Investigate the causes of the 2025 decline in Discharge Effectiveness Index specifically — whether it stems from sponsor vetting delays, staffing constraints, or case-complexity changes — since this is the clearest deteriorating signal in the data.</w:t>
      </w:r>
    </w:p>
    <w:p>
      <w:pPr>
        <w:pStyle w:val="ListParagraph"/>
        <w:numPr>
          <w:ilvl w:val="0"/>
          <w:numId w:val="1"/>
        </w:numPr>
        <w:spacing w:after="80"/>
      </w:pPr>
      <w:r>
        <w:t xml:space="preserve">Maintain weekend staffing levels for discharge/placement processing, since the data shows this is already a relative strength worth protecting rather than a bottleneck.</w:t>
      </w:r>
    </w:p>
    <w:p>
      <w:pPr>
        <w:pStyle w:val="ListParagraph"/>
        <w:numPr>
          <w:ilvl w:val="0"/>
          <w:numId w:val="1"/>
        </w:numPr>
        <w:spacing w:after="80"/>
      </w:pPr>
      <w:r>
        <w:t xml:space="preserve">Build early-warning monitoring around the daily backlog flag (intake &gt; transfers), since roughly one in five days still shows short-term congestion even in a system with a healthy cumulative trend.</w:t>
      </w:r>
    </w:p>
    <w:p>
      <w:pPr>
        <w:pStyle w:val="ListParagraph"/>
        <w:numPr>
          <w:ilvl w:val="0"/>
          <w:numId w:val="1"/>
        </w:numPr>
        <w:spacing w:after="80"/>
      </w:pPr>
      <w:r>
        <w:t xml:space="preserve">Track Outcome Stability Score over time as a case-management planning input, since volatile daily discharge volumes make resource planning harder even when average performance looks acceptable.</w:t>
      </w:r>
    </w:p>
    <w:p>
      <w:pPr>
        <w:pStyle w:val="Heading1"/>
        <w:spacing w:after="150" w:before="300"/>
      </w:pPr>
      <w:r>
        <w:t xml:space="preserve">8. Conclusion</w:t>
      </w:r>
    </w:p>
    <w:p>
      <w:pPr>
        <w:spacing w:after="160"/>
        <w:jc w:val="both"/>
      </w:pPr>
      <w:r>
        <w:t xml:space="preserve">This project reframes the UAC dataset from a capacity-monitoring lens to a process-efficiency and outcome-evaluation lens. The pipeline has, in aggregate, cleared its historical backlog and moves more children out than in overall. However, this favorable headline figure conceals a real and sharp decline in discharge effectiveness and a persistent, if localized, pattern of short-term congestion. Analyzing how effectively children move through the care pipeline — rather than only how many are present at a point in time — provides more actionable insight for improving reunification timelines, reducing delays, and strengthening child welfare outcomes.</w:t>
      </w:r>
    </w:p>
    <w:p>
      <w:pPr>
        <w:pStyle w:val="Heading1"/>
        <w:spacing w:after="150" w:before="300"/>
      </w:pPr>
      <w:r>
        <w:t xml:space="preserve">9. Limitations</w:t>
      </w:r>
    </w:p>
    <w:p>
      <w:pPr>
        <w:pStyle w:val="ListParagraph"/>
        <w:numPr>
          <w:ilvl w:val="0"/>
          <w:numId w:val="1"/>
        </w:numPr>
        <w:spacing w:after="80"/>
      </w:pPr>
      <w:r>
        <w:t xml:space="preserve">The dataset does not include case-level detail (age, nationality, case complexity), so findings are aggregate/operational rather than case-specific.</w:t>
      </w:r>
    </w:p>
    <w:p>
      <w:pPr>
        <w:pStyle w:val="ListParagraph"/>
        <w:numPr>
          <w:ilvl w:val="0"/>
          <w:numId w:val="1"/>
        </w:numPr>
        <w:spacing w:after="80"/>
      </w:pPr>
      <w:r>
        <w:t xml:space="preserve">Discharge Effectiveness Index uses same-day HHS caseload as the denominator; a lagged or average-caseload denominator might shift the exact ratio, though the declining trend direction is robust to this choice.</w:t>
      </w:r>
    </w:p>
    <w:p>
      <w:pPr>
        <w:pStyle w:val="ListParagraph"/>
        <w:numPr>
          <w:ilvl w:val="0"/>
          <w:numId w:val="1"/>
        </w:numPr>
        <w:spacing w:after="80"/>
      </w:pPr>
      <w:r>
        <w:t xml:space="preserve">No external events (policy changes, court rulings, surges) are annotated in the data, so causal attribution of trend shifts is not possible from this dataset alone.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2026-07-20T07:27:11.632Z</dcterms:created>
  <dcterms:modified xsi:type="dcterms:W3CDTF">2026-07-20T07:27:11.653Z</dcterms:modified>
</cp:coreProperties>
</file>

<file path=docProps/custom.xml><?xml version="1.0" encoding="utf-8"?>
<Properties xmlns="http://schemas.openxmlformats.org/officeDocument/2006/custom-properties" xmlns:vt="http://schemas.openxmlformats.org/officeDocument/2006/docPropsVTypes"/>
</file>