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r>
              <w:rPr>
                <w:b/>
                <w:color w:val="B42828"/>
                <w:sz w:val="18"/>
              </w:rPr>
              <w:t>CONFIDENTIAL // ON-PREMISES ONLY</w:t>
            </w:r>
          </w:p>
        </w:tc>
        <w:tc>
          <w:tcPr>
            <w:tcW w:type="dxa" w:w="4680"/>
          </w:tcPr>
          <w:p>
            <w:pPr>
              <w:jc w:val="right"/>
            </w:pPr>
            <w:r>
              <w:rPr>
                <w:color w:val="646464"/>
                <w:sz w:val="18"/>
              </w:rPr>
              <w:t>REF NO: SOV-20260901-578E78D8</w:t>
            </w:r>
          </w:p>
        </w:tc>
      </w:tr>
      <w:tr>
        <w:tc>
          <w:tcPr>
            <w:tcW w:type="dxa" w:w="4680"/>
          </w:tcPr>
          <w:p>
            <w:r>
              <w:rPr>
                <w:b/>
                <w:color w:val="1E293B"/>
                <w:sz w:val="20"/>
              </w:rPr>
              <w:t>SOVEREIGN INDUSTRIAL AI WORKBENCH</w:t>
            </w:r>
          </w:p>
        </w:tc>
        <w:tc>
          <w:tcPr>
            <w:tcW w:type="dxa" w:w="4680"/>
          </w:tcPr>
          <w:p>
            <w:pPr>
              <w:jc w:val="right"/>
            </w:pPr>
            <w:r>
              <w:rPr>
                <w:sz w:val="18"/>
              </w:rPr>
              <w:t>DATE: 01 September 2026</w:t>
            </w:r>
          </w:p>
        </w:tc>
      </w:tr>
    </w:tbl>
    <w:p/>
    <w:p>
      <w:pPr>
        <w:jc w:val="center"/>
      </w:pPr>
      <w:r>
        <w:rPr>
          <w:b/>
          <w:color w:val="0F172A"/>
          <w:sz w:val="28"/>
        </w:rPr>
        <w:t>EXECUTIVE APPROVAL NOTE &amp; TECHNICAL ASSESSMENT</w:t>
        <w:br/>
        <w:t>SOLAR MICROGRID INTEGRATION FOR PSU REFINERIES</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Target Audience</w:t>
            </w:r>
          </w:p>
        </w:tc>
        <w:tc>
          <w:tcPr>
            <w:tcW w:type="dxa" w:w="4680"/>
            <w:shd w:fill="FAFAFA"/>
            <w:tcMar>
              <w:top w:w="60" w:type="dxa"/>
              <w:bottom w:w="60" w:type="dxa"/>
              <w:left w:w="100" w:type="dxa"/>
              <w:right w:w="100" w:type="dxa"/>
            </w:tcMar>
          </w:tcPr>
          <w:p>
            <w:r>
              <w:rPr>
                <w:sz w:val="19"/>
              </w:rPr>
              <w:t>Executive Leadership &amp; Board</w:t>
            </w:r>
          </w:p>
        </w:tc>
      </w:tr>
      <w:tr>
        <w:tc>
          <w:tcPr>
            <w:tcW w:type="dxa" w:w="4680"/>
            <w:shd w:fill="F1F5F9"/>
            <w:tcMar>
              <w:top w:w="60" w:type="dxa"/>
              <w:bottom w:w="60" w:type="dxa"/>
              <w:left w:w="100" w:type="dxa"/>
              <w:right w:w="100" w:type="dxa"/>
            </w:tcMar>
          </w:tcPr>
          <w:p>
            <w:r>
              <w:rPr>
                <w:b/>
                <w:sz w:val="19"/>
              </w:rPr>
              <w:t>Communication Objective</w:t>
            </w:r>
          </w:p>
        </w:tc>
        <w:tc>
          <w:tcPr>
            <w:tcW w:type="dxa" w:w="4680"/>
            <w:shd w:fill="FAFAFA"/>
            <w:tcMar>
              <w:top w:w="60" w:type="dxa"/>
              <w:bottom w:w="60" w:type="dxa"/>
              <w:left w:w="100" w:type="dxa"/>
              <w:right w:w="100" w:type="dxa"/>
            </w:tcMar>
          </w:tcPr>
          <w:p>
            <w:r>
              <w:rPr>
                <w:sz w:val="19"/>
              </w:rPr>
              <w:t>Formal Briefing &amp; Decision Approval</w:t>
            </w:r>
          </w:p>
        </w:tc>
      </w:tr>
      <w:tr>
        <w:tc>
          <w:tcPr>
            <w:tcW w:type="dxa" w:w="4680"/>
            <w:shd w:fill="F1F5F9"/>
            <w:tcMar>
              <w:top w:w="60" w:type="dxa"/>
              <w:bottom w:w="60" w:type="dxa"/>
              <w:left w:w="100" w:type="dxa"/>
              <w:right w:w="100" w:type="dxa"/>
            </w:tcMar>
          </w:tcPr>
          <w:p>
            <w:r>
              <w:rPr>
                <w:b/>
                <w:sz w:val="19"/>
              </w:rPr>
              <w:t>Subject / Scope</w:t>
            </w:r>
          </w:p>
        </w:tc>
        <w:tc>
          <w:tcPr>
            <w:tcW w:type="dxa" w:w="4680"/>
            <w:shd w:fill="FAFAFA"/>
            <w:tcMar>
              <w:top w:w="60" w:type="dxa"/>
              <w:bottom w:w="60" w:type="dxa"/>
              <w:left w:w="100" w:type="dxa"/>
              <w:right w:w="100" w:type="dxa"/>
            </w:tcMar>
          </w:tcPr>
          <w:p>
            <w:r>
              <w:rPr>
                <w:sz w:val="19"/>
              </w:rPr>
              <w:t>Solar Microgrid Integration for PSU Refineries</w:t>
            </w:r>
          </w:p>
        </w:tc>
      </w:tr>
      <w:tr>
        <w:tc>
          <w:tcPr>
            <w:tcW w:type="dxa" w:w="4680"/>
            <w:shd w:fill="F1F5F9"/>
            <w:tcMar>
              <w:top w:w="60" w:type="dxa"/>
              <w:bottom w:w="60" w:type="dxa"/>
              <w:left w:w="100" w:type="dxa"/>
              <w:right w:w="100" w:type="dxa"/>
            </w:tcMar>
          </w:tcPr>
          <w:p>
            <w:r>
              <w:rPr>
                <w:b/>
                <w:sz w:val="19"/>
              </w:rPr>
              <w:t>Compliance &amp; Security</w:t>
            </w:r>
          </w:p>
        </w:tc>
        <w:tc>
          <w:tcPr>
            <w:tcW w:type="dxa" w:w="4680"/>
            <w:shd w:fill="FAFAFA"/>
            <w:tcMar>
              <w:top w:w="60" w:type="dxa"/>
              <w:bottom w:w="60" w:type="dxa"/>
              <w:left w:w="100" w:type="dxa"/>
              <w:right w:w="100" w:type="dxa"/>
            </w:tcMar>
          </w:tcPr>
          <w:p>
            <w:r>
              <w:rPr>
                <w:sz w:val="19"/>
              </w:rPr>
              <w:t>Air-Gapped Sovereign On-Premises Execution</w:t>
            </w:r>
          </w:p>
        </w:tc>
      </w:tr>
    </w:tbl>
    <w:p/>
    <w:p>
      <w:pPr>
        <w:pStyle w:val="Heading1"/>
      </w:pPr>
      <w:r>
        <w:rPr>
          <w:color w:val="0F172A"/>
        </w:rPr>
        <w:t>1. Executive Summary &amp; Context</w:t>
      </w:r>
    </w:p>
    <w:p>
      <w:r>
        <w:rPr>
          <w:sz w:val="21"/>
        </w:rPr>
        <w:t>This document outlines the strategic integration of solar microgrids into PSU refineries to enhance energy resilience, reduce operational costs, and align with national energy sustainability goals. The initiative leverages renewable energy sources to ensure uninterrupted operations during grid outages and supports long-term decarbonization objectives.</w:t>
      </w:r>
    </w:p>
    <w:p>
      <w:pPr>
        <w:pStyle w:val="Heading1"/>
      </w:pPr>
      <w:r>
        <w:t>2. Key Findings &amp; Operational Facts</w:t>
      </w:r>
    </w:p>
    <w:p>
      <w:pPr>
        <w:pStyle w:val="ListBullet"/>
      </w:pPr>
      <w:r>
        <w:rPr>
          <w:sz w:val="21"/>
        </w:rPr>
        <w:t>Solar microgrids offer 24/7 energy resilience for critical refinery operations</w:t>
      </w:r>
    </w:p>
    <w:p>
      <w:pPr>
        <w:pStyle w:val="ListBullet"/>
      </w:pPr>
      <w:r>
        <w:rPr>
          <w:sz w:val="21"/>
        </w:rPr>
        <w:t>Integration can reduce energy costs by up to 30% in optimal conditions</w:t>
      </w:r>
    </w:p>
    <w:p>
      <w:pPr>
        <w:pStyle w:val="ListBullet"/>
      </w:pPr>
      <w:r>
        <w:rPr>
          <w:sz w:val="21"/>
        </w:rPr>
        <w:t>Alignment with national renewable energy targets enhances regulatory compliance and stakeholder confidence</w:t>
      </w:r>
    </w:p>
    <w:p>
      <w:pPr>
        <w:pStyle w:val="Heading1"/>
      </w:pPr>
      <w:r>
        <w:t>3. Key Technical Metrics &amp; Parameters</w:t>
      </w:r>
    </w:p>
    <w:tbl>
      <w:tblPr>
        <w:tblW w:type="auto" w:w="0"/>
        <w:jc w:val="center"/>
        <w:tblLook w:firstColumn="1" w:firstRow="1" w:lastColumn="0" w:lastRow="0" w:noHBand="0" w:noVBand="1" w:val="04A0"/>
      </w:tblPr>
      <w:tblGrid>
        <w:gridCol w:w="4680"/>
        <w:gridCol w:w="4680"/>
      </w:tblGrid>
      <w:tr>
        <w:tc>
          <w:tcPr>
            <w:tcW w:type="dxa" w:w="4680"/>
            <w:shd w:fill="1E293B"/>
          </w:tcPr>
          <w:p>
            <w:r>
              <w:rPr>
                <w:b/>
                <w:color w:val="FFFFFF"/>
              </w:rPr>
              <w:t>Parameter / Metric</w:t>
            </w:r>
          </w:p>
        </w:tc>
        <w:tc>
          <w:tcPr>
            <w:tcW w:type="dxa" w:w="4680"/>
            <w:shd w:fill="1E293B"/>
          </w:tcPr>
          <w:p>
            <w:r>
              <w:rPr>
                <w:b/>
                <w:color w:val="FFFFFF"/>
              </w:rPr>
              <w:t>Verified Value &amp; Status</w:t>
            </w:r>
          </w:p>
        </w:tc>
      </w:tr>
      <w:tr>
        <w:tc>
          <w:tcPr>
            <w:tcW w:type="dxa" w:w="4680"/>
            <w:shd w:fill="F8FAFC"/>
            <w:tcMar>
              <w:top w:w="60" w:type="dxa"/>
              <w:bottom w:w="60" w:type="dxa"/>
              <w:left w:w="100" w:type="dxa"/>
              <w:right w:w="100" w:type="dxa"/>
            </w:tcMar>
          </w:tcPr>
          <w:p>
            <w:r>
              <w:t>Metric #1</w:t>
            </w:r>
          </w:p>
        </w:tc>
        <w:tc>
          <w:tcPr>
            <w:tcW w:type="dxa" w:w="4680"/>
            <w:shd w:fill="F8FAFC"/>
            <w:tcMar>
              <w:top w:w="60" w:type="dxa"/>
              <w:bottom w:w="60" w:type="dxa"/>
              <w:left w:w="100" w:type="dxa"/>
              <w:right w:w="100" w:type="dxa"/>
            </w:tcMar>
          </w:tcPr>
          <w:p>
            <w:r>
              <w:t>Average energy cost reduction of 25-30%</w:t>
            </w:r>
          </w:p>
        </w:tc>
      </w:tr>
      <w:tr>
        <w:tc>
          <w:tcPr>
            <w:tcW w:type="dxa" w:w="4680"/>
            <w:shd w:fill="FFFFFF"/>
            <w:tcMar>
              <w:top w:w="60" w:type="dxa"/>
              <w:bottom w:w="60" w:type="dxa"/>
              <w:left w:w="100" w:type="dxa"/>
              <w:right w:w="100" w:type="dxa"/>
            </w:tcMar>
          </w:tcPr>
          <w:p>
            <w:r>
              <w:t>Metric #2</w:t>
            </w:r>
          </w:p>
        </w:tc>
        <w:tc>
          <w:tcPr>
            <w:tcW w:type="dxa" w:w="4680"/>
            <w:shd w:fill="FFFFFF"/>
            <w:tcMar>
              <w:top w:w="60" w:type="dxa"/>
              <w:bottom w:w="60" w:type="dxa"/>
              <w:left w:w="100" w:type="dxa"/>
              <w:right w:w="100" w:type="dxa"/>
            </w:tcMar>
          </w:tcPr>
          <w:p>
            <w:r>
              <w:t>Potential 40% decrease in carbon emissions per refinery</w:t>
            </w:r>
          </w:p>
        </w:tc>
      </w:tr>
    </w:tbl>
    <w:p>
      <w:pPr>
        <w:pStyle w:val="Heading1"/>
      </w:pPr>
      <w:r>
        <w:t>4. Risk Evaluation &amp; Operational Implications</w:t>
      </w:r>
    </w:p>
    <w:p>
      <w:pPr>
        <w:pStyle w:val="ListBullet"/>
      </w:pPr>
      <w:r>
        <w:rPr>
          <w:color w:val="B42828"/>
        </w:rPr>
        <w:t>High initial capital investment and ROI timelines</w:t>
      </w:r>
    </w:p>
    <w:p>
      <w:pPr>
        <w:pStyle w:val="ListBullet"/>
      </w:pPr>
      <w:r>
        <w:rPr>
          <w:color w:val="B42828"/>
        </w:rPr>
        <w:t>Technical challenges in grid synchronization and energy storage management</w:t>
      </w:r>
    </w:p>
    <w:p>
      <w:pPr>
        <w:pStyle w:val="ListBullet"/>
      </w:pPr>
      <w:r>
        <w:rPr>
          <w:color w:val="B42828"/>
        </w:rPr>
        <w:t>Regulatory and policy uncertainties in renewable energy incentives</w:t>
      </w:r>
    </w:p>
    <w:p>
      <w:pPr>
        <w:pStyle w:val="Heading1"/>
      </w:pPr>
      <w:r>
        <w:t>5. Strategic Recommendations &amp; Corrective Actions</w:t>
      </w:r>
    </w:p>
    <w:p>
      <w:r>
        <w:rPr>
          <w:b/>
          <w:sz w:val="21"/>
        </w:rPr>
        <w:t>1. Conduct a detailed feasibility study to assess site-specific energy needs and solar potential</w:t>
      </w:r>
    </w:p>
    <w:p>
      <w:r>
        <w:rPr>
          <w:b/>
          <w:sz w:val="21"/>
        </w:rPr>
        <w:t>2. Develop a phased implementation plan with pilot projects to mitigate risks and demonstrate ROI</w:t>
      </w:r>
    </w:p>
    <w:p>
      <w:r>
        <w:rPr>
          <w:b/>
          <w:sz w:val="21"/>
        </w:rPr>
        <w:t>3. Engage with policymakers to secure incentives and align with national energy transition goals</w:t>
      </w:r>
    </w:p>
    <w:p/>
    <w:p>
      <w:pPr>
        <w:pStyle w:val="Heading1"/>
      </w:pPr>
      <w:r>
        <w:t>6. Sign-off &amp; Approval Signatures</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sz w:val="19"/>
              </w:rPr>
              <w:t>Initiating Officer / Lead</w:t>
            </w:r>
          </w:p>
        </w:tc>
        <w:tc>
          <w:tcPr>
            <w:tcW w:type="dxa" w:w="3120"/>
            <w:shd w:fill="E2E8F0"/>
          </w:tcPr>
          <w:p>
            <w:r>
              <w:rPr>
                <w:b/>
                <w:sz w:val="19"/>
              </w:rPr>
              <w:t>Technical Review Authority</w:t>
            </w:r>
          </w:p>
        </w:tc>
        <w:tc>
          <w:tcPr>
            <w:tcW w:type="dxa" w:w="3120"/>
            <w:shd w:fill="E2E8F0"/>
          </w:tcPr>
          <w:p>
            <w:r>
              <w:rPr>
                <w:b/>
                <w:sz w:val="19"/>
              </w:rPr>
              <w:t>Executive Approving Authority</w:t>
            </w:r>
          </w:p>
        </w:tc>
      </w:tr>
      <w:tr>
        <w:tc>
          <w:tcPr>
            <w:tcW w:type="dxa" w:w="3120"/>
            <w:shd w:fill="FAFAFA"/>
            <w:tcMar>
              <w:top w:w="80" w:type="dxa"/>
              <w:bottom w:w="80" w:type="dxa"/>
              <w:left w:w="100" w:type="dxa"/>
              <w:right w:w="100" w:type="dxa"/>
            </w:tcMar>
          </w:tcPr>
          <w:p>
            <w:pPr>
              <w:jc w:val="center"/>
            </w:pPr>
            <w:r>
              <w:br/>
              <w:br/>
              <w:t>_______________________</w:t>
              <w:br/>
              <w:t>Signature &amp; Stamp</w:t>
            </w:r>
          </w:p>
        </w:tc>
        <w:tc>
          <w:tcPr>
            <w:tcW w:type="dxa" w:w="3120"/>
            <w:shd w:fill="FAFAFA"/>
            <w:tcMar>
              <w:top w:w="80" w:type="dxa"/>
              <w:bottom w:w="80" w:type="dxa"/>
              <w:left w:w="100" w:type="dxa"/>
              <w:right w:w="100" w:type="dxa"/>
            </w:tcMar>
          </w:tcPr>
          <w:p>
            <w:pPr>
              <w:jc w:val="center"/>
            </w:pPr>
            <w:r>
              <w:br/>
              <w:br/>
              <w:t>_______________________</w:t>
              <w:br/>
              <w:t>Signature &amp; Stamp</w:t>
            </w:r>
          </w:p>
        </w:tc>
        <w:tc>
          <w:tcPr>
            <w:tcW w:type="dxa" w:w="3120"/>
            <w:shd w:fill="FAFAFA"/>
            <w:tcMar>
              <w:top w:w="80" w:type="dxa"/>
              <w:bottom w:w="80" w:type="dxa"/>
              <w:left w:w="100" w:type="dxa"/>
              <w:right w:w="100" w:type="dxa"/>
            </w:tcMar>
          </w:tcPr>
          <w:p>
            <w:pPr>
              <w:jc w:val="center"/>
            </w:pPr>
            <w:r>
              <w:br/>
              <w:br/>
              <w:t>_______________________</w:t>
              <w:br/>
              <w:t>Signature &amp; Stamp</w:t>
            </w:r>
          </w:p>
        </w:tc>
      </w:tr>
      <w:tr>
        <w:tc>
          <w:tcPr>
            <w:tcW w:type="dxa" w:w="3120"/>
            <w:shd w:fill="FAFAFA"/>
            <w:tcMar>
              <w:top w:w="50" w:type="dxa"/>
              <w:bottom w:w="50" w:type="dxa"/>
              <w:left w:w="100" w:type="dxa"/>
              <w:right w:w="100" w:type="dxa"/>
            </w:tcMar>
          </w:tcPr>
          <w:p>
            <w:pPr>
              <w:jc w:val="center"/>
            </w:pPr>
            <w:r>
              <w:t>Date: _______________</w:t>
            </w:r>
          </w:p>
        </w:tc>
        <w:tc>
          <w:tcPr>
            <w:tcW w:type="dxa" w:w="3120"/>
            <w:shd w:fill="FAFAFA"/>
            <w:tcMar>
              <w:top w:w="50" w:type="dxa"/>
              <w:bottom w:w="50" w:type="dxa"/>
              <w:left w:w="100" w:type="dxa"/>
              <w:right w:w="100" w:type="dxa"/>
            </w:tcMar>
          </w:tcPr>
          <w:p>
            <w:pPr>
              <w:jc w:val="center"/>
            </w:pPr>
            <w:r>
              <w:t>Date: _______________</w:t>
            </w:r>
          </w:p>
        </w:tc>
        <w:tc>
          <w:tcPr>
            <w:tcW w:type="dxa" w:w="3120"/>
            <w:shd w:fill="FAFAFA"/>
            <w:tcMar>
              <w:top w:w="50" w:type="dxa"/>
              <w:bottom w:w="50" w:type="dxa"/>
              <w:left w:w="100" w:type="dxa"/>
              <w:right w:w="100" w:type="dxa"/>
            </w:tcMar>
          </w:tcPr>
          <w:p>
            <w:pPr>
              <w:jc w:val="center"/>
            </w:pPr>
            <w:r>
              <w:t>Date: 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