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SOV-20260901-B91FD6B7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SOURCE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 Leadership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Assessment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CDU_Inspection.txt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Technical extraction of process parameters, wall thickness logs, and operational risk metrics.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Sovereign Analysis Complete:</w:t>
        <w:br/>
        <w:t>• All requested parameters processed with on-premises verification.</w:t>
        <w:br/>
        <w:t>• Evidence validated against local knowledge base.</w:t>
        <w:br/>
        <w:t>• 100% Air-gapped with zero cloud egress.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Wall thickness measured below nominal requirement.</w:t>
      </w:r>
    </w:p>
    <w:p>
      <w:pPr>
        <w:pStyle w:val="ListBullet"/>
      </w:pPr>
      <w:r>
        <w:rPr>
          <w:sz w:val="21"/>
        </w:rPr>
        <w:t>Immediate clamp enclosure installation scheduled.</w:t>
      </w:r>
    </w:p>
    <w:p>
      <w:pPr>
        <w:pStyle w:val="ListBullet"/>
      </w:pPr>
      <w:r>
        <w:rPr>
          <w:sz w:val="21"/>
        </w:rPr>
        <w:t>Nominal thickness: 12.7 mm with localized metal loss verified.</w:t>
      </w:r>
    </w:p>
    <w:p>
      <w:pPr>
        <w:pStyle w:val="ListBullet"/>
      </w:pPr>
      <w:r>
        <w:rPr>
          <w:sz w:val="21"/>
        </w:rPr>
        <w:t>Operating pressure derated to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340°C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pressure boundary degradation under full operating throughput.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Issue engineering approval note.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